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dc93" w14:paraId="8c4dc93" w:rsidRDefault="004A6C98" w:rsidP="004A6C98" w:rsidR="004A6C98">
      <w:pPr>
        <w:pStyle w:val="Standard"/>
        <w:jc w:val="center"/>
        <w15:collapsed w:val="false"/>
        <w:rPr>
          <w:rFonts w:hint="eastAsia"/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>IZVJEŠĆE STEČAJNOGA UPRAVITELJA O TIJEKU STEČAJNOGA POSTUPKA I STANJU STEČAJNE MASE</w:t>
      </w:r>
    </w:p>
    <w:p w:rsidRDefault="004A6C98" w:rsidP="004A6C98" w:rsidR="004A6C98">
      <w:pPr>
        <w:pStyle w:val="Standard"/>
        <w:ind w:right="-576" w:left="-576"/>
        <w:jc w:val="both"/>
        <w:rPr>
          <w:rFonts w:hint="eastAsia"/>
          <w:b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Nadležni trgovački sud: </w:t>
      </w:r>
      <w:r>
        <w:rPr>
          <w:b/>
          <w:sz w:val="22"/>
          <w:szCs w:val="22"/>
        </w:rPr>
        <w:t>TRGOVAČKI SUD U ZAGREBU</w:t>
      </w:r>
    </w:p>
    <w:p w:rsidRDefault="004A6C98" w:rsidP="004A6C98" w:rsidR="004A6C98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Poslovni broj spisa: </w:t>
      </w:r>
      <w:r>
        <w:rPr>
          <w:b/>
          <w:sz w:val="22"/>
          <w:szCs w:val="22"/>
        </w:rPr>
        <w:t>St-4811/16</w:t>
      </w:r>
    </w:p>
    <w:p w:rsidRDefault="004A6C98" w:rsidP="004A6C98" w:rsidR="004A6C98">
      <w:pPr>
        <w:pStyle w:val="Standard"/>
        <w:jc w:val="both"/>
        <w:rPr>
          <w:rFonts w:hint="eastAsia"/>
        </w:rPr>
      </w:pPr>
      <w:r>
        <w:rPr>
          <w:sz w:val="22"/>
          <w:szCs w:val="22"/>
        </w:rPr>
        <w:t xml:space="preserve">Dužnik (naziv, OIB, sjedište): </w:t>
      </w:r>
      <w:r>
        <w:rPr>
          <w:b/>
          <w:sz w:val="22"/>
          <w:szCs w:val="22"/>
        </w:rPr>
        <w:t>TEH-PRODUKT d.o.o.u stečaju, Luke Ibrišimovića 4, Zagreb, OIB: 45450935286</w:t>
      </w:r>
    </w:p>
    <w:p w:rsidRDefault="004A6C98" w:rsidP="004A6C98" w:rsidR="004A6C98">
      <w:pPr>
        <w:pStyle w:val="Standard"/>
        <w:jc w:val="both"/>
        <w:rPr>
          <w:rFonts w:hint="eastAsia"/>
          <w:b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I. TIJEK STEČAJNOGA POSTUPKA U RAZDOBLJU OD 10.12.2017. DO 10.03.2018. GODINE</w:t>
      </w: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razdoblju od 10.12.2017. godine do 10.03.2018. godine poduzete su slijedeće radnje: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-sudu na predmetni stečajni spis podneskom predloženo odobrenje troškova unovčenja stečajne mase i radi isplate razlučnog vjerovnika RH, Ministarstvo financija.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II. STANJE STEČAJNE MASE</w:t>
      </w: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1. dati sustavan pregled predmeta stečajne mase s početka razdoblja izvješća prema čl.223. Stečajnog zakona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Predmeti stečajne mase: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Popis predmeta stečajne mase nalazi se specificiran u tablici 3 koja je priložena uz Izvješće o gospodarskom položaju stečajnog dužnika, a radi se isključivo o pokretninama.</w:t>
      </w: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2. dati podatak koji su predmeti stečajne mase unovčeni i u kojem iznosu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Predmeti stečajne mase iz tablice 3 koja je priložena uz Izvješće o gospodarskom položaju, unovčeni su u skladu s odlukom skupštine stečajnog dužnika u iznosu od 23.125,00 kn.</w:t>
      </w:r>
    </w:p>
    <w:p w:rsidRDefault="004A6C98" w:rsidP="004A6C98" w:rsidR="004A6C98">
      <w:pPr>
        <w:pStyle w:val="Standard"/>
        <w:ind w:right="-576" w:left="-576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3. dati podatak koji predmeti stečajne mase nisu unovčeni i zbog kojeg razloga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Nema neunovčenih predmeta stečajne mase.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4. dati podatak o tome kako je ostvareno razlučno pravo, ako ono postoji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Prijavljena i utvrđena razlučna prava uvrštena su i prikazana u tablici 4 koja se nalazi uz Izvješće o gospodarskom položaju stečajnog dužnika.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5. dati podatak o tome kako je ostvareno izlučno pravo, ako ono postoji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Nisu prijavljena izlučna prava niti takva proizlaze iz poslovnih knjiga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6. dati podatak o vjerovnicima stečajne mase i njihovom namirenju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Vjerovnici stečajne mase:</w:t>
      </w:r>
    </w:p>
    <w:p w:rsidRDefault="004A6C98" w:rsidP="004A6C98" w:rsidR="004A6C98">
      <w:pPr>
        <w:pStyle w:val="Standard"/>
        <w:ind w:right="-576" w:left="-576"/>
        <w:jc w:val="both"/>
        <w:rPr>
          <w:rFonts w:hint="eastAsia"/>
          <w:sz w:val="22"/>
          <w:szCs w:val="22"/>
        </w:rPr>
      </w:pPr>
    </w:p>
    <w:tbl>
      <w:tblPr>
        <w:tblW w:type="dxa" w:w="9600"/>
        <w:tblInd w:type="dxa" w:w="2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0"/>
        <w:gridCol w:w="4710"/>
        <w:gridCol w:w="2550"/>
        <w:gridCol w:w="1810"/>
      </w:tblGrid>
      <w:tr w:rsidTr="00CD15DA" w:rsidR="004A6C98">
        <w:tc>
          <w:tcPr>
            <w:tcW w:type="dxa" w:w="530"/>
            <w:tcBorders>
              <w:top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Rb</w:t>
            </w:r>
          </w:p>
        </w:tc>
        <w:tc>
          <w:tcPr>
            <w:tcW w:type="dxa" w:w="47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Naziv vjerovnika stečajne mase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Osnova</w:t>
            </w:r>
          </w:p>
        </w:tc>
        <w:tc>
          <w:tcPr>
            <w:tcW w:type="dxa" w:w="181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</w:tr>
      <w:tr w:rsidTr="00CD15DA" w:rsidR="004A6C98">
        <w:tc>
          <w:tcPr>
            <w:tcW w:type="dxa" w:w="530"/>
            <w:tcBorders>
              <w:top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4710"/>
            <w:tcBorders>
              <w:top w:space="0" w:sz="4" w:color="000000" w:val="single"/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HP d.d.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Poštarina</w:t>
            </w:r>
          </w:p>
        </w:tc>
        <w:tc>
          <w:tcPr>
            <w:tcW w:type="dxa" w:w="1810"/>
            <w:tcBorders>
              <w:top w:space="0" w:sz="4" w:color="000000" w:val="single"/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23,00 kn</w:t>
            </w:r>
          </w:p>
        </w:tc>
      </w:tr>
      <w:tr w:rsidTr="00CD15DA" w:rsidR="004A6C98">
        <w:tc>
          <w:tcPr>
            <w:tcW w:type="dxa" w:w="530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4710"/>
            <w:tcBorders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KALI d.o.o.</w:t>
            </w:r>
          </w:p>
        </w:tc>
        <w:tc>
          <w:tcPr>
            <w:tcW w:type="dxa" w:w="2550"/>
            <w:tcBorders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Knjigovodstvo</w:t>
            </w:r>
          </w:p>
        </w:tc>
        <w:tc>
          <w:tcPr>
            <w:tcW w:type="dxa" w:w="1810"/>
            <w:tcBorders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6C98" w:rsidP="00CD15DA" w:rsidR="004A6C98">
            <w:pPr>
              <w:pStyle w:val="TableContents"/>
              <w:snapToGrid w:val="false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1.000,00 kn</w:t>
            </w:r>
          </w:p>
        </w:tc>
      </w:tr>
      <w:tr w:rsidTr="00CD15DA" w:rsidR="004A6C98">
        <w:tc>
          <w:tcPr>
            <w:tcW w:type="dxa" w:w="530"/>
            <w:tcBorders>
              <w:top w:space="0" w:sz="2" w:color="000000" w:val="single"/>
              <w:bottom w:space="0" w:sz="2" w:color="000000" w:val="single"/>
            </w:tcBorders>
            <w:tcMar>
              <w:top w:type="dxa" w:w="55"/>
              <w:left w:type="dxa" w:w="108"/>
              <w:bottom w:type="dxa" w:w="55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</w:p>
        </w:tc>
        <w:tc>
          <w:tcPr>
            <w:tcW w:type="dxa" w:w="4710"/>
            <w:tcBorders>
              <w:top w:space="0" w:sz="2" w:color="000000" w:val="single"/>
              <w:left w:space="0" w:sz="4" w:color="000000" w:val="single"/>
              <w:bottom w:space="0" w:sz="2" w:color="000000" w:val="single"/>
            </w:tcBorders>
            <w:tcMar>
              <w:top w:type="dxa" w:w="55"/>
              <w:left w:type="dxa" w:w="108"/>
              <w:bottom w:type="dxa" w:w="55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both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2550"/>
            <w:tcBorders>
              <w:top w:space="0" w:sz="2" w:color="000000" w:val="single"/>
              <w:left w:space="0" w:sz="4" w:color="000000" w:val="single"/>
              <w:bottom w:space="0" w:sz="2" w:color="000000" w:val="single"/>
            </w:tcBorders>
            <w:tcMar>
              <w:top w:type="dxa" w:w="55"/>
              <w:left w:type="dxa" w:w="108"/>
              <w:bottom w:type="dxa" w:w="55"/>
              <w:right w:type="dxa" w:w="108"/>
            </w:tcMar>
          </w:tcPr>
          <w:p w:rsidRDefault="004A6C98" w:rsidP="00CD15DA" w:rsidR="004A6C98">
            <w:pPr>
              <w:pStyle w:val="Standard"/>
              <w:snapToGrid w:val="false"/>
              <w:jc w:val="both"/>
              <w:rPr>
                <w:rFonts w:hint="eastAsia"/>
                <w:b/>
                <w:bCs/>
                <w:sz w:val="22"/>
                <w:szCs w:val="22"/>
              </w:rPr>
            </w:pPr>
          </w:p>
        </w:tc>
        <w:tc>
          <w:tcPr>
            <w:tcW w:type="dxa" w:w="1810"/>
            <w:tcBorders>
              <w:top w:space="0" w:sz="2" w:color="000000" w:val="single"/>
              <w:left w:space="0" w:sz="4" w:color="000000" w:val="single"/>
              <w:bottom w:space="0" w:sz="2" w:color="000000" w:val="single"/>
            </w:tcBorders>
            <w:tcMar>
              <w:top w:type="dxa" w:w="55"/>
              <w:left w:type="dxa" w:w="108"/>
              <w:bottom w:type="dxa" w:w="55"/>
              <w:right w:type="dxa" w:w="108"/>
            </w:tcMar>
          </w:tcPr>
          <w:p w:rsidRDefault="004A6C98" w:rsidP="00CD15DA" w:rsidR="004A6C98">
            <w:pPr>
              <w:pStyle w:val="TableContents"/>
              <w:snapToGrid w:val="false"/>
              <w:jc w:val="right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1.023,00 kn</w:t>
            </w:r>
          </w:p>
        </w:tc>
      </w:tr>
    </w:tbl>
    <w:p w:rsidRDefault="004A6C98" w:rsidP="004A6C98" w:rsidR="004A6C98">
      <w:pPr>
        <w:pStyle w:val="Standard"/>
        <w:ind w:right="-576" w:left="-543"/>
        <w:jc w:val="both"/>
        <w:rPr>
          <w:rFonts w:hint="eastAsia"/>
        </w:rPr>
      </w:pP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Vjerovnici stečajne mase su namireni u cijelosti.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7. dati podatak o isplatama plaća radnika ako su nastavili s radom nakon otvaranja stečajnoga postupka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Nema zaposlenih radnika kod stečajnog dužnika.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8. dati podatak o namirenju stečajnih vjerovnika (diobe)</w:t>
      </w:r>
    </w:p>
    <w:p w:rsidRDefault="004A6C98" w:rsidP="004A6C98" w:rsidR="004A6C98">
      <w:pPr>
        <w:pStyle w:val="Standard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Nakon odobrenja troškova unovčenja stečajne mase i isplate razlučnog vjerovnika, pristupit će se završnoj diobi.</w:t>
      </w:r>
    </w:p>
    <w:p w:rsidRDefault="004A6C98" w:rsidP="004A6C98" w:rsidR="004A6C98">
      <w:pPr>
        <w:pStyle w:val="Standard"/>
        <w:ind w:right="-170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ind w:right="-170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9. ostali podaci.</w:t>
      </w:r>
    </w:p>
    <w:p w:rsidRDefault="004A6C98" w:rsidP="004A6C98" w:rsidR="004A6C98">
      <w:pPr>
        <w:pStyle w:val="Standard"/>
        <w:ind w:right="-567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razdoblju od 10.12.2017. godine do 10.03.2018. godine ostvareni su prihodi i rashodi kako slijedi:</w:t>
      </w:r>
    </w:p>
    <w:p w:rsidRDefault="004A6C98" w:rsidP="004A6C98" w:rsidR="004A6C98">
      <w:pPr>
        <w:pStyle w:val="Standard"/>
        <w:ind w:left="-540"/>
        <w:jc w:val="both"/>
        <w:rPr>
          <w:rFonts w:hint="eastAsia"/>
          <w:sz w:val="22"/>
          <w:szCs w:val="22"/>
        </w:rPr>
      </w:pPr>
    </w:p>
    <w:tbl>
      <w:tblPr>
        <w:tblW w:type="dxa" w:w="9551"/>
        <w:tblInd w:type="dxa" w:w="66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400"/>
        <w:gridCol w:w="1700"/>
        <w:gridCol w:w="2770"/>
        <w:gridCol w:w="1681"/>
      </w:tblGrid>
      <w:tr w:rsidTr="00CD15DA" w:rsidR="004A6C98">
        <w:tc>
          <w:tcPr>
            <w:tcW w:type="dxa" w:w="3400"/>
            <w:tcBorders>
              <w:top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Prihodi</w:t>
            </w:r>
          </w:p>
        </w:tc>
        <w:tc>
          <w:tcPr>
            <w:tcW w:type="dxa" w:w="170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  <w:tc>
          <w:tcPr>
            <w:tcW w:type="dxa" w:w="277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Rashodi</w:t>
            </w:r>
          </w:p>
        </w:tc>
        <w:tc>
          <w:tcPr>
            <w:tcW w:type="dxa" w:w="16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</w:t>
            </w:r>
          </w:p>
        </w:tc>
      </w:tr>
      <w:tr w:rsidTr="00CD15DA" w:rsidR="004A6C98">
        <w:tc>
          <w:tcPr>
            <w:tcW w:type="dxa" w:w="340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Naplata potraživanja</w:t>
            </w:r>
          </w:p>
        </w:tc>
        <w:tc>
          <w:tcPr>
            <w:tcW w:type="dxa" w:w="1700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2770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Poštarina</w:t>
            </w:r>
          </w:p>
        </w:tc>
        <w:tc>
          <w:tcPr>
            <w:tcW w:type="dxa" w:w="1681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23,00 kn</w:t>
            </w:r>
          </w:p>
        </w:tc>
      </w:tr>
      <w:tr w:rsidTr="00CD15DA" w:rsidR="004A6C98">
        <w:tc>
          <w:tcPr>
            <w:tcW w:type="dxa" w:w="340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Nekretnine</w:t>
            </w:r>
          </w:p>
        </w:tc>
        <w:tc>
          <w:tcPr>
            <w:tcW w:type="dxa" w:w="1700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2770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Knjigovodstvo</w:t>
            </w:r>
          </w:p>
        </w:tc>
        <w:tc>
          <w:tcPr>
            <w:tcW w:type="dxa" w:w="1681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1.000,00 kn</w:t>
            </w:r>
          </w:p>
        </w:tc>
      </w:tr>
      <w:tr w:rsidTr="00CD15DA" w:rsidR="004A6C98">
        <w:tc>
          <w:tcPr>
            <w:tcW w:type="dxa" w:w="340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Pokretnine</w:t>
            </w:r>
          </w:p>
        </w:tc>
        <w:tc>
          <w:tcPr>
            <w:tcW w:type="dxa" w:w="1700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2770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sz w:val="22"/>
                <w:szCs w:val="22"/>
              </w:rPr>
            </w:pPr>
          </w:p>
        </w:tc>
        <w:tc>
          <w:tcPr>
            <w:tcW w:type="dxa" w:w="1681"/>
            <w:tcBorders>
              <w:lef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sz w:val="22"/>
                <w:szCs w:val="22"/>
              </w:rPr>
            </w:pPr>
          </w:p>
        </w:tc>
      </w:tr>
      <w:tr w:rsidTr="00CD15DA" w:rsidR="004A6C98">
        <w:tc>
          <w:tcPr>
            <w:tcW w:type="dxa" w:w="3400"/>
            <w:tcBorders>
              <w:top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70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 kn</w:t>
            </w:r>
          </w:p>
        </w:tc>
        <w:tc>
          <w:tcPr>
            <w:tcW w:type="dxa" w:w="277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both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6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A6C98" w:rsidP="00CD15DA" w:rsidR="004A6C98">
            <w:pPr>
              <w:pStyle w:val="Standard"/>
              <w:snapToGrid w:val="false"/>
              <w:spacing w:lineRule="atLeast" w:line="0"/>
              <w:jc w:val="right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1.023,00 kn</w:t>
            </w:r>
          </w:p>
        </w:tc>
      </w:tr>
    </w:tbl>
    <w:p w:rsidRDefault="004A6C98" w:rsidP="004A6C98" w:rsidR="004A6C98">
      <w:pPr>
        <w:pStyle w:val="Standard"/>
        <w:ind w:left="-540"/>
        <w:jc w:val="both"/>
        <w:rPr>
          <w:rFonts w:hint="eastAsia"/>
        </w:rPr>
      </w:pPr>
    </w:p>
    <w:p w:rsidRDefault="004A6C98" w:rsidP="004A6C98" w:rsidR="004A6C98">
      <w:pPr>
        <w:pStyle w:val="Standard"/>
        <w:tabs>
          <w:tab w:pos="9283" w:val="left"/>
        </w:tabs>
        <w:ind w:right="-567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Stanje novčanih sredstava u blagajni na dan 10.03.2018. godine iznosi 16.428,50 kn.</w:t>
      </w:r>
    </w:p>
    <w:p w:rsidRDefault="004A6C98" w:rsidP="004A6C98" w:rsidR="004A6C98">
      <w:pPr>
        <w:pStyle w:val="Standard"/>
        <w:tabs>
          <w:tab w:pos="8707" w:val="left"/>
        </w:tabs>
        <w:ind w:right="-587" w:left="-576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tabs>
          <w:tab w:pos="9283" w:val="left"/>
        </w:tabs>
        <w:ind w:right="-567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Stanje novčanih sredstava na žiro računu na dan 10.03.2018. godine iznosi 0,00 kn.</w:t>
      </w:r>
    </w:p>
    <w:p w:rsidRDefault="004A6C98" w:rsidP="004A6C98" w:rsidR="004A6C98">
      <w:pPr>
        <w:pStyle w:val="Standard"/>
        <w:tabs>
          <w:tab w:pos="8707" w:val="left"/>
        </w:tabs>
        <w:ind w:right="-587" w:left="-576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tabs>
          <w:tab w:pos="9283" w:val="left"/>
        </w:tabs>
        <w:ind w:right="-567"/>
        <w:jc w:val="both"/>
        <w:rPr>
          <w:rFonts w:hint="eastAsia"/>
          <w:b/>
          <w:sz w:val="22"/>
          <w:szCs w:val="22"/>
        </w:rPr>
      </w:pPr>
      <w:r>
        <w:rPr>
          <w:b/>
          <w:sz w:val="22"/>
          <w:szCs w:val="22"/>
        </w:rPr>
        <w:t>III. RADNJE KOJE ĆE SE PODUZETI U NAREDNOM RAZDOBLJU</w:t>
      </w: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Naznačiti radnje koje će se poduzeti u naredom razdoblju od 10.03.2018. godine do 10.06.2018. godine.</w:t>
      </w: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Ako stečajni upravitelj izvješće podnosi radi donošenja odluka pojedinog tijela stečajnoga postupka, izvješće sadrži i prijedlog odluka.</w:t>
      </w: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i/>
          <w:iCs/>
          <w:sz w:val="22"/>
          <w:szCs w:val="22"/>
        </w:rPr>
      </w:pP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razdoblju od 10.03. do 10.06.2018. godine poduzet će se slijedeće radnje:</w:t>
      </w: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-otpis potraživanja od dužnikovih dužnika koja nisu naplativa radi zastare;</w:t>
      </w: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-završna dioba novčanih sredstava,</w:t>
      </w: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-zaključenje stečajnog postupka.</w:t>
      </w:r>
    </w:p>
    <w:p w:rsidRDefault="004A6C98" w:rsidP="004A6C98" w:rsidR="004A6C98">
      <w:pPr>
        <w:pStyle w:val="Standard"/>
        <w:tabs>
          <w:tab w:pos="8707" w:val="left"/>
        </w:tabs>
        <w:ind w:right="-587" w:left="-576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tabs>
          <w:tab w:pos="8707" w:val="left"/>
        </w:tabs>
        <w:ind w:right="-587" w:left="-576"/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PRIJEDLOZI ODLUKA</w:t>
      </w:r>
    </w:p>
    <w:p w:rsidRDefault="004A6C98" w:rsidP="004A6C98" w:rsidR="004A6C98">
      <w:pPr>
        <w:pStyle w:val="Standard"/>
        <w:tabs>
          <w:tab w:pos="8707" w:val="left"/>
        </w:tabs>
        <w:ind w:right="-587" w:left="-576"/>
        <w:jc w:val="center"/>
        <w:rPr>
          <w:rFonts w:hint="eastAsia"/>
          <w:b/>
          <w:bCs/>
          <w:sz w:val="22"/>
          <w:szCs w:val="22"/>
        </w:rPr>
      </w:pPr>
    </w:p>
    <w:p w:rsidRDefault="004A6C98" w:rsidP="004A6C98" w:rsidR="004A6C98">
      <w:pPr>
        <w:pStyle w:val="Standard"/>
        <w:tabs>
          <w:tab w:pos="9283" w:val="left"/>
        </w:tabs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prihvaćaju se sve poduzete radnje stečajnog upravitelja u razdoblju od 10.12.2017. godine do 10.03.2018. godine.</w:t>
      </w:r>
    </w:p>
    <w:p w:rsidRDefault="004A6C98" w:rsidP="004A6C98" w:rsidR="004A6C98">
      <w:pPr>
        <w:pStyle w:val="Standard"/>
        <w:tabs>
          <w:tab w:pos="8707" w:val="left"/>
        </w:tabs>
        <w:ind w:right="-587" w:left="-576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ind w:right="-794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U Daruvaru, 11.03.2018. godine.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</w:p>
    <w:p w:rsidRDefault="004A6C98" w:rsidP="004A6C98" w:rsidR="004A6C98">
      <w:pPr>
        <w:pStyle w:val="Standard"/>
        <w:ind w:right="-772" w:left="-576"/>
        <w:jc w:val="both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ind w:right="-772" w:left="-576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Stečajni upravitelj</w:t>
      </w:r>
    </w:p>
    <w:p w:rsidRDefault="004A6C98" w:rsidP="004A6C98" w:rsidR="004A6C98">
      <w:pPr>
        <w:pStyle w:val="Standard"/>
        <w:ind w:right="-772" w:left="-576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Perica Medaković</w:t>
      </w:r>
    </w:p>
    <w:p w:rsidRDefault="004A6C98" w:rsidP="004A6C98" w:rsidR="004A6C98">
      <w:pPr>
        <w:pStyle w:val="Standard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rPr>
          <w:rFonts w:hint="eastAsia"/>
          <w:sz w:val="22"/>
          <w:szCs w:val="22"/>
        </w:rPr>
      </w:pPr>
    </w:p>
    <w:p w:rsidRDefault="004A6C98" w:rsidP="004A6C98" w:rsidR="004A6C98">
      <w:pPr>
        <w:pStyle w:val="Standard"/>
        <w:rPr>
          <w:rFonts w:hint="eastAsia"/>
          <w:sz w:val="22"/>
          <w:szCs w:val="22"/>
        </w:rPr>
      </w:pPr>
    </w:p>
    <w:p w:rsidRDefault="00ED51C8" w:rsidR="00ED51C8">
      <w:pPr>
        <w:rPr>
          <w:rFonts w:hint="eastAsia"/>
        </w:rPr>
      </w:pPr>
    </w:p>
    <w:sectPr w:rsidR="00ED51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C98"/>
    <w:rsid w:val="004A6C98"/>
    <w:rsid w:val="00906977"/>
    <w:rsid w:val="00BA6B3D"/>
    <w:rsid w:val="00ED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6C98"/>
    <w:pPr>
      <w:suppressAutoHyphens/>
      <w:autoSpaceDN w:val="false"/>
      <w:textAlignment w:val="baseline"/>
    </w:pPr>
    <w:rPr>
      <w:rFonts w:cs="Arial" w:eastAsia="SimSun" w:hAnsi="Liberation Serif" w:ascii="Liberation Serif"/>
      <w:kern w:val="3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4A6C98"/>
    <w:pPr>
      <w:suppressAutoHyphens/>
      <w:autoSpaceDN w:val="false"/>
      <w:textAlignment w:val="baseline"/>
    </w:pPr>
    <w:rPr>
      <w:rFonts w:cs="Arial" w:eastAsia="SimSun" w:hAnsi="Liberation Serif" w:ascii="Liberation Serif"/>
      <w:kern w:val="3"/>
      <w:szCs w:val="24"/>
      <w:lang w:bidi="hi-IN" w:eastAsia="zh-CN"/>
    </w:rPr>
  </w:style>
  <w:style w:customStyle="true" w:styleId="TableContents" w:type="paragraph">
    <w:name w:val="Table Contents"/>
    <w:basedOn w:val="Standard"/>
    <w:rsid w:val="004A6C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06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97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97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97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97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6C98"/>
    <w:pPr>
      <w:suppressAutoHyphens/>
      <w:autoSpaceDN w:val="0"/>
      <w:textAlignment w:val="baseline"/>
    </w:pPr>
    <w:rPr>
      <w:rFonts w:ascii="Liberation Serif" w:cs="Arial" w:eastAsia="SimSun" w:hAnsi="Liberation Serif"/>
      <w:kern w:val="3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4A6C98"/>
    <w:pPr>
      <w:suppressAutoHyphens/>
      <w:autoSpaceDN w:val="0"/>
      <w:textAlignment w:val="baseline"/>
    </w:pPr>
    <w:rPr>
      <w:rFonts w:ascii="Liberation Serif" w:cs="Arial" w:eastAsia="SimSun" w:hAnsi="Liberation Serif"/>
      <w:kern w:val="3"/>
      <w:szCs w:val="24"/>
      <w:lang w:bidi="hi-IN" w:eastAsia="zh-CN"/>
    </w:rPr>
  </w:style>
  <w:style w:customStyle="1" w:styleId="TableContents" w:type="paragraph">
    <w:name w:val="Table Contents"/>
    <w:basedOn w:val="Standard"/>
    <w:rsid w:val="004A6C98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906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97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97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9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9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3331</properties:Characters>
  <properties:Lines>122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2018-04-06T06:30:00Z</dcterms:created>
  <dc:creator>Valentina Gabud</dc:creator>
  <cp:lastModifiedBy>Valentina Gabud</cp:lastModifiedBy>
  <dcterms:modified xmlns:xsi="http://www.w3.org/2001/XMLSchema-instance" xsi:type="dcterms:W3CDTF">2018-04-06T06:33:00Z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St-4811/2016-38 / Podnesak - Izvješće stečajnog upravitelja (IZVJEŠĆE_STEČAJNOGA_UPRAVITELJA.docx)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