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31fb" w14:paraId="82831fb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035C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35C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35C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973BF"/>
    <w:rsid w:val="00CD024A"/>
    <w:rsid w:val="00D1151C"/>
    <w:rsid w:val="00D43DE7"/>
    <w:rsid w:val="00DD21CD"/>
    <w:rsid w:val="00E16A95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Avenija Dubrovnik 32</izvorni_sadrzaj>
    <derivirana_varijabla naziv="DomainObject.UcesnikSudskeRadnje.Adresa.UlicaIKBR_1">Avenija Dubrovnik 32</derivirana_varijabla>
  </DomainObject.UcesnikSudskeRadnje.Adresa.UlicaIKBR>
  <DomainObject.UcesnikSudskeRadnje.Naziv>
    <izvorni_sadrzaj>Ministarstvo financijska , Porezna uprava Zagreb</izvorni_sadrzaj>
    <derivirana_varijabla naziv="DomainObject.UcesnikSudskeRadnje.Naziv_1">Ministarstvo financijska , Porezna uprava Zagreb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Ministarstvo financijska , Porezna uprava Zagreb, OIB 18683136487, Avenija Dubrovnik 32,10000 Zagreb</izvorni_sadrzaj>
    <derivirana_varijabla naziv="DomainObject.UcesnikSudskeRadnje.NazivFormated_1">Ministarstvo financijska , Porezna uprava Zagreb, OIB 18683136487, Avenija Dubrovnik 32,10000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Ministarstvo financijska , Porezna uprava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