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eaa47" w14:paraId="24eaa4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D4C88" w:rsidP="001D4C88" w:rsidR="001D4C88" w:rsidRPr="001D4C88">
      <w:pPr>
        <w:spacing w:after="0"/>
        <w:rPr>
          <w:rFonts w:cs="Times New Roman" w:eastAsia="Times New Roman"/>
          <w:b/>
          <w:lang w:eastAsia="hr-HR"/>
        </w:rPr>
      </w:pPr>
      <w:r w:rsidRPr="001D4C88">
        <w:rPr>
          <w:rFonts w:cs="Times New Roman" w:eastAsia="Times New Roman"/>
          <w:b/>
          <w:bCs/>
          <w:lang w:eastAsia="hr-HR"/>
        </w:rPr>
        <w:t xml:space="preserve">    REPUBLIKA HRVATSKA                                             </w:t>
      </w:r>
      <w:r w:rsidRPr="001D4C88">
        <w:rPr>
          <w:rFonts w:cs="Times New Roman" w:eastAsia="Times New Roman"/>
          <w:b/>
          <w:lang w:eastAsia="hr-HR"/>
        </w:rPr>
        <w:t>Broj: 14. St-297/2018.</w:t>
      </w:r>
    </w:p>
    <w:p w:rsidRDefault="001D4C88" w:rsidP="001D4C88" w:rsidR="001D4C88" w:rsidRPr="001D4C88">
      <w:pPr>
        <w:spacing w:after="0"/>
        <w:rPr>
          <w:rFonts w:cs="Times New Roman" w:eastAsia="Times New Roman"/>
          <w:lang w:eastAsia="hr-HR"/>
        </w:rPr>
      </w:pPr>
      <w:r w:rsidRPr="001D4C88">
        <w:rPr>
          <w:rFonts w:cs="Times New Roman" w:eastAsia="Times New Roman"/>
          <w:b/>
          <w:bCs/>
          <w:lang w:eastAsia="hr-HR"/>
        </w:rPr>
        <w:t xml:space="preserve"> TRGOVAČKI SUD U SPLITU</w:t>
      </w:r>
    </w:p>
    <w:p w:rsidRDefault="001D4C88" w:rsidP="001D4C88" w:rsidR="001D4C88" w:rsidRPr="001D4C88">
      <w:pPr>
        <w:spacing w:after="0"/>
        <w:rPr>
          <w:rFonts w:cs="Times New Roman" w:eastAsia="Times New Roman"/>
          <w:lang w:eastAsia="hr-HR"/>
        </w:rPr>
      </w:pPr>
      <w:r w:rsidRPr="001D4C88">
        <w:rPr>
          <w:rFonts w:cs="Times New Roman" w:eastAsia="Times New Roman"/>
          <w:lang w:eastAsia="hr-HR"/>
        </w:rPr>
        <w:t>Sukoišanska 6. – 21 000  S P L I T</w:t>
      </w:r>
    </w:p>
    <w:p w:rsidRDefault="001D4C88" w:rsidP="001D4C88" w:rsidR="001D4C88" w:rsidRPr="001D4C88">
      <w:pPr>
        <w:spacing w:after="0"/>
        <w:rPr>
          <w:rFonts w:cs="Times New Roman" w:eastAsia="Times New Roman"/>
          <w:lang w:eastAsia="hr-HR"/>
        </w:rPr>
      </w:pPr>
    </w:p>
    <w:p w:rsidRDefault="001D4C88" w:rsidP="001D4C88" w:rsidR="001D4C88" w:rsidRPr="001D4C88">
      <w:pPr>
        <w:spacing w:after="0"/>
        <w:rPr>
          <w:rFonts w:cs="Times New Roman" w:eastAsia="Times New Roman"/>
          <w:lang w:eastAsia="hr-HR"/>
        </w:rPr>
      </w:pPr>
    </w:p>
    <w:p w:rsidRDefault="001D4C88" w:rsidP="001D4C88" w:rsidR="001D4C88" w:rsidRPr="001D4C88">
      <w:pPr>
        <w:spacing w:after="0"/>
        <w:rPr>
          <w:rFonts w:cs="Times New Roman" w:eastAsia="Times New Roman"/>
          <w:lang w:eastAsia="hr-HR"/>
        </w:rPr>
      </w:pPr>
    </w:p>
    <w:p w:rsidRDefault="001D4C88" w:rsidP="001D4C88" w:rsidR="001D4C88" w:rsidRPr="001D4C88">
      <w:pPr>
        <w:spacing w:after="0"/>
        <w:jc w:val="center"/>
        <w:rPr>
          <w:rFonts w:cs="Times New Roman" w:eastAsia="Times New Roman"/>
          <w:lang w:eastAsia="hr-HR"/>
        </w:rPr>
      </w:pPr>
      <w:r w:rsidRPr="001D4C88">
        <w:rPr>
          <w:rFonts w:cs="Times New Roman" w:eastAsia="Times New Roman"/>
          <w:b/>
          <w:bCs/>
          <w:lang w:eastAsia="hr-HR"/>
        </w:rPr>
        <w:t>R E P U B L I K A    H R V A T S K A</w:t>
      </w:r>
    </w:p>
    <w:p w:rsidRDefault="001D4C88" w:rsidP="001D4C88" w:rsidR="001D4C88" w:rsidRPr="001D4C88">
      <w:pPr>
        <w:spacing w:after="0"/>
        <w:jc w:val="center"/>
        <w:rPr>
          <w:rFonts w:cs="Times New Roman" w:eastAsia="Times New Roman"/>
          <w:lang w:eastAsia="hr-HR"/>
        </w:rPr>
      </w:pPr>
    </w:p>
    <w:p w:rsidRDefault="001D4C88" w:rsidP="001D4C88" w:rsidR="001D4C88" w:rsidRPr="001D4C88">
      <w:pPr>
        <w:spacing w:after="0"/>
        <w:jc w:val="center"/>
        <w:rPr>
          <w:rFonts w:cs="Times New Roman" w:eastAsia="Times New Roman"/>
          <w:b/>
          <w:lang w:eastAsia="hr-HR" w:val="fr-FR"/>
        </w:rPr>
      </w:pPr>
      <w:r w:rsidRPr="001D4C88">
        <w:rPr>
          <w:rFonts w:cs="Times New Roman" w:eastAsia="Times New Roman"/>
          <w:b/>
          <w:lang w:eastAsia="hr-HR" w:val="fr-FR"/>
        </w:rPr>
        <w:t>R J E Š E N J E</w:t>
      </w:r>
    </w:p>
    <w:p w:rsidRDefault="001D4C88" w:rsidP="001D4C88" w:rsidR="001D4C88" w:rsidRPr="001D4C88">
      <w:pPr>
        <w:spacing w:after="0"/>
        <w:rPr>
          <w:rFonts w:cs="Times New Roman" w:eastAsia="Times New Roman"/>
          <w:lang w:eastAsia="hr-HR"/>
        </w:rPr>
      </w:pPr>
    </w:p>
    <w:p w:rsidRDefault="001D4C88" w:rsidP="001D4C88" w:rsidR="001D4C88" w:rsidRPr="001D4C88">
      <w:pPr>
        <w:spacing w:after="0"/>
        <w:rPr>
          <w:rFonts w:cs="Times New Roman" w:eastAsia="Times New Roman"/>
          <w:lang w:eastAsia="hr-HR"/>
        </w:rPr>
      </w:pPr>
    </w:p>
    <w:p w:rsidRDefault="001D4C88" w:rsidP="001D4C88" w:rsidR="001D4C88" w:rsidRPr="001D4C88">
      <w:pPr>
        <w:spacing w:after="0"/>
        <w:rPr>
          <w:rFonts w:cs="Times New Roman" w:eastAsia="Times New Roman"/>
          <w:lang w:eastAsia="hr-HR"/>
        </w:rPr>
      </w:pPr>
    </w:p>
    <w:p w:rsidRDefault="001D4C88" w:rsidP="001D4C88" w:rsidR="001D4C88" w:rsidRPr="001D4C88">
      <w:pPr>
        <w:spacing w:after="0"/>
        <w:jc w:val="both"/>
        <w:rPr>
          <w:rFonts w:cs="Times New Roman" w:eastAsia="Times New Roman"/>
          <w:lang w:eastAsia="hr-HR" w:val="fr-FR"/>
        </w:rPr>
      </w:pPr>
      <w:r w:rsidRPr="001D4C88">
        <w:rPr>
          <w:rFonts w:cs="Times New Roman" w:eastAsia="Times New Roman"/>
          <w:lang w:eastAsia="hr-HR"/>
        </w:rPr>
        <w:t xml:space="preserve">          Trgovački sud u Splitu, po sudcu Jozi Ćaleti, u stečajnom postupku nad Stečajnom masom iza SALONA COMMERCE d.o.o., u stečaju, Split, (Grad Split), Matice hrvatske 10, OIB: 93851034778. (dalje: Dužnik, stečajni Dužnik), koju Stečajnu masu zastupa</w:t>
      </w:r>
      <w:r w:rsidRPr="001D4C88">
        <w:rPr>
          <w:rFonts w:cs="Times New Roman" w:eastAsia="Times New Roman"/>
          <w:lang w:eastAsia="hr-HR" w:val="fr-FR"/>
        </w:rPr>
        <w:t xml:space="preserve"> stečajna upraviteljica </w:t>
      </w:r>
      <w:r w:rsidRPr="001D4C88">
        <w:rPr>
          <w:rFonts w:cs="Times New Roman" w:eastAsia="Times New Roman"/>
          <w:lang w:eastAsia="hr-HR"/>
        </w:rPr>
        <w:t xml:space="preserve">Ada Rajković, Split, Matice Hrvatske 10, OIB: 27195964864, </w:t>
      </w:r>
      <w:r w:rsidRPr="001D4C88">
        <w:rPr>
          <w:rFonts w:cs="Times New Roman" w:eastAsia="Times New Roman"/>
          <w:lang w:eastAsia="hr-HR" w:val="fr-FR"/>
        </w:rPr>
        <w:t xml:space="preserve">odlučujući o utvrđenoj i osporenoj tražbini stečajnog vjerovnika, ispitanoj na Ispitnom ročištu održanom  </w:t>
      </w:r>
      <w:r w:rsidRPr="001D4C88">
        <w:rPr>
          <w:rFonts w:cs="Times New Roman" w:eastAsia="Times New Roman"/>
          <w:lang w:eastAsia="hr-HR"/>
        </w:rPr>
        <w:t xml:space="preserve">danas – 28. lipnja 2018, također danas – 28. lipnja 2018, </w:t>
      </w:r>
      <w:r w:rsidRPr="001D4C88">
        <w:rPr>
          <w:rFonts w:cs="Times New Roman" w:eastAsia="Times New Roman"/>
          <w:lang w:eastAsia="hr-HR" w:val="fr-FR"/>
        </w:rPr>
        <w:t>izvan-raspravno,</w:t>
      </w:r>
    </w:p>
    <w:p w:rsidRDefault="001D4C88" w:rsidP="001D4C88" w:rsidR="001D4C88" w:rsidRPr="001D4C88">
      <w:pPr>
        <w:spacing w:after="0"/>
        <w:rPr>
          <w:rFonts w:cs="Times New Roman" w:eastAsia="Times New Roman"/>
          <w:lang w:eastAsia="hr-HR"/>
        </w:rPr>
      </w:pPr>
    </w:p>
    <w:p w:rsidRDefault="001D4C88" w:rsidP="001D4C88" w:rsidR="001D4C88" w:rsidRPr="001D4C88">
      <w:pPr>
        <w:spacing w:after="0"/>
        <w:jc w:val="both"/>
        <w:rPr>
          <w:rFonts w:cs="Times New Roman" w:eastAsia="Times New Roman"/>
          <w:lang w:eastAsia="hr-HR" w:val="fr-FR"/>
        </w:rPr>
      </w:pPr>
      <w:r w:rsidRPr="001D4C88">
        <w:rPr>
          <w:rFonts w:cs="Times New Roman" w:eastAsia="Times New Roman"/>
          <w:lang w:eastAsia="hr-HR" w:val="fr-FR"/>
        </w:rPr>
        <w:t xml:space="preserve">     </w:t>
      </w:r>
    </w:p>
    <w:p w:rsidRDefault="001D4C88" w:rsidP="001D4C88" w:rsidR="001D4C88" w:rsidRPr="001D4C88">
      <w:pPr>
        <w:spacing w:after="0"/>
        <w:jc w:val="center"/>
        <w:rPr>
          <w:rFonts w:cs="Times New Roman" w:eastAsia="Times New Roman"/>
          <w:bCs/>
          <w:lang w:eastAsia="hr-HR"/>
        </w:rPr>
      </w:pPr>
      <w:r w:rsidRPr="001D4C88">
        <w:rPr>
          <w:rFonts w:cs="Times New Roman" w:eastAsia="Times New Roman"/>
          <w:bCs/>
          <w:lang w:eastAsia="hr-HR"/>
        </w:rPr>
        <w:t>r i j e š i o   j e</w:t>
      </w:r>
    </w:p>
    <w:p w:rsidRDefault="001D4C88" w:rsidP="001D4C88" w:rsidR="001D4C88" w:rsidRPr="001D4C88">
      <w:pPr>
        <w:spacing w:after="0"/>
        <w:jc w:val="both"/>
        <w:rPr>
          <w:rFonts w:cs="Times New Roman" w:eastAsia="Times New Roman"/>
          <w:lang w:eastAsia="hr-HR"/>
        </w:rPr>
      </w:pPr>
    </w:p>
    <w:p w:rsidRDefault="001D4C88" w:rsidP="001D4C88" w:rsidR="001D4C88" w:rsidRPr="001D4C88">
      <w:pPr>
        <w:spacing w:after="0"/>
        <w:jc w:val="both"/>
        <w:rPr>
          <w:rFonts w:cs="Times New Roman" w:eastAsia="Times New Roman"/>
          <w:lang w:eastAsia="hr-HR"/>
        </w:rPr>
      </w:pPr>
    </w:p>
    <w:p w:rsidRDefault="001D4C88" w:rsidP="001D4C88" w:rsidR="001D4C88" w:rsidRPr="001D4C88">
      <w:pPr>
        <w:spacing w:after="0"/>
        <w:jc w:val="both"/>
        <w:rPr>
          <w:rFonts w:cs="Times New Roman" w:eastAsia="Times New Roman"/>
          <w:lang w:eastAsia="hr-HR"/>
        </w:rPr>
      </w:pPr>
      <w:r w:rsidRPr="001D4C88">
        <w:rPr>
          <w:rFonts w:cs="Times New Roman" w:eastAsia="Times New Roman"/>
          <w:b/>
          <w:bCs/>
          <w:lang w:eastAsia="hr-HR"/>
        </w:rPr>
        <w:t xml:space="preserve">          </w:t>
      </w:r>
      <w:r w:rsidRPr="001D4C88">
        <w:rPr>
          <w:rFonts w:cs="Times New Roman" w:eastAsia="Times New Roman"/>
          <w:b/>
          <w:lang w:eastAsia="hr-HR"/>
        </w:rPr>
        <w:t>1)</w:t>
      </w:r>
      <w:r w:rsidRPr="001D4C88">
        <w:rPr>
          <w:rFonts w:cs="Times New Roman" w:eastAsia="Times New Roman"/>
          <w:lang w:eastAsia="hr-HR"/>
        </w:rPr>
        <w:t xml:space="preserve"> Utvrđuje se tražbina stečajnog vjerovnika: R. Hrvatska – Ministarstvo financija, OIB: 18683136487, u iznosu od: 30.391,56 kuna i to kao tražbina drugoga višega isplatnog reda (članak 138, stavak 2, Stečajnog zakona, </w:t>
      </w:r>
      <w:r w:rsidRPr="001D4C88">
        <w:rPr>
          <w:rFonts w:cs="Times New Roman" w:eastAsia="Times New Roman"/>
          <w:i/>
          <w:lang w:eastAsia="hr-HR"/>
        </w:rPr>
        <w:t>Narodne novine,</w:t>
      </w:r>
      <w:r w:rsidRPr="001D4C88">
        <w:rPr>
          <w:rFonts w:cs="Times New Roman" w:eastAsia="Times New Roman"/>
          <w:lang w:eastAsia="hr-HR"/>
        </w:rPr>
        <w:t xml:space="preserve"> br.-i: 71/15. i 104/17, dalje: SZ), ispitane i u navedenom iznosu priznata na Ispitnom ročištu održanom danas – 28. lipnja 2018.</w:t>
      </w:r>
    </w:p>
    <w:p w:rsidRDefault="001D4C88" w:rsidP="001D4C88" w:rsidR="001D4C88" w:rsidRPr="001D4C88">
      <w:pPr>
        <w:spacing w:after="0"/>
        <w:jc w:val="both"/>
        <w:rPr>
          <w:rFonts w:cs="Times New Roman" w:eastAsia="Times New Roman"/>
          <w:b/>
          <w:bCs/>
          <w:lang w:eastAsia="hr-HR"/>
        </w:rPr>
      </w:pPr>
    </w:p>
    <w:p w:rsidRDefault="001D4C88" w:rsidP="001D4C88" w:rsidR="001D4C88" w:rsidRPr="001D4C88">
      <w:pPr>
        <w:spacing w:after="0"/>
        <w:jc w:val="both"/>
        <w:rPr>
          <w:rFonts w:cs="Times New Roman" w:eastAsia="Times New Roman"/>
          <w:lang w:eastAsia="hr-HR"/>
        </w:rPr>
      </w:pPr>
      <w:r w:rsidRPr="001D4C88">
        <w:rPr>
          <w:rFonts w:cs="Times New Roman" w:eastAsia="Times New Roman"/>
          <w:b/>
          <w:bCs/>
          <w:lang w:eastAsia="hr-HR"/>
        </w:rPr>
        <w:t xml:space="preserve">          </w:t>
      </w:r>
      <w:r w:rsidRPr="001D4C88">
        <w:rPr>
          <w:rFonts w:cs="Times New Roman" w:eastAsia="Times New Roman"/>
          <w:b/>
          <w:lang w:eastAsia="hr-HR"/>
        </w:rPr>
        <w:t>2)</w:t>
      </w:r>
      <w:r w:rsidRPr="001D4C88">
        <w:rPr>
          <w:rFonts w:cs="Times New Roman" w:eastAsia="Times New Roman"/>
          <w:lang w:eastAsia="hr-HR"/>
        </w:rPr>
        <w:t xml:space="preserve"> Osporaje se tražbina stečajnog vjerovnika: R. Hrvatska – Ministarstvo financija, OIB: 18683136487, u iznosu od: 7.530,43 kune i to kao tražbina drugoga višega isplatnog reda (članak 138, stavak 2, SZ), ispitane i u navedenom iznosu osporena na Ispitnom ročištu održanom danas – 28. lipnja 2018.</w:t>
      </w:r>
    </w:p>
    <w:p w:rsidRDefault="001D4C88" w:rsidP="001D4C88" w:rsidR="001D4C88" w:rsidRPr="001D4C88">
      <w:pPr>
        <w:spacing w:after="0"/>
        <w:jc w:val="both"/>
        <w:rPr>
          <w:rFonts w:cs="Times New Roman" w:eastAsia="Times New Roman"/>
          <w:b/>
          <w:bCs/>
          <w:lang w:eastAsia="hr-HR"/>
        </w:rPr>
      </w:pPr>
    </w:p>
    <w:p w:rsidRDefault="001D4C88" w:rsidP="001D4C88" w:rsidR="001D4C88" w:rsidRPr="001D4C88">
      <w:pPr>
        <w:spacing w:after="0"/>
        <w:jc w:val="both"/>
        <w:rPr>
          <w:rFonts w:cs="Times New Roman" w:eastAsia="Times New Roman"/>
          <w:lang w:eastAsia="hr-HR"/>
        </w:rPr>
      </w:pPr>
      <w:r w:rsidRPr="001D4C88">
        <w:rPr>
          <w:rFonts w:cs="Times New Roman" w:eastAsia="Times New Roman"/>
          <w:b/>
          <w:bCs/>
          <w:lang w:eastAsia="hr-HR"/>
        </w:rPr>
        <w:t xml:space="preserve">          </w:t>
      </w:r>
      <w:r w:rsidRPr="001D4C88">
        <w:rPr>
          <w:rFonts w:cs="Times New Roman" w:eastAsia="Times New Roman"/>
          <w:b/>
          <w:lang w:eastAsia="hr-HR"/>
        </w:rPr>
        <w:t>3)</w:t>
      </w:r>
      <w:r w:rsidRPr="001D4C88">
        <w:rPr>
          <w:rFonts w:cs="Times New Roman" w:eastAsia="Times New Roman"/>
          <w:lang w:eastAsia="hr-HR"/>
        </w:rPr>
        <w:t xml:space="preserve"> Vjerovnik osporene tražbine iz točke 2) izrijeke ovog Rješenja, čija se osporena tražbina ne temelji na ovršnoj ispravi, upućuje se u roku od osam (8.) dana od pravomoćnosti ovog Rješenja, pokrenuti parnicu protiv uvodno navedenoga stečajnog Dužnika, radi utvrđenja u parnici osporenog iznosa tražbine u ovome stečajnom postupku. Ako isti Vjerovnik upućen u parnicu, u navedenom roku od osma (8.) dana od pravomoćnosti ovog Rješenja, ne pokrenu parnicu na koju je upućen, smatrat će se kako je isti odustao od prava na vođenje parnice. Ako je u vrijeme otvaranja stečajnog postupka pred državnim ili arbitražnim sudom već bio pokrenut parnični postupak o tražbini koja je osporena, postupak radi utvrđivanja tražbine nastavit će se preuzimanjem te parice, pa se isti Vjerovnik osporene </w:t>
      </w:r>
    </w:p>
    <w:p w:rsidRDefault="001D4C88" w:rsidP="001D4C88" w:rsidR="001D4C88" w:rsidRPr="001D4C88">
      <w:pPr>
        <w:spacing w:after="0"/>
        <w:jc w:val="both"/>
        <w:rPr>
          <w:rFonts w:cs="Times New Roman" w:eastAsia="Times New Roman"/>
          <w:lang w:eastAsia="hr-HR"/>
        </w:rPr>
      </w:pPr>
    </w:p>
    <w:p w:rsidRDefault="001D4C88" w:rsidP="001D4C88" w:rsidR="001D4C88" w:rsidRPr="001D4C88">
      <w:pPr>
        <w:spacing w:after="0"/>
        <w:jc w:val="both"/>
        <w:rPr>
          <w:rFonts w:cs="Times New Roman" w:eastAsia="Times New Roman"/>
          <w:lang w:eastAsia="hr-HR"/>
        </w:rPr>
      </w:pPr>
    </w:p>
    <w:p w:rsidRDefault="001D4C88" w:rsidP="001D4C88" w:rsidR="001D4C88" w:rsidRPr="001D4C88">
      <w:pPr>
        <w:spacing w:after="0"/>
        <w:jc w:val="right"/>
        <w:rPr>
          <w:rFonts w:cs="Times New Roman" w:eastAsia="Times New Roman"/>
          <w:b/>
          <w:lang w:eastAsia="hr-HR"/>
        </w:rPr>
      </w:pPr>
      <w:r w:rsidRPr="001D4C88">
        <w:rPr>
          <w:rFonts w:cs="Times New Roman" w:eastAsia="Times New Roman"/>
          <w:b/>
          <w:lang w:eastAsia="hr-HR"/>
        </w:rPr>
        <w:lastRenderedPageBreak/>
        <w:t>- 2 -</w:t>
      </w:r>
      <w:r w:rsidRPr="001D4C88">
        <w:rPr>
          <w:rFonts w:cs="Times New Roman" w:eastAsia="Times New Roman"/>
          <w:lang w:eastAsia="hr-HR"/>
        </w:rPr>
        <w:t xml:space="preserve">                                 </w:t>
      </w:r>
      <w:r w:rsidRPr="001D4C88">
        <w:rPr>
          <w:rFonts w:cs="Times New Roman" w:eastAsia="Times New Roman"/>
          <w:b/>
          <w:lang w:eastAsia="hr-HR"/>
        </w:rPr>
        <w:t>Broj:  14. St-297/2018.</w:t>
      </w:r>
    </w:p>
    <w:p w:rsidRDefault="001D4C88" w:rsidP="001D4C88" w:rsidR="001D4C88" w:rsidRPr="001D4C88">
      <w:pPr>
        <w:spacing w:after="0"/>
        <w:jc w:val="both"/>
        <w:rPr>
          <w:rFonts w:cs="Times New Roman" w:eastAsia="Times New Roman"/>
          <w:lang w:eastAsia="hr-HR"/>
        </w:rPr>
      </w:pPr>
    </w:p>
    <w:p w:rsidRDefault="001D4C88" w:rsidP="001D4C88" w:rsidR="001D4C88" w:rsidRPr="001D4C88">
      <w:pPr>
        <w:spacing w:after="0"/>
        <w:jc w:val="both"/>
        <w:rPr>
          <w:rFonts w:cs="Times New Roman" w:eastAsia="Times New Roman"/>
          <w:lang w:eastAsia="hr-HR"/>
        </w:rPr>
      </w:pPr>
    </w:p>
    <w:p w:rsidRDefault="001D4C88" w:rsidP="001D4C88" w:rsidR="001D4C88" w:rsidRPr="001D4C88">
      <w:pPr>
        <w:spacing w:after="0"/>
        <w:jc w:val="both"/>
        <w:rPr>
          <w:rFonts w:cs="Times New Roman" w:eastAsia="Times New Roman"/>
          <w:lang w:eastAsia="hr-HR"/>
        </w:rPr>
      </w:pPr>
    </w:p>
    <w:p w:rsidRDefault="001D4C88" w:rsidP="001D4C88" w:rsidR="001D4C88" w:rsidRPr="001D4C88">
      <w:pPr>
        <w:spacing w:after="0"/>
        <w:jc w:val="both"/>
        <w:rPr>
          <w:rFonts w:cs="Times New Roman" w:eastAsia="Times New Roman"/>
          <w:lang w:eastAsia="hr-HR"/>
        </w:rPr>
      </w:pPr>
      <w:r w:rsidRPr="001D4C88">
        <w:rPr>
          <w:rFonts w:cs="Times New Roman" w:eastAsia="Times New Roman"/>
          <w:lang w:eastAsia="hr-HR"/>
        </w:rPr>
        <w:t xml:space="preserve">tražbine upućuje u roku osam (8.) dana od pravomoćnosti ovog Rješenja podnijeti prijedlog za preuzimanje i nastavak takve parnice a ako to ne učine u tom roku, smatrat će se kako je odustao od prava na vođenje parnice. </w:t>
      </w:r>
    </w:p>
    <w:p w:rsidRDefault="001D4C88" w:rsidP="001D4C88" w:rsidR="001D4C88" w:rsidRPr="001D4C88">
      <w:pPr>
        <w:spacing w:after="0"/>
        <w:jc w:val="both"/>
        <w:rPr>
          <w:rFonts w:cs="Times New Roman" w:eastAsia="Times New Roman"/>
          <w:lang w:eastAsia="hr-HR"/>
        </w:rPr>
      </w:pPr>
    </w:p>
    <w:p w:rsidRDefault="001D4C88" w:rsidP="001D4C88" w:rsidR="001D4C88" w:rsidRPr="001D4C88">
      <w:pPr>
        <w:spacing w:after="0"/>
        <w:jc w:val="both"/>
        <w:rPr>
          <w:rFonts w:cs="Times New Roman" w:eastAsia="Times New Roman"/>
          <w:lang w:eastAsia="hr-HR"/>
        </w:rPr>
      </w:pPr>
      <w:r w:rsidRPr="001D4C88">
        <w:rPr>
          <w:rFonts w:cs="Times New Roman" w:eastAsia="Times New Roman"/>
          <w:lang w:eastAsia="hr-HR"/>
        </w:rPr>
        <w:t xml:space="preserve">          </w:t>
      </w:r>
      <w:r w:rsidRPr="001D4C88">
        <w:rPr>
          <w:rFonts w:cs="Times New Roman" w:eastAsia="Times New Roman"/>
          <w:b/>
          <w:lang w:eastAsia="hr-HR"/>
        </w:rPr>
        <w:t>4)</w:t>
      </w:r>
      <w:r w:rsidRPr="001D4C88">
        <w:rPr>
          <w:rFonts w:cs="Times New Roman" w:eastAsia="Times New Roman"/>
          <w:lang w:eastAsia="hr-HR"/>
        </w:rPr>
        <w:t xml:space="preserve"> Ovo će se Rješenje objaviti na mrežnoj stranici e-Oglasna ploča sudova.</w:t>
      </w:r>
    </w:p>
    <w:p w:rsidRDefault="001D4C88" w:rsidP="001D4C88" w:rsidR="001D4C88" w:rsidRPr="001D4C88">
      <w:pPr>
        <w:spacing w:after="0"/>
        <w:jc w:val="both"/>
        <w:rPr>
          <w:rFonts w:cs="Times New Roman" w:eastAsia="Times New Roman"/>
          <w:bCs/>
          <w:lang w:eastAsia="hr-HR"/>
        </w:rPr>
      </w:pPr>
    </w:p>
    <w:p w:rsidRDefault="001D4C88" w:rsidP="001D4C88" w:rsidR="001D4C88" w:rsidRPr="001D4C88">
      <w:pPr>
        <w:spacing w:after="0"/>
        <w:jc w:val="both"/>
        <w:rPr>
          <w:rFonts w:cs="Times New Roman" w:eastAsia="Times New Roman"/>
          <w:bCs/>
          <w:lang w:eastAsia="hr-HR"/>
        </w:rPr>
      </w:pPr>
    </w:p>
    <w:p w:rsidRDefault="001D4C88" w:rsidP="001D4C88" w:rsidR="001D4C88" w:rsidRPr="001D4C88">
      <w:pPr>
        <w:spacing w:after="0"/>
        <w:jc w:val="center"/>
        <w:rPr>
          <w:rFonts w:cs="Times New Roman" w:eastAsia="Times New Roman"/>
          <w:lang w:eastAsia="hr-HR"/>
        </w:rPr>
      </w:pPr>
      <w:r w:rsidRPr="001D4C88">
        <w:rPr>
          <w:rFonts w:cs="Times New Roman" w:eastAsia="Times New Roman"/>
          <w:lang w:eastAsia="hr-HR"/>
        </w:rPr>
        <w:t>Obrazloženje</w:t>
      </w:r>
    </w:p>
    <w:p w:rsidRDefault="001D4C88" w:rsidP="001D4C88" w:rsidR="001D4C88" w:rsidRPr="001D4C88">
      <w:pPr>
        <w:spacing w:after="0"/>
        <w:jc w:val="center"/>
        <w:rPr>
          <w:rFonts w:cs="Times New Roman" w:eastAsia="Times New Roman"/>
          <w:lang w:eastAsia="hr-HR"/>
        </w:rPr>
      </w:pPr>
    </w:p>
    <w:p w:rsidRDefault="001D4C88" w:rsidP="001D4C88" w:rsidR="001D4C88" w:rsidRPr="001D4C88">
      <w:pPr>
        <w:spacing w:after="0"/>
        <w:jc w:val="center"/>
        <w:rPr>
          <w:rFonts w:cs="Times New Roman" w:eastAsia="Times New Roman"/>
          <w:lang w:eastAsia="hr-HR"/>
        </w:rPr>
      </w:pPr>
    </w:p>
    <w:p w:rsidRDefault="001D4C88" w:rsidP="001D4C88" w:rsidR="001D4C88" w:rsidRPr="001D4C88">
      <w:pPr>
        <w:spacing w:after="0"/>
        <w:jc w:val="both"/>
        <w:rPr>
          <w:rFonts w:cs="Times New Roman" w:eastAsia="Times New Roman"/>
          <w:lang w:eastAsia="hr-HR"/>
        </w:rPr>
      </w:pPr>
      <w:r w:rsidRPr="001D4C88">
        <w:rPr>
          <w:rFonts w:cs="Times New Roman" w:eastAsia="Times New Roman"/>
          <w:lang w:eastAsia="hr-HR"/>
        </w:rPr>
        <w:t xml:space="preserve">          Rješenjem ovog Suda od 27. travnja 2018, broj: 14. St-297/2018. (Ex: St-264/2015), određeno je nastavljanje postupka radi naknadne diobe novopronađene stečajne mase u zaključenome stečajnom postupku nad bivšim stečajnim Dužnikom: SALONA COMMERCE, d.o.o., za trgovinu, ugostiteljstvo, turizam, transport i usluge, Solin, Gašpina Mlinica 31/A., OIB: 04136578436. Stečajni se postupak nastavlja u odnosu na stečajnu masu.</w:t>
      </w:r>
    </w:p>
    <w:p w:rsidRDefault="001D4C88" w:rsidP="001D4C88" w:rsidR="001D4C88" w:rsidRPr="001D4C88">
      <w:pPr>
        <w:spacing w:after="0"/>
        <w:jc w:val="both"/>
        <w:rPr>
          <w:rFonts w:cs="Times New Roman" w:eastAsia="Times New Roman"/>
          <w:lang w:eastAsia="hr-HR"/>
        </w:rPr>
      </w:pPr>
    </w:p>
    <w:p w:rsidRDefault="001D4C88" w:rsidP="001D4C88" w:rsidR="001D4C88" w:rsidRPr="001D4C88">
      <w:pPr>
        <w:spacing w:after="0"/>
        <w:jc w:val="both"/>
        <w:rPr>
          <w:rFonts w:cs="Times New Roman" w:eastAsia="Times New Roman"/>
          <w:lang w:eastAsia="hr-HR"/>
        </w:rPr>
      </w:pPr>
      <w:r w:rsidRPr="001D4C88">
        <w:rPr>
          <w:rFonts w:cs="Times New Roman" w:eastAsia="Times New Roman"/>
          <w:lang w:eastAsia="hr-HR"/>
        </w:rPr>
        <w:t xml:space="preserve">          Nakon što je jedan jedini vjerovnik prijavio tražbinu u stečajni postupak, ista je tražbina ispitana na Ispitnom ročištu održanom danas – 28. lipnja 2018. te je potom, također danas – 28. lipnja 2018. Sud sastavio Tablicu ispitanih tražbina, sukladno članku 264, SZ. Temeljem Tablice ispitanih tražbina, Sud je ovim Rješenjem, temeljem odredbe članka 265, stavka 1, SZ, odlučio o tome u kojem je iznosu i u kojem isplatnom redu utvrđena, odnosno, osporena jedna jedina prijavljena tražbina. </w:t>
      </w:r>
    </w:p>
    <w:p w:rsidRDefault="001D4C88" w:rsidP="001D4C88" w:rsidR="001D4C88" w:rsidRPr="001D4C88">
      <w:pPr>
        <w:spacing w:after="0"/>
        <w:jc w:val="both"/>
        <w:rPr>
          <w:rFonts w:cs="Times New Roman" w:eastAsia="Calibri"/>
        </w:rPr>
      </w:pPr>
    </w:p>
    <w:p w:rsidRDefault="001D4C88" w:rsidP="001D4C88" w:rsidR="001D4C88" w:rsidRPr="001D4C88">
      <w:pPr>
        <w:spacing w:after="0"/>
        <w:jc w:val="both"/>
        <w:rPr>
          <w:rFonts w:cs="Times New Roman" w:eastAsia="Calibri"/>
        </w:rPr>
      </w:pPr>
      <w:r w:rsidRPr="001D4C88">
        <w:rPr>
          <w:rFonts w:cs="Times New Roman" w:eastAsia="Calibri"/>
        </w:rPr>
        <w:t xml:space="preserve">          U odnosu na osporeni iznos tražbine, za naglasiti je kako je isti iznos osporen od strane Stečajne upraviteljice, osporeni iznos od: 7.530,43 kune od ukupno prijavljenog iznosa od: 37.921,99 kuna (preostali iznos od: 30.391,56 kuna je priznat i utvrđen točkom 1. izrijeke ovog Rješenja). Razlog osporavanja osporenog iznosa jest taj što ovaj osporeni iznos nije potraživanje vjerovnika Republike Hrvatske (RH) već je to potraživanje Hrvateske gospodarske komore (HGK) a Županijsko državno odvjetništvo (ŽDO) uz prijavu ove tražbine nije dostavilo punomoć za zastupanje HGK za prijavljeni i osporeni iznos tražbine od 7.530,43 kune. Činjenica što Porezna uprava vodi evidenciju o tražbinama HGK ne znači kako ŽDO kao zastupnik po zakonu RH zastupa po zakonu i HGK. Stoga Stečajna upraviteljica smatra kako ŽDO kao zastupnik po zakonu vjerovnika RH nije ovlašteno podnositi prijavu i za vjerovnika HGK bez punomoći iste HGK, bez obzira što Porezna prava po zakonu vodi evidenciju o tražbinama iste HGK. To je razlog osporavanja osporenog iznosa tražbine. Stečajna je upraviteljica istakla kako se osporeni iznos tražbine ne temelji na ovršnoj ispravi.</w:t>
      </w:r>
    </w:p>
    <w:p w:rsidRDefault="001D4C88" w:rsidP="001D4C88" w:rsidR="001D4C88" w:rsidRPr="001D4C88">
      <w:pPr>
        <w:spacing w:after="0"/>
        <w:jc w:val="both"/>
        <w:rPr>
          <w:rFonts w:cs="Times New Roman" w:eastAsia="Times New Roman"/>
          <w:lang w:eastAsia="hr-HR"/>
        </w:rPr>
      </w:pPr>
    </w:p>
    <w:p w:rsidRDefault="001D4C88" w:rsidP="001D4C88" w:rsidR="001D4C88" w:rsidRPr="001D4C88">
      <w:pPr>
        <w:spacing w:after="0"/>
        <w:jc w:val="both"/>
        <w:rPr>
          <w:rFonts w:cs="Times New Roman" w:eastAsia="Times New Roman"/>
          <w:lang w:eastAsia="hr-HR"/>
        </w:rPr>
      </w:pPr>
    </w:p>
    <w:p w:rsidRDefault="001D4C88" w:rsidP="001D4C88" w:rsidR="001D4C88" w:rsidRPr="001D4C88">
      <w:pPr>
        <w:spacing w:after="0"/>
        <w:jc w:val="both"/>
        <w:rPr>
          <w:rFonts w:cs="Times New Roman" w:eastAsia="Times New Roman"/>
          <w:lang w:eastAsia="hr-HR"/>
        </w:rPr>
      </w:pPr>
    </w:p>
    <w:p w:rsidRDefault="001D4C88" w:rsidP="001D4C88" w:rsidR="001D4C88" w:rsidRPr="001D4C88">
      <w:pPr>
        <w:spacing w:after="0"/>
        <w:jc w:val="both"/>
        <w:rPr>
          <w:rFonts w:cs="Times New Roman" w:eastAsia="Times New Roman"/>
          <w:lang w:eastAsia="hr-HR"/>
        </w:rPr>
      </w:pPr>
    </w:p>
    <w:p w:rsidRDefault="001D4C88" w:rsidP="001D4C88" w:rsidR="001D4C88" w:rsidRPr="001D4C88">
      <w:pPr>
        <w:spacing w:after="0"/>
        <w:jc w:val="both"/>
        <w:rPr>
          <w:rFonts w:cs="Times New Roman" w:eastAsia="Times New Roman"/>
          <w:lang w:eastAsia="hr-HR"/>
        </w:rPr>
      </w:pPr>
    </w:p>
    <w:p w:rsidRDefault="001D4C88" w:rsidP="001D4C88" w:rsidR="001D4C88" w:rsidRPr="001D4C88">
      <w:pPr>
        <w:spacing w:after="0"/>
        <w:jc w:val="both"/>
        <w:rPr>
          <w:rFonts w:cs="Times New Roman" w:eastAsia="Times New Roman"/>
          <w:lang w:eastAsia="hr-HR"/>
        </w:rPr>
      </w:pPr>
    </w:p>
    <w:p w:rsidRDefault="001D4C88" w:rsidP="001D4C88" w:rsidR="001D4C88" w:rsidRPr="001D4C88">
      <w:pPr>
        <w:spacing w:after="0"/>
        <w:jc w:val="both"/>
        <w:rPr>
          <w:rFonts w:cs="Times New Roman" w:eastAsia="Times New Roman"/>
          <w:lang w:eastAsia="hr-HR"/>
        </w:rPr>
      </w:pPr>
    </w:p>
    <w:p w:rsidRDefault="001D4C88" w:rsidP="001D4C88" w:rsidR="001D4C88" w:rsidRPr="001D4C88">
      <w:pPr>
        <w:spacing w:after="0"/>
        <w:jc w:val="both"/>
        <w:rPr>
          <w:rFonts w:cs="Times New Roman" w:eastAsia="Times New Roman"/>
          <w:lang w:eastAsia="hr-HR"/>
        </w:rPr>
      </w:pPr>
    </w:p>
    <w:p w:rsidRDefault="001D4C88" w:rsidP="001D4C88" w:rsidR="001D4C88" w:rsidRPr="001D4C88">
      <w:pPr>
        <w:spacing w:after="0"/>
        <w:jc w:val="right"/>
        <w:rPr>
          <w:rFonts w:cs="Times New Roman" w:eastAsia="Times New Roman"/>
          <w:b/>
          <w:lang w:eastAsia="hr-HR"/>
        </w:rPr>
      </w:pPr>
      <w:r w:rsidRPr="001D4C88">
        <w:rPr>
          <w:rFonts w:cs="Times New Roman" w:eastAsia="Times New Roman"/>
          <w:b/>
          <w:lang w:eastAsia="hr-HR"/>
        </w:rPr>
        <w:t>- 3 -</w:t>
      </w:r>
      <w:r w:rsidRPr="001D4C88">
        <w:rPr>
          <w:rFonts w:cs="Times New Roman" w:eastAsia="Times New Roman"/>
          <w:lang w:eastAsia="hr-HR"/>
        </w:rPr>
        <w:t xml:space="preserve">                                 </w:t>
      </w:r>
      <w:r w:rsidRPr="001D4C88">
        <w:rPr>
          <w:rFonts w:cs="Times New Roman" w:eastAsia="Times New Roman"/>
          <w:b/>
          <w:lang w:eastAsia="hr-HR"/>
        </w:rPr>
        <w:t>Broj:  14. St-297/2018.</w:t>
      </w:r>
    </w:p>
    <w:p w:rsidRDefault="001D4C88" w:rsidP="001D4C88" w:rsidR="001D4C88" w:rsidRPr="001D4C88">
      <w:pPr>
        <w:spacing w:after="0"/>
        <w:jc w:val="both"/>
        <w:rPr>
          <w:rFonts w:cs="Times New Roman" w:eastAsia="Times New Roman"/>
          <w:lang w:eastAsia="hr-HR"/>
        </w:rPr>
      </w:pPr>
    </w:p>
    <w:p w:rsidRDefault="001D4C88" w:rsidP="001D4C88" w:rsidR="001D4C88" w:rsidRPr="001D4C88">
      <w:pPr>
        <w:spacing w:after="0"/>
        <w:jc w:val="both"/>
        <w:rPr>
          <w:rFonts w:cs="Times New Roman" w:eastAsia="Times New Roman"/>
          <w:lang w:eastAsia="hr-HR"/>
        </w:rPr>
      </w:pPr>
    </w:p>
    <w:p w:rsidRDefault="001D4C88" w:rsidP="001D4C88" w:rsidR="001D4C88" w:rsidRPr="001D4C88">
      <w:pPr>
        <w:spacing w:after="0"/>
        <w:jc w:val="both"/>
        <w:rPr>
          <w:rFonts w:cs="Times New Roman" w:eastAsia="Times New Roman"/>
          <w:lang w:eastAsia="hr-HR"/>
        </w:rPr>
      </w:pPr>
    </w:p>
    <w:p w:rsidRDefault="001D4C88" w:rsidP="001D4C88" w:rsidR="001D4C88" w:rsidRPr="001D4C88">
      <w:pPr>
        <w:spacing w:after="0"/>
        <w:jc w:val="both"/>
        <w:rPr>
          <w:rFonts w:cs="Times New Roman" w:eastAsia="Times New Roman"/>
          <w:lang w:eastAsia="hr-HR"/>
        </w:rPr>
      </w:pPr>
    </w:p>
    <w:p w:rsidRDefault="001D4C88" w:rsidP="001D4C88" w:rsidR="001D4C88" w:rsidRPr="001D4C88">
      <w:pPr>
        <w:spacing w:after="0"/>
        <w:jc w:val="both"/>
        <w:rPr>
          <w:rFonts w:cs="Times New Roman" w:eastAsia="Times New Roman"/>
          <w:lang w:eastAsia="hr-HR"/>
        </w:rPr>
      </w:pPr>
      <w:r w:rsidRPr="001D4C88">
        <w:rPr>
          <w:rFonts w:cs="Times New Roman" w:eastAsia="Times New Roman"/>
          <w:lang w:eastAsia="hr-HR"/>
        </w:rPr>
        <w:tab/>
        <w:t xml:space="preserve">Vjerovnika osporenog iznosa tražbine i za osporeni iznos, Sud je uputio pokrenuti parnicu protiv Dužnika i to u roku od osam dana nakon pravomoćnosti ovog Rješenja, što je utemeljeno na odredbama članaka 266. i 267, SZ, radi čega je riješeno kao u točki 3) izrijeke Rješenja. </w:t>
      </w:r>
    </w:p>
    <w:p w:rsidRDefault="001D4C88" w:rsidP="001D4C88" w:rsidR="001D4C88" w:rsidRPr="001D4C88">
      <w:pPr>
        <w:spacing w:after="0"/>
        <w:jc w:val="both"/>
        <w:rPr>
          <w:rFonts w:cs="Times New Roman" w:eastAsia="Times New Roman"/>
          <w:lang w:eastAsia="hr-HR"/>
        </w:rPr>
      </w:pPr>
    </w:p>
    <w:p w:rsidRDefault="001D4C88" w:rsidP="001D4C88" w:rsidR="001D4C88" w:rsidRPr="001D4C88">
      <w:pPr>
        <w:spacing w:after="0"/>
        <w:jc w:val="both"/>
        <w:rPr>
          <w:rFonts w:cs="Times New Roman" w:eastAsia="Times New Roman"/>
          <w:lang w:eastAsia="hr-HR"/>
        </w:rPr>
      </w:pPr>
      <w:r w:rsidRPr="001D4C88">
        <w:rPr>
          <w:rFonts w:cs="Times New Roman" w:eastAsia="Times New Roman"/>
          <w:lang w:eastAsia="hr-HR"/>
        </w:rPr>
        <w:t xml:space="preserve">         Radi svega izloženog i temeljem navedenih odredaba SZ, riješeno je kao u izrijeci ovog Rješenja.</w:t>
      </w:r>
    </w:p>
    <w:p w:rsidRDefault="001D4C88" w:rsidP="001D4C88" w:rsidR="001D4C88" w:rsidRPr="001D4C88">
      <w:pPr>
        <w:spacing w:after="0"/>
        <w:jc w:val="both"/>
        <w:rPr>
          <w:rFonts w:cs="Times New Roman" w:eastAsia="Times New Roman"/>
          <w:lang w:eastAsia="hr-HR"/>
        </w:rPr>
      </w:pPr>
    </w:p>
    <w:p w:rsidRDefault="001D4C88" w:rsidP="001D4C88" w:rsidR="001D4C88" w:rsidRPr="001D4C88">
      <w:pPr>
        <w:spacing w:after="0"/>
        <w:jc w:val="center"/>
        <w:rPr>
          <w:rFonts w:cs="Times New Roman" w:eastAsia="Times New Roman"/>
          <w:lang w:eastAsia="hr-HR"/>
        </w:rPr>
      </w:pPr>
      <w:r w:rsidRPr="001D4C88">
        <w:rPr>
          <w:rFonts w:cs="Times New Roman" w:eastAsia="Times New Roman"/>
          <w:lang w:eastAsia="hr-HR"/>
        </w:rPr>
        <w:t>Split,  28. lipnja 2018.</w:t>
      </w:r>
    </w:p>
    <w:p w:rsidRDefault="001D4C88" w:rsidP="001D4C88" w:rsidR="001D4C88" w:rsidRPr="001D4C88">
      <w:pPr>
        <w:spacing w:after="0"/>
        <w:rPr>
          <w:rFonts w:cs="Times New Roman" w:eastAsia="Times New Roman"/>
          <w:lang w:eastAsia="hr-HR"/>
        </w:rPr>
      </w:pPr>
    </w:p>
    <w:p w:rsidRDefault="001D4C88" w:rsidP="001D4C88" w:rsidR="001D4C88" w:rsidRPr="001D4C88">
      <w:pPr>
        <w:spacing w:after="0"/>
        <w:ind w:left="142"/>
        <w:jc w:val="both"/>
        <w:rPr>
          <w:rFonts w:cs="Times New Roman" w:eastAsia="Times New Roman"/>
          <w:lang w:eastAsia="hr-HR"/>
        </w:rPr>
      </w:pPr>
      <w:r w:rsidRPr="001D4C88">
        <w:rPr>
          <w:rFonts w:cs="Times New Roman" w:eastAsia="Times New Roman"/>
          <w:lang w:eastAsia="hr-HR"/>
        </w:rPr>
        <w:t xml:space="preserve">                                                                                                                       S U D A C:</w:t>
      </w:r>
    </w:p>
    <w:p w:rsidRDefault="001D4C88" w:rsidP="001D4C88" w:rsidR="001D4C88" w:rsidRPr="001D4C88">
      <w:pPr>
        <w:spacing w:after="0"/>
        <w:ind w:left="142"/>
        <w:jc w:val="both"/>
        <w:rPr>
          <w:rFonts w:cs="Times New Roman" w:eastAsia="Times New Roman"/>
          <w:lang w:eastAsia="hr-HR"/>
        </w:rPr>
      </w:pPr>
      <w:r w:rsidRPr="001D4C88">
        <w:rPr>
          <w:rFonts w:cs="Times New Roman" w:eastAsia="Times New Roman"/>
          <w:lang w:eastAsia="hr-HR"/>
        </w:rPr>
        <w:t xml:space="preserve">                                                                                                                   Jozo Ćaleta, v.r.,</w:t>
      </w:r>
    </w:p>
    <w:p w:rsidRDefault="001D4C88" w:rsidP="001D4C88" w:rsidR="001D4C88" w:rsidRPr="001D4C88">
      <w:pPr>
        <w:spacing w:after="0"/>
        <w:ind w:left="142"/>
        <w:rPr>
          <w:rFonts w:cs="Times New Roman" w:eastAsia="Times New Roman"/>
          <w:lang w:eastAsia="hr-HR"/>
        </w:rPr>
      </w:pPr>
    </w:p>
    <w:p w:rsidRDefault="001D4C88" w:rsidP="001D4C88" w:rsidR="001D4C88" w:rsidRPr="001D4C88">
      <w:pPr>
        <w:spacing w:after="0"/>
        <w:jc w:val="both"/>
        <w:rPr>
          <w:rFonts w:cs="Times New Roman" w:eastAsia="Times New Roman"/>
          <w:lang w:eastAsia="hr-HR"/>
        </w:rPr>
      </w:pPr>
      <w:r w:rsidRPr="001D4C88">
        <w:rPr>
          <w:rFonts w:cs="Times New Roman" w:eastAsia="Times New Roman"/>
          <w:u w:val="single"/>
          <w:lang w:eastAsia="hr-HR"/>
        </w:rPr>
        <w:t>Pravna pouka:</w:t>
      </w:r>
      <w:r w:rsidRPr="001D4C88">
        <w:rPr>
          <w:rFonts w:cs="Times New Roman" w:eastAsia="Times New Roman"/>
          <w:lang w:eastAsia="hr-HR"/>
        </w:rPr>
        <w:t xml:space="preserve"> Protiv ovog Rješenja može se izjaviti žalba u roku od osam (8) dana</w:t>
      </w:r>
      <w:r w:rsidRPr="001D4C88">
        <w:rPr>
          <w:rFonts w:cs="Times New Roman" w:eastAsia="Times New Roman"/>
          <w:noProof/>
          <w:lang w:eastAsia="hr-HR"/>
        </w:rPr>
        <w:t xml:space="preserve"> nakon proteka osmog dana od dana objave Rješenja na mrežnoj stranici e-Oglasna ploča sudova</w:t>
      </w:r>
      <w:r w:rsidRPr="001D4C88">
        <w:rPr>
          <w:rFonts w:cs="Times New Roman" w:eastAsia="Times New Roman"/>
          <w:lang w:eastAsia="hr-HR"/>
        </w:rPr>
        <w:t>. Žalba se podnosi u tri primjerka Trgovačkom sudu u Splitu, Split, Sukoišanska 6, kao sudu prvog stupnja a o istoj žalbi u drugom stupnju odlučuje Visoki trgovački sud Republike Hrvatske u Zagrebu.</w:t>
      </w:r>
    </w:p>
    <w:p w:rsidRDefault="001D4C88" w:rsidP="001D4C88" w:rsidR="001D4C88" w:rsidRPr="001D4C88">
      <w:pPr>
        <w:spacing w:after="0"/>
        <w:jc w:val="both"/>
        <w:rPr>
          <w:rFonts w:cs="Times New Roman" w:eastAsia="Times New Roman"/>
          <w:lang w:eastAsia="hr-HR"/>
        </w:rPr>
      </w:pPr>
    </w:p>
    <w:p w:rsidRDefault="001D4C88" w:rsidP="001D4C88" w:rsidR="001D4C88" w:rsidRPr="001D4C88">
      <w:pPr>
        <w:spacing w:after="0"/>
        <w:jc w:val="both"/>
        <w:rPr>
          <w:rFonts w:cs="Times New Roman" w:eastAsia="Times New Roman"/>
          <w:lang w:eastAsia="hr-HR"/>
        </w:rPr>
      </w:pPr>
    </w:p>
    <w:p w:rsidRDefault="001D4C88" w:rsidP="001D4C88" w:rsidR="001D4C88" w:rsidRPr="001D4C88">
      <w:pPr>
        <w:spacing w:after="0"/>
        <w:jc w:val="both"/>
        <w:rPr>
          <w:rFonts w:cs="Times New Roman" w:eastAsia="Times New Roman"/>
          <w:lang w:eastAsia="hr-HR"/>
        </w:rPr>
      </w:pPr>
      <w:r w:rsidRPr="001D4C88">
        <w:rPr>
          <w:rFonts w:cs="Times New Roman" w:eastAsia="Times New Roman"/>
          <w:lang w:eastAsia="hr-HR"/>
        </w:rPr>
        <w:t xml:space="preserve"> </w:t>
      </w:r>
    </w:p>
    <w:p w:rsidRDefault="001D4C88" w:rsidP="001D4C88" w:rsidR="001D4C88" w:rsidRPr="001D4C88">
      <w:pPr>
        <w:spacing w:after="0"/>
        <w:jc w:val="both"/>
        <w:rPr>
          <w:rFonts w:cs="Times New Roman" w:eastAsia="Times New Roman"/>
          <w:lang w:eastAsia="hr-HR"/>
        </w:rPr>
      </w:pPr>
      <w:r w:rsidRPr="001D4C88">
        <w:rPr>
          <w:rFonts w:cs="Times New Roman" w:eastAsia="Times New Roman"/>
          <w:u w:val="single"/>
          <w:lang w:eastAsia="hr-HR"/>
        </w:rPr>
        <w:t>Dna:</w:t>
      </w:r>
      <w:r w:rsidRPr="001D4C88">
        <w:rPr>
          <w:rFonts w:cs="Times New Roman" w:eastAsia="Times New Roman"/>
          <w:lang w:eastAsia="hr-HR"/>
        </w:rPr>
        <w:t xml:space="preserve"> </w:t>
      </w:r>
    </w:p>
    <w:p w:rsidRDefault="001D4C88" w:rsidP="001D4C88" w:rsidR="001D4C88" w:rsidRPr="001D4C88">
      <w:pPr>
        <w:spacing w:after="0"/>
        <w:jc w:val="both"/>
        <w:rPr>
          <w:rFonts w:cs="Times New Roman" w:eastAsia="Times New Roman"/>
          <w:lang w:eastAsia="hr-HR"/>
        </w:rPr>
      </w:pPr>
      <w:r w:rsidRPr="001D4C88">
        <w:rPr>
          <w:rFonts w:cs="Times New Roman" w:eastAsia="Times New Roman"/>
          <w:lang w:eastAsia="hr-HR"/>
        </w:rPr>
        <w:t xml:space="preserve">1)    Stečajna upraviteljica: </w:t>
      </w:r>
      <w:r w:rsidRPr="001D4C88">
        <w:rPr>
          <w:rFonts w:cs="Times New Roman" w:eastAsia="Times New Roman"/>
        </w:rPr>
        <w:t>Ada Rajković, Split, Matice hrvatske 10, osobno,</w:t>
      </w:r>
    </w:p>
    <w:p w:rsidRDefault="001D4C88" w:rsidP="001D4C88" w:rsidR="001D4C88" w:rsidRPr="001D4C88">
      <w:pPr>
        <w:spacing w:after="0"/>
        <w:rPr>
          <w:rFonts w:cs="Times New Roman" w:eastAsia="Times New Roman"/>
          <w:lang w:eastAsia="hr-HR"/>
        </w:rPr>
      </w:pPr>
      <w:r w:rsidRPr="001D4C88">
        <w:rPr>
          <w:rFonts w:cs="Times New Roman" w:eastAsia="Times New Roman"/>
          <w:lang w:eastAsia="hr-HR"/>
        </w:rPr>
        <w:t xml:space="preserve">2)    Županijskom državnom odvjetništvu u Splitu – Građansko-upravni odjel, kao zastupniku </w:t>
      </w:r>
    </w:p>
    <w:p w:rsidRDefault="001D4C88" w:rsidP="001D4C88" w:rsidR="001D4C88" w:rsidRPr="001D4C88">
      <w:pPr>
        <w:spacing w:after="0"/>
        <w:rPr>
          <w:rFonts w:cs="Times New Roman" w:eastAsia="Times New Roman"/>
          <w:lang w:eastAsia="hr-HR"/>
        </w:rPr>
      </w:pPr>
      <w:r w:rsidRPr="001D4C88">
        <w:rPr>
          <w:rFonts w:cs="Times New Roman" w:eastAsia="Times New Roman"/>
          <w:lang w:eastAsia="hr-HR"/>
        </w:rPr>
        <w:t xml:space="preserve">        po zakonu stečajnog vjerovnika Republike Hrvatske, osobno,</w:t>
      </w:r>
    </w:p>
    <w:p w:rsidRDefault="001D4C88" w:rsidP="001D4C88" w:rsidR="001D4C88" w:rsidRPr="001D4C88">
      <w:pPr>
        <w:spacing w:after="0"/>
        <w:jc w:val="both"/>
        <w:rPr>
          <w:rFonts w:cs="Times New Roman" w:eastAsia="Times New Roman"/>
          <w:lang w:eastAsia="hr-HR"/>
        </w:rPr>
      </w:pPr>
      <w:r w:rsidRPr="001D4C88">
        <w:rPr>
          <w:rFonts w:cs="Times New Roman" w:eastAsia="Times New Roman"/>
          <w:lang w:eastAsia="hr-HR"/>
        </w:rPr>
        <w:t>3)    Mrežna stranica e-Oglasna ploča sudova -rok: 30. dana,</w:t>
      </w:r>
    </w:p>
    <w:p w:rsidRDefault="001D4C88" w:rsidP="001D4C88" w:rsidR="001D4C88" w:rsidRPr="001D4C88">
      <w:pPr>
        <w:spacing w:after="0"/>
        <w:jc w:val="both"/>
        <w:rPr>
          <w:rFonts w:cs="Times New Roman" w:eastAsia="Times New Roman"/>
          <w:lang w:eastAsia="hr-HR"/>
        </w:rPr>
      </w:pPr>
      <w:r w:rsidRPr="001D4C88">
        <w:rPr>
          <w:rFonts w:cs="Times New Roman" w:eastAsia="Times New Roman"/>
          <w:lang w:eastAsia="hr-HR"/>
        </w:rPr>
        <w:t>4)    Spis</w:t>
      </w:r>
    </w:p>
    <w:p w:rsidRDefault="001D4C88" w:rsidP="001D4C88" w:rsidR="001D4C88" w:rsidRPr="001D4C88">
      <w:pPr>
        <w:spacing w:after="0"/>
        <w:jc w:val="both"/>
        <w:rPr>
          <w:rFonts w:cs="Times New Roman" w:eastAsia="Times New Roman"/>
          <w:lang w:eastAsia="hr-HR"/>
        </w:rPr>
      </w:pPr>
    </w:p>
    <w:p w:rsidRDefault="001D4C88" w:rsidP="001D4C88" w:rsidR="001D4C88" w:rsidRPr="001D4C88">
      <w:pPr>
        <w:spacing w:after="0"/>
        <w:jc w:val="both"/>
        <w:rPr>
          <w:rFonts w:cs="Times New Roman" w:eastAsia="Times New Roman"/>
          <w:lang w:eastAsia="hr-HR"/>
        </w:rPr>
      </w:pPr>
    </w:p>
    <w:p w:rsidRDefault="001D4C88" w:rsidP="001D4C88" w:rsidR="001D4C88" w:rsidRPr="001D4C88">
      <w:pPr>
        <w:spacing w:after="0"/>
        <w:jc w:val="both"/>
        <w:rPr>
          <w:rFonts w:cs="Times New Roman" w:eastAsia="Times New Roman"/>
          <w:lang w:eastAsia="hr-HR"/>
        </w:rPr>
      </w:pPr>
    </w:p>
    <w:p w:rsidRDefault="001D4C88" w:rsidP="001D4C88" w:rsidR="001D4C88" w:rsidRPr="001D4C88">
      <w:pPr>
        <w:spacing w:after="0"/>
        <w:jc w:val="both"/>
        <w:rPr>
          <w:rFonts w:cs="Times New Roman" w:eastAsia="Times New Roman"/>
          <w:lang w:eastAsia="hr-HR"/>
        </w:rPr>
      </w:pPr>
      <w:r w:rsidRPr="001D4C88">
        <w:rPr>
          <w:rFonts w:cs="Times New Roman" w:eastAsia="Times New Roman"/>
          <w:lang w:eastAsia="hr-HR"/>
        </w:rPr>
        <w:t>Split, 28. lipnja 2018.</w:t>
      </w:r>
      <w:r w:rsidRPr="001D4C88">
        <w:rPr>
          <w:rFonts w:cs="Times New Roman" w:eastAsia="Times New Roman"/>
          <w:lang w:eastAsia="hr-HR"/>
        </w:rPr>
        <w:tab/>
      </w:r>
      <w:r w:rsidRPr="001D4C88">
        <w:rPr>
          <w:rFonts w:cs="Times New Roman" w:eastAsia="Times New Roman"/>
          <w:lang w:eastAsia="hr-HR"/>
        </w:rPr>
        <w:tab/>
      </w:r>
      <w:r w:rsidRPr="001D4C88">
        <w:rPr>
          <w:rFonts w:cs="Times New Roman" w:eastAsia="Times New Roman"/>
          <w:lang w:eastAsia="hr-HR"/>
        </w:rPr>
        <w:tab/>
      </w:r>
      <w:r w:rsidRPr="001D4C88">
        <w:rPr>
          <w:rFonts w:cs="Times New Roman" w:eastAsia="Times New Roman"/>
          <w:lang w:eastAsia="hr-HR"/>
        </w:rPr>
        <w:tab/>
        <w:t xml:space="preserve">     Sudac: Jozo Ćaleta,</w:t>
      </w:r>
    </w:p>
    <w:p w:rsidRDefault="001D4C88" w:rsidP="001D4C88" w:rsidR="001D4C88" w:rsidRPr="001D4C88">
      <w:pPr>
        <w:spacing w:after="0"/>
        <w:ind w:left="142"/>
        <w:jc w:val="both"/>
        <w:rPr>
          <w:rFonts w:cs="Times New Roman" w:eastAsia="Times New Roman"/>
          <w:lang w:eastAsia="hr-HR"/>
        </w:rPr>
      </w:pPr>
    </w:p>
    <w:p w:rsidRDefault="001D4C88" w:rsidP="001D4C88" w:rsidR="001D4C88" w:rsidRPr="001D4C88">
      <w:pPr>
        <w:spacing w:after="0"/>
        <w:jc w:val="both"/>
        <w:rPr>
          <w:rFonts w:cs="Times New Roman" w:eastAsia="Times New Roman"/>
          <w:lang w:eastAsia="hr-HR"/>
        </w:rPr>
      </w:pPr>
    </w:p>
    <w:p w:rsidRDefault="001D4C88" w:rsidP="001D4C88" w:rsidR="001D4C88" w:rsidRPr="001D4C88">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4C88"/>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473729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St-297/2018-12</izvorni_sadrzaj>
    <derivirana_varijabla naziv="DomainObject.Oznaka_1">St-297/2018-12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izvorni_sadrzaj>
    <derivirana_varijabla naziv="DomainObject.Predmet.Broj_1">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2018.</izvorni_sadrzaj>
    <derivirana_varijabla naziv="DomainObject.Predmet.DatumOsnivanja_1">23.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St-297/2018</izvorni_sadrzaj>
    <derivirana_varijabla naziv="DomainObject.Predmet.OznakaBroj_1">St-297/2018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SALONA COMMERCE društvo s ograničenom odgovornošću za trgovinu, ugostiteljstvo, turizam, transport i uslu</izvorni_sadrzaj>
    <derivirana_varijabla naziv="DomainObject.Predmet.ProtustrankaFormated_1">  Stečajna masa iza SALONA COMMERCE društvo s ograničenom odgovornošću za trgovinu, ugostiteljstvo, turizam, transport i uslu</derivirana_varijabla>
  </DomainObject.Predmet.ProtustrankaFormated>
  <DomainObject.Predmet.ProtustrankaFormatedOIB>
    <izvorni_sadrzaj>  Stečajna masa iza SALONA COMMERCE društvo s ograničenom odgovornošću za trgovinu, ugostiteljstvo, turizam, transport i uslu, OIB 93851034778</izvorni_sadrzaj>
    <derivirana_varijabla naziv="DomainObject.Predmet.ProtustrankaFormatedOIB_1">  Stečajna masa iza SALONA COMMERCE društvo s ograničenom odgovornošću za trgovinu, ugostiteljstvo, turizam, transport i uslu, OIB 93851034778</derivirana_varijabla>
  </DomainObject.Predmet.ProtustrankaFormatedOIB>
  <DomainObject.Predmet.ProtustrankaFormatedWithAdress>
    <izvorni_sadrzaj> Stečajna masa iza SALONA COMMERCE društvo s ograničenom odgovornošću za trgovinu, ugostiteljstvo, turizam, transport i uslu, Matice Hrvatske 10, 21000 Split</izvorni_sadrzaj>
    <derivirana_varijabla naziv="DomainObject.Predmet.ProtustrankaFormatedWithAdress_1"> Stečajna masa iza SALONA COMMERCE društvo s ograničenom odgovornošću za trgovinu, ugostiteljstvo, turizam, transport i uslu, Matice Hrvatske 10, 21000 Split</derivirana_varijabla>
  </DomainObject.Predmet.ProtustrankaFormatedWithAdress>
  <DomainObject.Predmet.ProtustrankaFormatedWithAdressOIB>
    <izvorni_sadrzaj> Stečajna masa iza SALONA COMMERCE društvo s ograničenom odgovornošću za trgovinu, ugostiteljstvo, turizam, transport i uslu, OIB 93851034778, Matice Hrvatske 10, 21000 Split</izvorni_sadrzaj>
    <derivirana_varijabla naziv="DomainObject.Predmet.ProtustrankaFormatedWithAdressOIB_1"> Stečajna masa iza SALONA COMMERCE društvo s ograničenom odgovornošću za trgovinu, ugostiteljstvo, turizam, transport i uslu, OIB 93851034778, Matice Hrvatske 10, 21000 Split</derivirana_varijabla>
  </DomainObject.Predmet.ProtustrankaFormatedWithAdressOIB>
  <DomainObject.Predmet.ProtustrankaWithAdress>
    <izvorni_sadrzaj>Stečajna masa iza SALONA COMMERCE društvo s ograničenom odgovornošću za trgovinu, ugostiteljstvo, turizam, transport i uslu Matice Hrvatske 10, 21000 Split</izvorni_sadrzaj>
    <derivirana_varijabla naziv="DomainObject.Predmet.ProtustrankaWithAdress_1">Stečajna masa iza SALONA COMMERCE društvo s ograničenom odgovornošću za trgovinu, ugostiteljstvo, turizam, transport i uslu Matice Hrvatske 10, 21000 Split</derivirana_varijabla>
  </DomainObject.Predmet.ProtustrankaWithAdress>
  <DomainObject.Predmet.ProtustrankaWithAdressOIB>
    <izvorni_sadrzaj>Stečajna masa iza SALONA COMMERCE društvo s ograničenom odgovornošću za trgovinu, ugostiteljstvo, turizam, transport i uslu, OIB 93851034778, Matice Hrvatske 10, 21000 Split</izvorni_sadrzaj>
    <derivirana_varijabla naziv="DomainObject.Predmet.ProtustrankaWithAdressOIB_1">Stečajna masa iza SALONA COMMERCE društvo s ograničenom odgovornošću za trgovinu, ugostiteljstvo, turizam, transport i uslu, OIB 93851034778, Matice Hrvatske 10, 21000 Split</derivirana_varijabla>
  </DomainObject.Predmet.ProtustrankaWithAdressOIB>
  <DomainObject.Predmet.ProtustrankaNazivFormated>
    <izvorni_sadrzaj>Stečajna masa iza SALONA COMMERCE društvo s ograničenom odgovornošću za trgovinu, ugostiteljstvo, turizam, transport i uslu</izvorni_sadrzaj>
    <derivirana_varijabla naziv="DomainObject.Predmet.ProtustrankaNazivFormated_1">Stečajna masa iza SALONA COMMERCE društvo s ograničenom odgovornošću za trgovinu, ugostiteljstvo, turizam, transport i uslu</derivirana_varijabla>
  </DomainObject.Predmet.ProtustrankaNazivFormated>
  <DomainObject.Predmet.ProtustrankaNazivFormatedOIB>
    <izvorni_sadrzaj>Stečajna masa iza SALONA COMMERCE društvo s ograničenom odgovornošću za trgovinu, ugostiteljstvo, turizam, transport i uslu, OIB 93851034778</izvorni_sadrzaj>
    <derivirana_varijabla naziv="DomainObject.Predmet.ProtustrankaNazivFormatedOIB_1">Stečajna masa iza SALONA COMMERCE društvo s ograničenom odgovornošću za trgovinu, ugostiteljstvo, turizam, transport i uslu, OIB 93851034778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SALONA COMMERCE društvo s ograničenom odgovornošću za trgovinu, ugostiteljstvo, turizam, transport i uslu</item>
    </izvorni_sadrzaj>
    <derivirana_varijabla naziv="DomainObject.Predmet.ProtuStrankaListFormated_1">
      <item>Stečajna masa iza SALONA COMMERCE društvo s ograničenom odgovornošću za trgovinu, ugostiteljstvo, turizam, transport i uslu</item>
    </derivirana_varijabla>
  </DomainObject.Predmet.ProtuStrankaListFormated>
  <DomainObject.Predmet.ProtuStrankaListFormatedOIB>
    <izvorni_sadrzaj>
      <item>Stečajna masa iza SALONA COMMERCE društvo s ograničenom odgovornošću za trgovinu, ugostiteljstvo, turizam, transport i uslu, OIB 93851034778</item>
    </izvorni_sadrzaj>
    <derivirana_varijabla naziv="DomainObject.Predmet.ProtuStrankaListFormatedOIB_1">
      <item>Stečajna masa iza SALONA COMMERCE društvo s ograničenom odgovornošću za trgovinu, ugostiteljstvo, turizam, transport i uslu, OIB 93851034778</item>
    </derivirana_varijabla>
  </DomainObject.Predmet.ProtuStrankaListFormatedOIB>
  <DomainObject.Predmet.ProtuStrankaListFormatedWithAdress>
    <izvorni_sadrzaj>
      <item>Stečajna masa iza SALONA COMMERCE društvo s ograničenom odgovornošću za trgovinu, ugostiteljstvo, turizam, transport i uslu, Matice Hrvatske 10, 21000 Split</item>
    </izvorni_sadrzaj>
    <derivirana_varijabla naziv="DomainObject.Predmet.ProtuStrankaListFormatedWithAdress_1">
      <item>Stečajna masa iza SALONA COMMERCE društvo s ograničenom odgovornošću za trgovinu, ugostiteljstvo, turizam, transport i uslu, Matice Hrvatske 10, 21000 Split</item>
    </derivirana_varijabla>
  </DomainObject.Predmet.ProtuStrankaListFormatedWithAdress>
  <DomainObject.Predmet.ProtuStrankaListFormatedWithAdressOIB>
    <izvorni_sadrzaj>
      <item>Stečajna masa iza SALONA COMMERCE društvo s ograničenom odgovornošću za trgovinu, ugostiteljstvo, turizam, transport i uslu, OIB 93851034778, Matice Hrvatske 10, 21000 Split</item>
    </izvorni_sadrzaj>
    <derivirana_varijabla naziv="DomainObject.Predmet.ProtuStrankaListFormatedWithAdressOIB_1">
      <item>Stečajna masa iza SALONA COMMERCE društvo s ograničenom odgovornošću za trgovinu, ugostiteljstvo, turizam, transport i uslu, OIB 93851034778, Matice Hrvatske 10, 21000 Split</item>
    </derivirana_varijabla>
  </DomainObject.Predmet.ProtuStrankaListFormatedWithAdressOIB>
  <DomainObject.Predmet.ProtuStrankaListNazivFormated>
    <izvorni_sadrzaj>
      <item>Stečajna masa iza SALONA COMMERCE društvo s ograničenom odgovornošću za trgovinu, ugostiteljstvo, turizam, transport i uslu</item>
    </izvorni_sadrzaj>
    <derivirana_varijabla naziv="DomainObject.Predmet.ProtuStrankaListNazivFormated_1">
      <item>Stečajna masa iza SALONA COMMERCE društvo s ograničenom odgovornošću za trgovinu, ugostiteljstvo, turizam, transport i uslu</item>
    </derivirana_varijabla>
  </DomainObject.Predmet.ProtuStrankaListNazivFormated>
  <DomainObject.Predmet.ProtuStrankaListNazivFormatedOIB>
    <izvorni_sadrzaj>
      <item>Stečajna masa iza SALONA COMMERCE društvo s ograničenom odgovornošću za trgovinu, ugostiteljstvo, turizam, transport i uslu, OIB 93851034778</item>
    </izvorni_sadrzaj>
    <derivirana_varijabla naziv="DomainObject.Predmet.ProtuStrankaListNazivFormatedOIB_1">
      <item>Stečajna masa iza SALONA COMMERCE društvo s ograničenom odgovornošću za trgovinu, ugostiteljstvo, turizam, transport i uslu, OIB 93851034778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St-297/2018-12</izvorni_sadrzaj>
    <derivirana_varijabla naziv="DomainObject.PoslovniBrojDokumenta_1">St-297/2018-12</derivirana_varijabla>
  </DomainObject.PoslovniBrojDokumenta>
  <DomainObject.Predmet.StrankaIDrugi>
    <izvorni_sadrzaj/>
    <derivirana_varijabla naziv="DomainObject.Predmet.StrankaIDrugi_1"/>
  </DomainObject.Predmet.StrankaIDrugi>
  <DomainObject.Predmet.ProtustrankaIDrugi>
    <izvorni_sadrzaj>Stečajna masa iza SALONA COMMERCE društvo s ograničenom odgovornošću za trgovinu, ugostiteljstvo, turizam, transport i uslu</izvorni_sadrzaj>
    <derivirana_varijabla naziv="DomainObject.Predmet.ProtustrankaIDrugi_1">Stečajna masa iza SALONA COMMERCE društvo s ograničenom odgovornošću za trgovinu, ugostiteljstvo, turizam, transport i uslu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SALONA COMMERCE društvo s ograničenom odgovornošću za trgovinu, ugostiteljstvo, turizam, transport i uslu, OIB 93851034778, Matice Hrvatske 10, 21000 Split</izvorni_sadrzaj>
    <derivirana_varijabla naziv="DomainObject.Predmet.ProtustrankaIDrugiAdressOIB_1">Stečajna masa iza SALONA COMMERCE društvo s ograničenom odgovornošću za trgovinu, ugostiteljstvo, turizam, transport i uslu, OIB 93851034778, Matice Hrvatske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SALONA COMMERCE društvo s ograničenom odgovornošću za trgovinu, ugostiteljstvo, turizam, transport i uslu</item>
    </izvorni_sadrzaj>
    <derivirana_varijabla naziv="DomainObject.Predmet.SudioniciListNaziv_1">
      <item>Stečajna masa iza SALONA COMMERCE društvo s ograničenom odgovornošću za trgovinu, ugostiteljstvo, turizam, transport i uslu</item>
    </derivirana_varijabla>
  </DomainObject.Predmet.SudioniciListNaziv>
  <DomainObject.Predmet.SudioniciListAdressOIB>
    <izvorni_sadrzaj>
      <item>Stečajna masa iza SALONA COMMERCE društvo s ograničenom odgovornošću za trgovinu, ugostiteljstvo, turizam, transport i uslu, OIB 93851034778, Matice Hrvatske 10,21000 Split</item>
    </izvorni_sadrzaj>
    <derivirana_varijabla naziv="DomainObject.Predmet.SudioniciListAdressOIB_1">
      <item>Stečajna masa iza SALONA COMMERCE društvo s ograničenom odgovornošću za trgovinu, ugostiteljstvo, turizam, transport i uslu, OIB 93851034778, Matice Hrvatske 10,21000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E530D8-E7AE-434F-96D6-3FC04E2611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885</properties:Words>
  <properties:Characters>4793</properties:Characters>
  <properties:Lines>135</properties:Lines>
  <properties:Paragraphs>31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2018-06-28T11:53:00Z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St-297/2018-12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