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8aff" w14:paraId="db88aff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33482D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33482D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402F81" w:rsidRPr="00402F81">
        <w:rPr>
          <w:rFonts w:hAnsi="Times New Roman" w:ascii="Times New Roman"/>
          <w:b w:val="false"/>
        </w:rPr>
        <w:t>Trgovački sud u Pazinu, po sucu Ivanu Dujiću, u stečajnom postupku nad dužnikom INTEC d.o.o. u stečaju Pula, Radićeva 40, OIB: 98649267172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402F81">
        <w:rPr>
          <w:rFonts w:hAnsi="Times New Roman" w:ascii="Times New Roman"/>
          <w:b w:val="false"/>
        </w:rPr>
        <w:t>1</w:t>
      </w:r>
      <w:r w:rsidR="00DC7BE1">
        <w:rPr>
          <w:rFonts w:hAnsi="Times New Roman" w:ascii="Times New Roman"/>
          <w:b w:val="false"/>
        </w:rPr>
        <w:t>0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DC7BE1">
        <w:rPr>
          <w:rFonts w:hAnsi="Times New Roman" w:ascii="Times New Roman"/>
          <w:b w:val="false"/>
        </w:rPr>
        <w:t>sr</w:t>
      </w:r>
      <w:r w:rsidR="00402F81">
        <w:rPr>
          <w:rFonts w:hAnsi="Times New Roman" w:ascii="Times New Roman"/>
          <w:b w:val="false"/>
        </w:rPr>
        <w:t>pnja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5B3F6A" w:rsidR="005B3F6A" w:rsidRPr="005B3F6A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5B3F6A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554A68">
        <w:rPr>
          <w:rFonts w:hAnsi="Times New Roman" w:ascii="Times New Roman"/>
          <w:b w:val="false"/>
        </w:rPr>
        <w:t>označen</w:t>
      </w:r>
      <w:r w:rsidR="005B3F6A">
        <w:rPr>
          <w:rFonts w:hAnsi="Times New Roman" w:ascii="Times New Roman"/>
          <w:b w:val="false"/>
        </w:rPr>
        <w:t>ih</w:t>
      </w:r>
      <w:r w:rsidR="00554A68">
        <w:rPr>
          <w:rFonts w:hAnsi="Times New Roman" w:ascii="Times New Roman"/>
          <w:b w:val="false"/>
        </w:rPr>
        <w:t xml:space="preserve"> kao</w:t>
      </w:r>
      <w:r w:rsidR="005B3F6A" w:rsidRPr="005B3F6A">
        <w:rPr>
          <w:rFonts w:hAnsi="Times New Roman" w:ascii="Times New Roman"/>
          <w:b w:val="false"/>
        </w:rPr>
        <w:t xml:space="preserve"> k.č. 245/4 k.o. Premantura, stambena zgrada, dvorište uz stambenu zgradu, Runjačica 50/b podul. 1 – 15, i to:</w:t>
      </w:r>
    </w:p>
    <w:p w:rsidRDefault="005B3F6A" w:rsidP="005B3F6A" w:rsidR="005B3F6A" w:rsidRPr="005B3F6A">
      <w:pPr>
        <w:jc w:val="both"/>
        <w:rPr>
          <w:rFonts w:hAnsi="Times New Roman" w:ascii="Times New Roman"/>
          <w:b w:val="false"/>
        </w:rPr>
      </w:pPr>
      <w:r w:rsidRPr="005B3F6A">
        <w:rPr>
          <w:rFonts w:hAnsi="Times New Roman" w:ascii="Times New Roman"/>
          <w:b w:val="false"/>
        </w:rPr>
        <w:tab/>
      </w:r>
      <w:r w:rsidRPr="005B3F6A">
        <w:rPr>
          <w:rFonts w:hAnsi="Times New Roman" w:ascii="Times New Roman"/>
          <w:b w:val="false"/>
        </w:rPr>
        <w:tab/>
        <w:t>- 7. Suvlasnički dio: 46/654 ETAŽNO VLASNIŠTVO (E-7) s kojim je povezano pravo vlasništva na posebnom dijelu stan-apartman A7 na I. katu koji se sastoji od kuhinje, blagovaonice i dnevnog boravka površine 25,90 m2, kupaone površine 4,55 m2, spavaće sobe površine 10,20 m2 i terase površine 5,25 m2, ukupne površine 45,90 m2, a koji je na Planu posebnih dijelova zgrade označen kao A7, obojan ljubičastom bojom, označen brojevima od 31 do 34,</w:t>
      </w:r>
    </w:p>
    <w:p w:rsidRDefault="005B3F6A" w:rsidP="005B3F6A" w:rsidR="005B3F6A" w:rsidRPr="005B3F6A">
      <w:pPr>
        <w:jc w:val="both"/>
        <w:rPr>
          <w:rFonts w:hAnsi="Times New Roman" w:ascii="Times New Roman"/>
          <w:b w:val="false"/>
        </w:rPr>
      </w:pPr>
      <w:r w:rsidRPr="005B3F6A">
        <w:rPr>
          <w:rFonts w:hAnsi="Times New Roman" w:ascii="Times New Roman"/>
          <w:b w:val="false"/>
        </w:rPr>
        <w:tab/>
      </w:r>
      <w:r w:rsidRPr="005B3F6A">
        <w:rPr>
          <w:rFonts w:hAnsi="Times New Roman" w:ascii="Times New Roman"/>
          <w:b w:val="false"/>
        </w:rPr>
        <w:tab/>
        <w:t>- 10. Suvlasnički dio: 43/654 ETAŽNO VLASNIŠTVO (E-10) s kojim je povezano pravo vlasništva na posebnom dijelu konoba u podrumu ukupne površine 42,74 m2, a koja je na Planu posebnih dijelova označen kao B, obojan svjetlo plavom bojom, označena brojem 50,</w:t>
      </w:r>
    </w:p>
    <w:p w:rsidRDefault="005B3F6A" w:rsidP="005B3F6A" w:rsidR="005B3F6A" w:rsidRPr="005B3F6A">
      <w:pPr>
        <w:jc w:val="both"/>
        <w:rPr>
          <w:rFonts w:hAnsi="Times New Roman" w:ascii="Times New Roman"/>
          <w:b w:val="false"/>
        </w:rPr>
      </w:pPr>
      <w:r w:rsidRPr="005B3F6A">
        <w:rPr>
          <w:rFonts w:hAnsi="Times New Roman" w:ascii="Times New Roman"/>
          <w:b w:val="false"/>
        </w:rPr>
        <w:tab/>
      </w:r>
      <w:r w:rsidRPr="005B3F6A">
        <w:rPr>
          <w:rFonts w:hAnsi="Times New Roman" w:ascii="Times New Roman"/>
          <w:b w:val="false"/>
        </w:rPr>
        <w:tab/>
        <w:t>- 13. Suvlasnički dio: 14/654 ETAŽNO VLASNIŠTVO (E-13) s kojim je povezano pravo vlasništva na posebnom dijelu garaža u podrumu, ukupne površine 14,37 m2, a koja je na Planu posebnih dijelova zgrade označena slovom E, obojana crvenom bojom, označena brojem 54,</w:t>
      </w:r>
    </w:p>
    <w:p w:rsidRDefault="005B3F6A" w:rsidP="005B3F6A" w:rsidR="005B3F6A">
      <w:pPr>
        <w:jc w:val="both"/>
        <w:rPr>
          <w:rFonts w:hAnsi="Times New Roman" w:ascii="Times New Roman"/>
          <w:b w:val="false"/>
        </w:rPr>
      </w:pPr>
      <w:r w:rsidRPr="005B3F6A">
        <w:rPr>
          <w:rFonts w:hAnsi="Times New Roman" w:ascii="Times New Roman"/>
          <w:b w:val="false"/>
        </w:rPr>
        <w:tab/>
      </w:r>
      <w:r w:rsidRPr="005B3F6A">
        <w:rPr>
          <w:rFonts w:hAnsi="Times New Roman" w:ascii="Times New Roman"/>
          <w:b w:val="false"/>
        </w:rPr>
        <w:tab/>
        <w:t>- 14. Suvlasnički dio: 14/654 ETAŽNO VLASNIŠTVO (E-14) s kojim je povezano pravo vlasništva na posebnom dijelu garaža u podrumu, ukupne površine 14,45 m2, a koja je na Planu posebnih dijelova zgrade označena slovom F, obojana smeđom bojom, označena brojem 55</w:t>
      </w:r>
      <w:r>
        <w:rPr>
          <w:rFonts w:hAnsi="Times New Roman" w:ascii="Times New Roman"/>
          <w:b w:val="false"/>
        </w:rPr>
        <w:t>,</w:t>
      </w:r>
    </w:p>
    <w:p w:rsidRDefault="005B3F6A" w:rsidP="00554A68" w:rsidR="00DA5BD1" w:rsidRPr="008F776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402F81">
        <w:rPr>
          <w:rFonts w:hAnsi="Times New Roman" w:ascii="Times New Roman"/>
          <w:b w:val="false"/>
        </w:rPr>
        <w:t xml:space="preserve">iznosi </w:t>
      </w:r>
      <w:r w:rsidR="00DC7BE1">
        <w:rPr>
          <w:rFonts w:hAnsi="Times New Roman" w:ascii="Times New Roman"/>
          <w:b w:val="false"/>
        </w:rPr>
        <w:t>727.037,96</w:t>
      </w:r>
      <w:r w:rsidR="00402F81">
        <w:rPr>
          <w:rFonts w:hAnsi="Times New Roman" w:ascii="Times New Roman"/>
          <w:b w:val="false"/>
        </w:rPr>
        <w:t xml:space="preserve"> kuna</w:t>
      </w:r>
      <w:r w:rsidR="00DA5BD1"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DC7BE1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C7BE1" w:rsidR="00DC7BE1" w:rsidRPr="00DC7BE1">
      <w:pPr>
        <w:pStyle w:val="Odlomakpopisa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DC7BE1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DC7BE1">
        <w:rPr>
          <w:rFonts w:hAnsi="Times New Roman" w:ascii="Times New Roman"/>
          <w:b w:val="false"/>
        </w:rPr>
        <w:t>e</w:t>
      </w:r>
      <w:r w:rsidR="002330FA" w:rsidRPr="002330FA">
        <w:t xml:space="preserve"> </w:t>
      </w:r>
      <w:r w:rsidR="00DC7BE1" w:rsidRPr="00DC7BE1">
        <w:rPr>
          <w:rFonts w:hAnsi="Times New Roman" w:ascii="Times New Roman"/>
          <w:b w:val="false"/>
        </w:rPr>
        <w:t>k.č. 245/4 k.o. Premantura, stambena zgrada, dvorište uz stambenu zgradu, Runjačica 50/b podul. 1 – 15, i to:</w:t>
      </w:r>
    </w:p>
    <w:p w:rsidRDefault="00DC7BE1" w:rsidP="00DC7BE1" w:rsidR="00DC7BE1" w:rsidRPr="00DC7BE1">
      <w:pPr>
        <w:pStyle w:val="Odlomakpopisa"/>
        <w:jc w:val="both"/>
        <w:rPr>
          <w:rFonts w:hAnsi="Times New Roman" w:ascii="Times New Roman"/>
          <w:b w:val="false"/>
        </w:rPr>
      </w:pPr>
      <w:r w:rsidRPr="00DC7BE1">
        <w:rPr>
          <w:rFonts w:hAnsi="Times New Roman" w:ascii="Times New Roman"/>
          <w:b w:val="false"/>
        </w:rPr>
        <w:tab/>
        <w:t xml:space="preserve">- 7. Suvlasnički dio: 46/654 ETAŽNO VLASNIŠTVO (E-7) s kojim je povezano pravo vlasništva na posebnom dijelu stan-apartman A7 na I. katu koji se sastoji od </w:t>
      </w:r>
      <w:r w:rsidRPr="00DC7BE1">
        <w:rPr>
          <w:rFonts w:hAnsi="Times New Roman" w:ascii="Times New Roman"/>
          <w:b w:val="false"/>
        </w:rPr>
        <w:lastRenderedPageBreak/>
        <w:t>kuhinje, blagovaonice i dnevnog boravka površine 25,90 m2, kupaone površine 4,55 m2, spavaće sobe površine 10,20 m2 i terase površine 5,25 m2, ukupne površine 45,90 m2, a koji je na Planu posebnih dijelova zgrade označen kao A7, obojan ljubičastom bojom, označen brojevima od 31 do 34,</w:t>
      </w:r>
    </w:p>
    <w:p w:rsidRDefault="00DC7BE1" w:rsidP="00DC7BE1" w:rsidR="00DC7BE1" w:rsidRPr="00DC7BE1">
      <w:pPr>
        <w:pStyle w:val="Odlomakpopisa"/>
        <w:jc w:val="both"/>
        <w:rPr>
          <w:rFonts w:hAnsi="Times New Roman" w:ascii="Times New Roman"/>
          <w:b w:val="false"/>
        </w:rPr>
      </w:pPr>
      <w:r w:rsidRPr="00DC7BE1">
        <w:rPr>
          <w:rFonts w:hAnsi="Times New Roman" w:ascii="Times New Roman"/>
          <w:b w:val="false"/>
        </w:rPr>
        <w:tab/>
        <w:t>- 10. Suvlasnički dio: 43/654 ETAŽNO VLASNIŠTVO (E-10) s kojim je povezano pravo vlasništva na posebnom dijelu konoba u podrumu ukupne površine 42,74 m2, a koja je na Planu posebnih dijelova označen kao B, obojan svjetlo plavom bojom, označena brojem 50,</w:t>
      </w:r>
    </w:p>
    <w:p w:rsidRDefault="00DC7BE1" w:rsidP="00DC7BE1" w:rsidR="00DC7BE1" w:rsidRPr="00DC7BE1">
      <w:pPr>
        <w:pStyle w:val="Odlomakpopisa"/>
        <w:jc w:val="both"/>
        <w:rPr>
          <w:rFonts w:hAnsi="Times New Roman" w:ascii="Times New Roman"/>
          <w:b w:val="false"/>
        </w:rPr>
      </w:pPr>
      <w:r w:rsidRPr="00DC7BE1">
        <w:rPr>
          <w:rFonts w:hAnsi="Times New Roman" w:ascii="Times New Roman"/>
          <w:b w:val="false"/>
        </w:rPr>
        <w:tab/>
        <w:t>- 13. Suvlasnički dio: 14/654 ETAŽNO VLASNIŠTVO (E-13) s kojim je povezano pravo vlasništva na posebnom dijelu garaža u podrumu, ukupne površine 14,37 m2, a koja je na Planu posebnih dijelova zgrade označena slovom E, obojana crvenom bojom, označena brojem 54,</w:t>
      </w:r>
    </w:p>
    <w:p w:rsidRDefault="00DC7BE1" w:rsidP="00DC7BE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DC7BE1">
        <w:rPr>
          <w:rFonts w:hAnsi="Times New Roman" w:ascii="Times New Roman"/>
          <w:b w:val="false"/>
        </w:rPr>
        <w:tab/>
      </w:r>
      <w:r w:rsidRPr="00DC7BE1">
        <w:rPr>
          <w:rFonts w:hAnsi="Times New Roman" w:ascii="Times New Roman"/>
          <w:b w:val="false"/>
        </w:rPr>
        <w:tab/>
        <w:t>- 14. Suvlasnički dio: 14/654 ETAŽNO VLASNIŠTVO (E-14) s kojim je povezano pravo vlasništva na posebnom dijelu garaža u podrumu, ukupne površine 14,45 m2, a koja je na Planu posebnih dijelova zgrade označena slovom F, obojana smeđom bojom, označena brojem 55</w:t>
      </w:r>
      <w:r w:rsidR="00993205"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DC3DA9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iznosi </w:t>
      </w:r>
      <w:r w:rsidR="00DC7BE1" w:rsidRPr="00DC7BE1">
        <w:rPr>
          <w:rFonts w:hAnsi="Times New Roman" w:ascii="Times New Roman"/>
          <w:b w:val="false"/>
          <w:color w:val="000000"/>
          <w:lang w:eastAsia="hr-HR"/>
        </w:rPr>
        <w:t xml:space="preserve">727.037,96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DC3DA9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DC3DA9">
        <w:rPr>
          <w:rFonts w:hAnsi="Times New Roman" w:ascii="Times New Roman"/>
          <w:b w:val="false"/>
        </w:rPr>
        <w:t xml:space="preserve">gu </w:t>
      </w:r>
      <w:r w:rsidR="00DA5BD1" w:rsidRPr="008F7763">
        <w:rPr>
          <w:rFonts w:hAnsi="Times New Roman" w:ascii="Times New Roman"/>
          <w:b w:val="false"/>
        </w:rPr>
        <w:t>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DC7BE1">
        <w:rPr>
          <w:rFonts w:hAnsi="Times New Roman" w:ascii="Times New Roman"/>
          <w:b w:val="false"/>
        </w:rPr>
        <w:t>545.278,47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397928">
        <w:rPr>
          <w:rFonts w:hAnsi="Times New Roman" w:ascii="Times New Roman"/>
          <w:b w:val="false"/>
        </w:rPr>
        <w:t>363.518,98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397928">
        <w:rPr>
          <w:rFonts w:hAnsi="Times New Roman" w:ascii="Times New Roman"/>
          <w:b w:val="false"/>
        </w:rPr>
        <w:t>181.759,49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402F81">
        <w:rPr>
          <w:rFonts w:hAnsi="Times New Roman" w:ascii="Times New Roman"/>
          <w:b w:val="false"/>
        </w:rPr>
        <w:t>1</w:t>
      </w:r>
      <w:r w:rsidR="00D6090A">
        <w:rPr>
          <w:rFonts w:hAnsi="Times New Roman" w:ascii="Times New Roman"/>
          <w:b w:val="false"/>
        </w:rPr>
        <w:t>0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D6090A">
        <w:rPr>
          <w:rFonts w:hAnsi="Times New Roman" w:ascii="Times New Roman"/>
          <w:b w:val="false"/>
        </w:rPr>
        <w:t>srpnja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A60DB4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235F6C" w:rsidP="00235F6C" w:rsidR="00235F6C" w:rsidRP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e – oglasna ploča 8 dana</w:t>
      </w:r>
    </w:p>
    <w:p w:rsidRDefault="00235F6C" w:rsidP="00235F6C" w:rsidR="00235F6C" w:rsidRP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stečajnom upravitelju Bogdanu Veselinoviću iz Rijeke, Marijana Stepčića 34</w:t>
      </w:r>
    </w:p>
    <w:p w:rsidRDefault="00235F6C" w:rsidP="00235F6C" w:rsidR="00235F6C" w:rsidRP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Sospes d.o.o. Zagreb, Ulica grada Vukovara 269d</w:t>
      </w:r>
    </w:p>
    <w:p w:rsidRDefault="00235F6C" w:rsidP="00235F6C" w:rsidR="00235F6C" w:rsidRP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Republika Hrvatska, Ministarstvo Financija, Porezna uprava, po ŽDO Pula</w:t>
      </w:r>
    </w:p>
    <w:p w:rsidRDefault="00235F6C" w:rsidP="00235F6C" w:rsid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HEP-operator distribucijskog sustava d.o.o. Zagreb, Ulica grada Vukovara 37</w:t>
      </w:r>
    </w:p>
    <w:p w:rsidRDefault="00661BC8" w:rsidP="00235F6C" w:rsidR="00661BC8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879" w:rsidP="00DA5BD1" w:rsidR="00352879">
      <w:r>
        <w:separator/>
      </w:r>
    </w:p>
  </w:endnote>
  <w:endnote w:id="0" w:type="continuationSeparator">
    <w:p w:rsidRDefault="00352879" w:rsidP="00DA5BD1" w:rsidR="00352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DB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DB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60DB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879" w:rsidP="00DA5BD1" w:rsidR="00352879">
      <w:r>
        <w:separator/>
      </w:r>
    </w:p>
  </w:footnote>
  <w:footnote w:id="0" w:type="continuationSeparator">
    <w:p w:rsidRDefault="00352879" w:rsidP="00DA5BD1" w:rsidR="00352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33482D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A60DB4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2330FA">
          <w:rPr>
            <w:rFonts w:hAnsi="Times New Roman" w:ascii="Times New Roman"/>
            <w:b w:val="false"/>
          </w:rPr>
          <w:t xml:space="preserve">             </w:t>
        </w:r>
        <w:r w:rsidR="00402F81" w:rsidRPr="00402F81">
          <w:rPr>
            <w:rFonts w:hAnsi="Times New Roman" w:ascii="Times New Roman"/>
            <w:b w:val="false"/>
          </w:rPr>
          <w:t xml:space="preserve">                                         </w:t>
        </w:r>
        <w:r w:rsidR="00402F81">
          <w:rPr>
            <w:rFonts w:hAnsi="Times New Roman" w:ascii="Times New Roman"/>
            <w:b w:val="false"/>
          </w:rPr>
          <w:tab/>
        </w:r>
        <w:r w:rsidR="00402F81">
          <w:rPr>
            <w:rFonts w:hAnsi="Times New Roman" w:ascii="Times New Roman"/>
            <w:b w:val="false"/>
          </w:rPr>
          <w:tab/>
        </w:r>
        <w:r w:rsidR="00DC7BE1" w:rsidRPr="00DC7BE1">
          <w:rPr>
            <w:rFonts w:hAnsi="Times New Roman" w:ascii="Times New Roman"/>
            <w:b w:val="false"/>
          </w:rPr>
          <w:t>Posl. br. 10 St-534/16-71</w:t>
        </w:r>
      </w:p>
    </w:sdtContent>
  </w:sdt>
  <w:p w:rsidRDefault="00A60DB4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="002330FA">
      <w:rPr>
        <w:rFonts w:hAnsi="Times New Roman" w:ascii="Times New Roman"/>
        <w:b w:val="false"/>
      </w:rPr>
      <w:t>Posl. br. 10 St-</w:t>
    </w:r>
    <w:r w:rsidR="00402F81">
      <w:rPr>
        <w:rFonts w:hAnsi="Times New Roman" w:ascii="Times New Roman"/>
        <w:b w:val="false"/>
      </w:rPr>
      <w:t>534</w:t>
    </w:r>
    <w:r w:rsidR="002330FA">
      <w:rPr>
        <w:rFonts w:hAnsi="Times New Roman" w:ascii="Times New Roman"/>
        <w:b w:val="false"/>
      </w:rPr>
      <w:t>/16-</w:t>
    </w:r>
    <w:r w:rsidR="00DC7BE1">
      <w:rPr>
        <w:rFonts w:hAnsi="Times New Roman" w:ascii="Times New Roman"/>
        <w:b w:val="false"/>
      </w:rPr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1597"/>
    <w:rsid w:val="00046301"/>
    <w:rsid w:val="00057935"/>
    <w:rsid w:val="000D22DD"/>
    <w:rsid w:val="0010030D"/>
    <w:rsid w:val="001062FB"/>
    <w:rsid w:val="0016197B"/>
    <w:rsid w:val="00174BB1"/>
    <w:rsid w:val="001B7C33"/>
    <w:rsid w:val="001C65C2"/>
    <w:rsid w:val="00213C46"/>
    <w:rsid w:val="00224E4E"/>
    <w:rsid w:val="002330FA"/>
    <w:rsid w:val="00235F6C"/>
    <w:rsid w:val="00236662"/>
    <w:rsid w:val="002B561F"/>
    <w:rsid w:val="002D7040"/>
    <w:rsid w:val="0033482D"/>
    <w:rsid w:val="003441C8"/>
    <w:rsid w:val="00352879"/>
    <w:rsid w:val="00361F4E"/>
    <w:rsid w:val="003771B6"/>
    <w:rsid w:val="00392EDD"/>
    <w:rsid w:val="00397928"/>
    <w:rsid w:val="00402F81"/>
    <w:rsid w:val="004208E2"/>
    <w:rsid w:val="004550A0"/>
    <w:rsid w:val="004B1F9B"/>
    <w:rsid w:val="005437C1"/>
    <w:rsid w:val="00550DEE"/>
    <w:rsid w:val="00554328"/>
    <w:rsid w:val="00554A68"/>
    <w:rsid w:val="00571F92"/>
    <w:rsid w:val="00586781"/>
    <w:rsid w:val="00594642"/>
    <w:rsid w:val="00594825"/>
    <w:rsid w:val="005B3F6A"/>
    <w:rsid w:val="005C1524"/>
    <w:rsid w:val="005E6CD5"/>
    <w:rsid w:val="00601649"/>
    <w:rsid w:val="006262E4"/>
    <w:rsid w:val="00661BC8"/>
    <w:rsid w:val="006C36F9"/>
    <w:rsid w:val="00721D15"/>
    <w:rsid w:val="00740611"/>
    <w:rsid w:val="00743022"/>
    <w:rsid w:val="00774020"/>
    <w:rsid w:val="007B071B"/>
    <w:rsid w:val="00802734"/>
    <w:rsid w:val="00804970"/>
    <w:rsid w:val="008168E6"/>
    <w:rsid w:val="00822DFE"/>
    <w:rsid w:val="008756FB"/>
    <w:rsid w:val="008A4209"/>
    <w:rsid w:val="008A77D9"/>
    <w:rsid w:val="008D7386"/>
    <w:rsid w:val="008F74D9"/>
    <w:rsid w:val="008F7763"/>
    <w:rsid w:val="009070E7"/>
    <w:rsid w:val="00911CE0"/>
    <w:rsid w:val="00973351"/>
    <w:rsid w:val="009754C9"/>
    <w:rsid w:val="00985388"/>
    <w:rsid w:val="00993205"/>
    <w:rsid w:val="00A40F0E"/>
    <w:rsid w:val="00A60DB4"/>
    <w:rsid w:val="00AD175C"/>
    <w:rsid w:val="00AD64A4"/>
    <w:rsid w:val="00AE5E3F"/>
    <w:rsid w:val="00B70CB0"/>
    <w:rsid w:val="00B90FED"/>
    <w:rsid w:val="00BD3032"/>
    <w:rsid w:val="00C37CD8"/>
    <w:rsid w:val="00C77146"/>
    <w:rsid w:val="00C776FA"/>
    <w:rsid w:val="00C95559"/>
    <w:rsid w:val="00D50A1D"/>
    <w:rsid w:val="00D5342A"/>
    <w:rsid w:val="00D6090A"/>
    <w:rsid w:val="00D74D57"/>
    <w:rsid w:val="00DA5BD1"/>
    <w:rsid w:val="00DC3DA9"/>
    <w:rsid w:val="00DC7BE1"/>
    <w:rsid w:val="00E07196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DB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DB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DB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DB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DB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DB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DB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DB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5.6.17. vraćen sa uvida iz ref. 9
Od 23.5.2017. u referadi 9 - na uvidu</izvorni_sadrzaj>
    <derivirana_varijabla naziv="DomainObject.Predmet.PrimjedbaSuca_1">5.6.17. vraćen sa uvida iz ref. 9
Od 23.5.2017. u referadi 9 - na uvidu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</izvorni_sadrzaj>
    <derivirana_varijabla naziv="DomainObject.Predmet.OstaliListFormated_1">
      <item>Odvjetničko društvo GOLUB I PARTNERI d.o.o. Zagreb</item>
    </derivirana_varijabla>
  </DomainObject.Predmet.OstaliListFormated>
  <DomainObject.Predmet.OstaliListFormatedOIB>
    <izvorni_sadrzaj>
      <item>Odvjetničko društvo GOLUB I PARTNERI d.o.o. Zagreb, OIB 36714247867</item>
    </izvorni_sadrzaj>
    <derivirana_varijabla naziv="DomainObject.Predmet.OstaliListFormatedOIB_1">
      <item>Odvjetničko društvo GOLUB I PARTNERI d.o.o. Zagreb, OIB 36714247867</item>
    </derivirana_varijabla>
  </DomainObject.Predmet.OstaliListFormatedOIB>
  <DomainObject.Predmet.OstaliListFormatedWithAdress>
    <izvorni_sadrzaj>
      <item>Odvjetničko društvo GOLUB I PARTNERI d.o.o. Zagreb, Ljudevita Gaja 2/a, 10000 Zagreb</item>
    </izvorni_sadrzaj>
    <derivirana_varijabla naziv="DomainObject.Predmet.OstaliListFormatedWithAdress_1">
      <item>Odvjetničko društvo GOLUB I PARTNERI d.o.o. Zagreb, Ljudevita Gaja 2/a, 10000 Zagreb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</izvorni_sadrzaj>
    <derivirana_varijabla naziv="DomainObject.Predmet.OstaliListFormatedWithAdressOIB_1">
      <item>Odvjetničko društvo GOLUB I PARTNERI d.o.o. Zagreb, OIB 36714247867, Ljudevita Gaja 2/a, 10000 Zagreb</item>
    </derivirana_varijabla>
  </DomainObject.Predmet.OstaliListFormatedWithAdressOIB>
  <DomainObject.Predmet.OstaliListNazivFormated>
    <izvorni_sadrzaj>
      <item>Odvjetničko društvo GOLUB I PARTNERI d.o.o. Zagreb</item>
    </izvorni_sadrzaj>
    <derivirana_varijabla naziv="DomainObject.Predmet.OstaliListNazivFormated_1">
      <item>Odvjetničko društvo GOLUB I PARTNERI d.o.o. Zagreb</item>
    </derivirana_varijabla>
  </DomainObject.Predmet.OstaliListNazivFormated>
  <DomainObject.Predmet.OstaliListNazivFormatedOIB>
    <izvorni_sadrzaj>
      <item>Odvjetničko društvo GOLUB I PARTNERI d.o.o. Zagreb, OIB 36714247867</item>
    </izvorni_sadrzaj>
    <derivirana_varijabla naziv="DomainObject.Predmet.OstaliListNazivFormatedOIB_1">
      <item>Odvjetničko društvo GOLUB I PARTNERI d.o.o. Zagreb,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</izvorni_sadrzaj>
    <derivirana_varijabla naziv="DomainObject.Predmet.SudioniciListNazivOIB_1">
      <item>, OIB 98649267172</item>
      <item>, OIB 85821130368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848</properties:Words>
  <properties:Characters>4551</properties:Characters>
  <properties:Lines>110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2017-07-10T11:52:00Z</dcterms:created>
  <dc:creator>Jasmina Matika</dc:creator>
  <cp:lastModifiedBy>Sanja Lakošeljac</cp:lastModifiedBy>
  <dcterms:modified xmlns:xsi="http://www.w3.org/2001/XMLSchema-instance" xsi:type="dcterms:W3CDTF">2017-07-10T11:54:00Z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