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23686" w14:paraId="c823686" w:rsidRDefault="00536672" w:rsidP="00536672" w:rsidR="00536672" w:rsidRPr="0033314D">
      <w:pPr>
        <w:jc w:val="both"/>
        <w15:collapsed w:val="false"/>
        <w:rPr>
          <w:rFonts w:cs="Times New Roman" w:hAnsi="Times New Roman" w:ascii="Times New Roman"/>
          <w:b/>
          <w:sz w:val="28"/>
          <w:szCs w:val="28"/>
        </w:rPr>
      </w:pPr>
      <w:bookmarkStart w:name="_GoBack" w:id="0"/>
      <w:bookmarkEnd w:id="0"/>
      <w:r w:rsidRPr="0033314D">
        <w:rPr>
          <w:rFonts w:cs="Times New Roman" w:hAnsi="Times New Roman" w:ascii="Times New Roman"/>
          <w:b/>
          <w:sz w:val="28"/>
          <w:szCs w:val="28"/>
        </w:rPr>
        <w:t>OBRAZAC 21</w:t>
      </w:r>
    </w:p>
    <w:p w:rsidRDefault="00536672" w:rsidP="00536672" w:rsidR="00536672" w:rsidRPr="0033314D">
      <w:pPr>
        <w:jc w:val="center"/>
        <w:rPr>
          <w:rFonts w:cs="Times New Roman" w:hAnsi="Times New Roman" w:ascii="Times New Roman"/>
          <w:b/>
          <w:sz w:val="28"/>
          <w:szCs w:val="28"/>
        </w:rPr>
      </w:pPr>
    </w:p>
    <w:p w:rsidRDefault="00536672" w:rsidP="00536672" w:rsidR="00536672" w:rsidRPr="0033314D">
      <w:pPr>
        <w:jc w:val="center"/>
        <w:rPr>
          <w:rFonts w:cs="Times New Roman" w:hAnsi="Times New Roman" w:ascii="Times New Roman"/>
          <w:sz w:val="24"/>
          <w:szCs w:val="24"/>
        </w:rPr>
      </w:pPr>
      <w:r w:rsidRPr="0033314D">
        <w:rPr>
          <w:rFonts w:cs="Times New Roman" w:hAnsi="Times New Roman" w:ascii="Times New Roman"/>
          <w:b/>
          <w:color w:themeTint="D9" w:themeColor="text1" w:val="262626"/>
          <w:sz w:val="24"/>
          <w:szCs w:val="24"/>
        </w:rPr>
        <w:t>GRADNJA TRGOVINA LUČIĆ d.o.o. u stečaju</w:t>
      </w:r>
    </w:p>
    <w:p w:rsidRDefault="00536672" w:rsidP="00536672" w:rsidR="00536672" w:rsidRPr="0033314D">
      <w:pPr>
        <w:jc w:val="center"/>
        <w:rPr>
          <w:rFonts w:cs="Times New Roman" w:hAnsi="Times New Roman" w:ascii="Times New Roman"/>
          <w:b/>
          <w:color w:themeTint="D9" w:themeColor="text1" w:val="262626"/>
          <w:sz w:val="24"/>
          <w:szCs w:val="24"/>
        </w:rPr>
      </w:pPr>
      <w:r w:rsidRPr="0033314D">
        <w:rPr>
          <w:rFonts w:cs="Times New Roman" w:hAnsi="Times New Roman" w:ascii="Times New Roman"/>
          <w:b/>
          <w:color w:themeTint="D9" w:themeColor="text1" w:val="262626"/>
          <w:sz w:val="24"/>
          <w:szCs w:val="24"/>
        </w:rPr>
        <w:t>Jazbina 20/A</w:t>
      </w:r>
    </w:p>
    <w:p w:rsidRDefault="00536672" w:rsidP="00536672" w:rsidR="00536672" w:rsidRPr="0033314D">
      <w:pPr>
        <w:jc w:val="center"/>
        <w:rPr>
          <w:rFonts w:cs="Times New Roman" w:hAnsi="Times New Roman" w:ascii="Times New Roman"/>
          <w:sz w:val="24"/>
          <w:szCs w:val="24"/>
        </w:rPr>
      </w:pPr>
      <w:r w:rsidRPr="0033314D">
        <w:rPr>
          <w:rFonts w:cs="Times New Roman" w:hAnsi="Times New Roman" w:ascii="Times New Roman"/>
          <w:b/>
          <w:color w:themeTint="D9" w:themeColor="text1" w:val="262626"/>
          <w:sz w:val="24"/>
          <w:szCs w:val="24"/>
        </w:rPr>
        <w:t xml:space="preserve"> 10000 Zagreb</w:t>
      </w:r>
    </w:p>
    <w:p w:rsidRDefault="00536672" w:rsidP="00536672" w:rsidR="00536672" w:rsidRPr="0033314D">
      <w:pPr>
        <w:jc w:val="center"/>
        <w:rPr>
          <w:rFonts w:cs="Times New Roman" w:hAnsi="Times New Roman" w:ascii="Times New Roman"/>
          <w:b/>
          <w:color w:themeTint="D9" w:themeColor="text1" w:val="262626"/>
          <w:sz w:val="24"/>
          <w:szCs w:val="24"/>
        </w:rPr>
      </w:pPr>
      <w:r w:rsidRPr="0033314D">
        <w:rPr>
          <w:rFonts w:cs="Times New Roman" w:hAnsi="Times New Roman" w:ascii="Times New Roman"/>
          <w:b/>
          <w:color w:themeTint="D9" w:themeColor="text1" w:val="262626"/>
          <w:sz w:val="24"/>
          <w:szCs w:val="24"/>
        </w:rPr>
        <w:t>OIB: 50944999255</w:t>
      </w:r>
    </w:p>
    <w:p w:rsidRDefault="00536672" w:rsidP="00536672" w:rsidR="00536672" w:rsidRPr="0033314D">
      <w:pPr>
        <w:rPr>
          <w:rFonts w:cs="Times New Roman" w:hAnsi="Times New Roman" w:ascii="Times New Roman"/>
          <w:b/>
          <w:sz w:val="24"/>
          <w:szCs w:val="24"/>
        </w:rPr>
      </w:pPr>
      <w:r w:rsidRPr="0033314D">
        <w:rPr>
          <w:rFonts w:cs="Times New Roman" w:hAnsi="Times New Roman" w:ascii="Times New Roman"/>
          <w:b/>
          <w:sz w:val="24"/>
          <w:szCs w:val="24"/>
        </w:rPr>
        <w:t>STEČAJNI UPRAVITELJ</w:t>
      </w:r>
    </w:p>
    <w:p w:rsidRDefault="00536672" w:rsidP="00536672" w:rsidR="00536672" w:rsidRPr="0033314D">
      <w:pPr>
        <w:rPr>
          <w:rFonts w:cs="Times New Roman" w:hAnsi="Times New Roman" w:ascii="Times New Roman"/>
          <w:b/>
          <w:sz w:val="24"/>
          <w:szCs w:val="24"/>
        </w:rPr>
      </w:pPr>
      <w:r w:rsidRPr="0033314D">
        <w:rPr>
          <w:rFonts w:cs="Times New Roman" w:hAnsi="Times New Roman" w:ascii="Times New Roman"/>
          <w:b/>
          <w:sz w:val="24"/>
          <w:szCs w:val="24"/>
        </w:rPr>
        <w:t>ZORAN MIHAJLOVIĆ</w:t>
      </w:r>
    </w:p>
    <w:p w:rsidRDefault="00536672" w:rsidP="00536672" w:rsidR="00536672" w:rsidRPr="0033314D">
      <w:pPr>
        <w:rPr>
          <w:rFonts w:cs="Times New Roman" w:hAnsi="Times New Roman" w:ascii="Times New Roman"/>
          <w:b/>
          <w:sz w:val="24"/>
          <w:szCs w:val="24"/>
        </w:rPr>
      </w:pPr>
      <w:r w:rsidRPr="0033314D">
        <w:rPr>
          <w:rFonts w:cs="Times New Roman" w:hAnsi="Times New Roman" w:ascii="Times New Roman"/>
          <w:b/>
          <w:sz w:val="24"/>
          <w:szCs w:val="24"/>
        </w:rPr>
        <w:t>Rendićeva 31</w:t>
      </w:r>
    </w:p>
    <w:p w:rsidRDefault="00536672" w:rsidP="00536672" w:rsidR="00536672" w:rsidRPr="0033314D">
      <w:pPr>
        <w:rPr>
          <w:rFonts w:cs="Times New Roman" w:hAnsi="Times New Roman" w:ascii="Times New Roman"/>
          <w:b/>
          <w:sz w:val="24"/>
          <w:szCs w:val="24"/>
        </w:rPr>
      </w:pPr>
      <w:r w:rsidRPr="0033314D">
        <w:rPr>
          <w:rFonts w:cs="Times New Roman" w:hAnsi="Times New Roman" w:ascii="Times New Roman"/>
          <w:b/>
          <w:sz w:val="24"/>
          <w:szCs w:val="24"/>
        </w:rPr>
        <w:t>10000 ZAGREB</w:t>
      </w:r>
    </w:p>
    <w:p w:rsidRDefault="00536672" w:rsidP="00536672" w:rsidR="00536672" w:rsidRPr="0033314D">
      <w:pPr>
        <w:jc w:val="center"/>
        <w:rPr>
          <w:rFonts w:cs="Times New Roman" w:hAnsi="Times New Roman" w:ascii="Times New Roman"/>
          <w:sz w:val="24"/>
          <w:szCs w:val="24"/>
        </w:rPr>
      </w:pPr>
    </w:p>
    <w:p w:rsidRDefault="00536672" w:rsidP="00536672" w:rsidR="00536672" w:rsidRPr="0033314D">
      <w:pPr>
        <w:rPr>
          <w:rFonts w:cs="Times New Roman" w:hAnsi="Times New Roman" w:ascii="Times New Roman"/>
          <w:sz w:val="24"/>
          <w:szCs w:val="24"/>
        </w:rPr>
      </w:pPr>
      <w:r w:rsidRPr="0033314D">
        <w:rPr>
          <w:rFonts w:cs="Times New Roman" w:hAnsi="Times New Roman" w:ascii="Times New Roman"/>
          <w:sz w:val="24"/>
          <w:szCs w:val="24"/>
        </w:rPr>
        <w:t>Trgovački sud u Zagrebu</w:t>
      </w:r>
    </w:p>
    <w:p w:rsidRDefault="00536672" w:rsidP="00536672" w:rsidR="00536672" w:rsidRPr="0033314D">
      <w:pPr>
        <w:rPr>
          <w:rFonts w:cs="Times New Roman" w:hAnsi="Times New Roman" w:ascii="Times New Roman"/>
          <w:sz w:val="24"/>
          <w:szCs w:val="24"/>
        </w:rPr>
      </w:pPr>
      <w:r w:rsidRPr="0033314D">
        <w:rPr>
          <w:rFonts w:cs="Times New Roman" w:hAnsi="Times New Roman" w:ascii="Times New Roman"/>
          <w:sz w:val="24"/>
          <w:szCs w:val="24"/>
        </w:rPr>
        <w:t>Stečajn</w:t>
      </w:r>
      <w:r w:rsidR="00913857">
        <w:rPr>
          <w:rFonts w:cs="Times New Roman" w:hAnsi="Times New Roman" w:ascii="Times New Roman"/>
          <w:sz w:val="24"/>
          <w:szCs w:val="24"/>
        </w:rPr>
        <w:t>a</w:t>
      </w:r>
      <w:r w:rsidRPr="0033314D">
        <w:rPr>
          <w:rFonts w:cs="Times New Roman" w:hAnsi="Times New Roman" w:ascii="Times New Roman"/>
          <w:sz w:val="24"/>
          <w:szCs w:val="24"/>
        </w:rPr>
        <w:t xml:space="preserve"> sutkinja: Lucija Butigan</w:t>
      </w:r>
    </w:p>
    <w:p w:rsidRDefault="00536672" w:rsidP="00536672" w:rsidR="00536672" w:rsidRPr="0033314D">
      <w:pPr>
        <w:spacing w:lineRule="auto" w:line="240"/>
        <w:rPr>
          <w:rFonts w:cs="Times New Roman" w:hAnsi="Times New Roman" w:ascii="Times New Roman"/>
          <w:sz w:val="24"/>
          <w:szCs w:val="24"/>
        </w:rPr>
      </w:pPr>
      <w:r w:rsidRPr="0033314D">
        <w:rPr>
          <w:rFonts w:cs="Times New Roman" w:hAnsi="Times New Roman" w:ascii="Times New Roman"/>
          <w:sz w:val="24"/>
          <w:szCs w:val="24"/>
        </w:rPr>
        <w:t>Predmet: 20. St-5904/16</w:t>
      </w:r>
    </w:p>
    <w:p w:rsidRDefault="00EA7581" w:rsidR="00EA7581" w:rsidRPr="0033314D">
      <w:pPr>
        <w:jc w:val="both"/>
        <w:rPr>
          <w:rFonts w:cs="Times New Roman" w:eastAsia="Calibri" w:hAnsi="Times New Roman" w:ascii="Times New Roman"/>
          <w:color w:themeTint="D9" w:themeColor="text1" w:val="262626"/>
          <w:sz w:val="24"/>
          <w:szCs w:val="24"/>
        </w:rPr>
      </w:pPr>
    </w:p>
    <w:p w:rsidRDefault="00EA7581" w:rsidR="00EA7581" w:rsidRPr="0033314D">
      <w:pPr>
        <w:jc w:val="both"/>
        <w:rPr>
          <w:rFonts w:cs="Times New Roman" w:eastAsia="Calibri" w:hAnsi="Times New Roman" w:ascii="Times New Roman"/>
          <w:color w:themeTint="D9" w:themeColor="text1" w:val="262626"/>
        </w:rPr>
      </w:pPr>
    </w:p>
    <w:p w:rsidRDefault="00EA7581" w:rsidR="00EA7581" w:rsidRPr="0033314D">
      <w:pPr>
        <w:jc w:val="right"/>
        <w:rPr>
          <w:rFonts w:cs="Times New Roman" w:eastAsia="Calibri" w:hAnsi="Times New Roman" w:ascii="Times New Roman"/>
          <w:color w:themeTint="D9" w:themeColor="text1" w:val="262626"/>
        </w:rPr>
      </w:pPr>
    </w:p>
    <w:p w:rsidRDefault="00806032" w:rsidR="00EA7581" w:rsidRPr="0033314D">
      <w:pPr>
        <w:jc w:val="center"/>
        <w:rPr>
          <w:rFonts w:cs="Times New Roman" w:hAnsi="Times New Roman" w:ascii="Times New Roman"/>
          <w:b/>
          <w:color w:themeTint="D9" w:themeColor="text1" w:val="262626"/>
          <w:sz w:val="28"/>
          <w:szCs w:val="28"/>
        </w:rPr>
      </w:pPr>
      <w:r w:rsidRPr="0033314D">
        <w:rPr>
          <w:rFonts w:cs="Times New Roman" w:hAnsi="Times New Roman" w:ascii="Times New Roman"/>
          <w:b/>
          <w:color w:themeTint="D9" w:themeColor="text1" w:val="262626"/>
          <w:sz w:val="28"/>
          <w:szCs w:val="28"/>
        </w:rPr>
        <w:t>IZVJEŠĆE STEČAJN</w:t>
      </w:r>
      <w:r w:rsidR="00536672" w:rsidRPr="0033314D">
        <w:rPr>
          <w:rFonts w:cs="Times New Roman" w:hAnsi="Times New Roman" w:ascii="Times New Roman"/>
          <w:b/>
          <w:color w:themeTint="D9" w:themeColor="text1" w:val="262626"/>
          <w:sz w:val="28"/>
          <w:szCs w:val="28"/>
        </w:rPr>
        <w:t>OG</w:t>
      </w:r>
      <w:r w:rsidRPr="0033314D">
        <w:rPr>
          <w:rFonts w:cs="Times New Roman" w:hAnsi="Times New Roman" w:ascii="Times New Roman"/>
          <w:b/>
          <w:color w:themeTint="D9" w:themeColor="text1" w:val="262626"/>
          <w:sz w:val="28"/>
          <w:szCs w:val="28"/>
        </w:rPr>
        <w:t xml:space="preserve"> UPRAVITELJ</w:t>
      </w:r>
      <w:r w:rsidR="00536672" w:rsidRPr="0033314D">
        <w:rPr>
          <w:rFonts w:cs="Times New Roman" w:hAnsi="Times New Roman" w:ascii="Times New Roman"/>
          <w:b/>
          <w:color w:themeTint="D9" w:themeColor="text1" w:val="262626"/>
          <w:sz w:val="28"/>
          <w:szCs w:val="28"/>
        </w:rPr>
        <w:t>A</w:t>
      </w:r>
    </w:p>
    <w:p w:rsidRDefault="00806032" w:rsidR="00EA7581" w:rsidRPr="0033314D">
      <w:pPr>
        <w:jc w:val="center"/>
        <w:rPr>
          <w:rFonts w:cs="Times New Roman" w:hAnsi="Times New Roman" w:ascii="Times New Roman"/>
          <w:b/>
          <w:color w:themeTint="D9" w:themeColor="text1" w:val="262626"/>
          <w:sz w:val="28"/>
          <w:szCs w:val="28"/>
        </w:rPr>
      </w:pPr>
      <w:r w:rsidRPr="0033314D">
        <w:rPr>
          <w:rFonts w:cs="Times New Roman" w:hAnsi="Times New Roman" w:ascii="Times New Roman"/>
          <w:b/>
          <w:color w:themeTint="D9" w:themeColor="text1" w:val="262626"/>
          <w:sz w:val="28"/>
          <w:szCs w:val="28"/>
        </w:rPr>
        <w:t>za ispitno i izvještajno ročište</w:t>
      </w:r>
    </w:p>
    <w:p w:rsidRDefault="00EA7581" w:rsidR="00EA7581" w:rsidRPr="0033314D">
      <w:pPr>
        <w:jc w:val="center"/>
        <w:rPr>
          <w:rFonts w:cs="Times New Roman" w:hAnsi="Times New Roman" w:ascii="Times New Roman"/>
          <w:b/>
          <w:color w:themeTint="D9" w:themeColor="text1" w:val="262626"/>
          <w:sz w:val="28"/>
          <w:szCs w:val="28"/>
        </w:rPr>
      </w:pPr>
    </w:p>
    <w:p w:rsidRDefault="00EA7581" w:rsidR="00EA7581" w:rsidRPr="0033314D">
      <w:pPr>
        <w:jc w:val="center"/>
        <w:rPr>
          <w:rFonts w:cs="Times New Roman" w:eastAsia="Calibri" w:hAnsi="Times New Roman" w:ascii="Times New Roman"/>
          <w:b/>
          <w:color w:themeTint="D9" w:themeColor="text1" w:val="262626"/>
          <w:sz w:val="28"/>
          <w:szCs w:val="28"/>
        </w:rPr>
      </w:pPr>
    </w:p>
    <w:p w:rsidRDefault="00EA7581" w:rsidR="00EA7581" w:rsidRPr="0033314D">
      <w:pPr>
        <w:jc w:val="center"/>
        <w:rPr>
          <w:rFonts w:cs="Times New Roman" w:eastAsia="Calibri" w:hAnsi="Times New Roman" w:ascii="Times New Roman"/>
          <w:b/>
          <w:color w:themeTint="D9" w:themeColor="text1" w:val="262626"/>
          <w:sz w:val="28"/>
          <w:szCs w:val="28"/>
        </w:rPr>
      </w:pPr>
    </w:p>
    <w:p w:rsidRDefault="00EA7581" w:rsidR="00EA7581" w:rsidRPr="0033314D">
      <w:pPr>
        <w:jc w:val="center"/>
        <w:rPr>
          <w:rFonts w:cs="Times New Roman" w:eastAsia="Calibri" w:hAnsi="Times New Roman" w:ascii="Times New Roman"/>
          <w:b/>
          <w:color w:themeTint="D9" w:themeColor="text1" w:val="262626"/>
          <w:sz w:val="28"/>
          <w:szCs w:val="28"/>
        </w:rPr>
      </w:pPr>
    </w:p>
    <w:p w:rsidRDefault="00EA7581" w:rsidR="00EA7581" w:rsidRPr="0033314D">
      <w:pPr>
        <w:jc w:val="center"/>
        <w:rPr>
          <w:rFonts w:cs="Times New Roman" w:eastAsia="Calibri" w:hAnsi="Times New Roman" w:ascii="Times New Roman"/>
          <w:b/>
          <w:color w:themeTint="D9" w:themeColor="text1" w:val="262626"/>
          <w:sz w:val="28"/>
          <w:szCs w:val="28"/>
        </w:rPr>
      </w:pPr>
    </w:p>
    <w:p w:rsidRDefault="00EA7581" w:rsidR="00EA7581" w:rsidRPr="0033314D">
      <w:pPr>
        <w:jc w:val="center"/>
        <w:rPr>
          <w:rFonts w:cs="Times New Roman" w:eastAsia="Calibri" w:hAnsi="Times New Roman" w:ascii="Times New Roman"/>
          <w:b/>
          <w:color w:themeTint="D9" w:themeColor="text1" w:val="262626"/>
          <w:sz w:val="28"/>
          <w:szCs w:val="28"/>
        </w:rPr>
      </w:pPr>
    </w:p>
    <w:p w:rsidRDefault="00536672" w:rsidP="00536672" w:rsidR="00EA7581" w:rsidRPr="0033314D">
      <w:pPr>
        <w:rPr>
          <w:rFonts w:cs="Times New Roman" w:eastAsia="Calibri" w:hAnsi="Times New Roman" w:ascii="Times New Roman"/>
          <w:color w:themeTint="D9" w:themeColor="text1" w:val="262626"/>
          <w:sz w:val="24"/>
          <w:szCs w:val="24"/>
        </w:rPr>
      </w:pPr>
      <w:r w:rsidRPr="0033314D">
        <w:rPr>
          <w:rFonts w:cs="Times New Roman" w:eastAsia="Calibri" w:hAnsi="Times New Roman" w:ascii="Times New Roman"/>
          <w:color w:themeTint="D9" w:themeColor="text1" w:val="262626"/>
          <w:sz w:val="24"/>
          <w:szCs w:val="24"/>
        </w:rPr>
        <w:t>Zagreb, 19. 03. 2018.</w:t>
      </w:r>
    </w:p>
    <w:p w:rsidRDefault="00EA7581" w:rsidR="00EA7581" w:rsidRPr="0033314D">
      <w:pPr>
        <w:jc w:val="both"/>
        <w:rPr>
          <w:rFonts w:cs="Times New Roman" w:hAnsi="Times New Roman" w:ascii="Times New Roman"/>
          <w:b/>
          <w:i/>
          <w:color w:themeTint="D9" w:themeColor="text1" w:val="262626"/>
          <w:sz w:val="24"/>
          <w:szCs w:val="24"/>
          <w:u w:val="single"/>
        </w:rPr>
      </w:pPr>
    </w:p>
    <w:p w:rsidRDefault="00806032" w:rsidR="00EA7581" w:rsidRPr="00151FFE">
      <w:pPr>
        <w:jc w:val="both"/>
        <w:rPr>
          <w:rFonts w:cs="Times New Roman" w:hAnsi="Times New Roman" w:ascii="Times New Roman"/>
        </w:rPr>
      </w:pPr>
      <w:r w:rsidRPr="00151FFE">
        <w:rPr>
          <w:rFonts w:cs="Times New Roman" w:hAnsi="Times New Roman" w:ascii="Times New Roman"/>
          <w:b/>
          <w:color w:themeTint="D9" w:themeColor="text1" w:val="262626"/>
          <w:sz w:val="24"/>
          <w:szCs w:val="24"/>
        </w:rPr>
        <w:t>1. UVOD</w:t>
      </w:r>
    </w:p>
    <w:p w:rsidRDefault="00EA7581" w:rsidR="00EA7581" w:rsidRPr="0033314D">
      <w:pPr>
        <w:jc w:val="both"/>
        <w:rPr>
          <w:rFonts w:cs="Times New Roman" w:eastAsia="Calibri" w:hAnsi="Times New Roman" w:ascii="Times New Roman"/>
          <w:color w:themeTint="D9" w:themeColor="text1" w:val="262626"/>
          <w:sz w:val="24"/>
          <w:szCs w:val="24"/>
        </w:rPr>
      </w:pPr>
    </w:p>
    <w:p w:rsidRDefault="00806032" w:rsidR="00EA7581" w:rsidRPr="0033314D">
      <w:pPr>
        <w:jc w:val="both"/>
        <w:rPr>
          <w:rFonts w:cs="Times New Roman" w:hAnsi="Times New Roman" w:ascii="Times New Roman"/>
        </w:rPr>
      </w:pPr>
      <w:r w:rsidRPr="0033314D">
        <w:rPr>
          <w:rFonts w:cs="Times New Roman" w:hAnsi="Times New Roman" w:ascii="Times New Roman"/>
          <w:color w:themeTint="D9" w:themeColor="text1" w:val="262626"/>
          <w:sz w:val="24"/>
          <w:szCs w:val="24"/>
        </w:rPr>
        <w:t>Rješenjem Trgovačkog suda u Zagrebu Posl. broj 20 St-5904/16 od 10. listopada 2017. godine otvoren je stečajni postupak nad dužnikom GRADNJA TRGOVINA LUČIĆ d.o.o., Jazbina 20/A, Zagreb, OIB: 50944999255.</w:t>
      </w:r>
    </w:p>
    <w:p w:rsidRDefault="00806032" w:rsidR="00EA7581" w:rsidRPr="0033314D">
      <w:pPr>
        <w:jc w:val="both"/>
        <w:rPr>
          <w:rFonts w:cs="Times New Roman" w:hAnsi="Times New Roman" w:ascii="Times New Roman"/>
        </w:rPr>
      </w:pPr>
      <w:r w:rsidRPr="0033314D">
        <w:rPr>
          <w:rFonts w:cs="Times New Roman" w:hAnsi="Times New Roman" w:ascii="Times New Roman"/>
          <w:color w:themeTint="D9" w:themeColor="text1" w:val="262626"/>
          <w:sz w:val="24"/>
          <w:szCs w:val="24"/>
        </w:rPr>
        <w:t>Za stečajnog upravitelja imenovana je Ana Vičević Gračanin, odvjetnica iz Čavli, Šušnejvac 3, OIB: 75471893129.</w:t>
      </w:r>
    </w:p>
    <w:p w:rsidRDefault="00806032" w:rsidR="00EA7581" w:rsidRPr="0033314D">
      <w:pPr>
        <w:jc w:val="both"/>
        <w:rPr>
          <w:rFonts w:cs="Times New Roman" w:hAnsi="Times New Roman" w:ascii="Times New Roman"/>
          <w:color w:themeTint="D9" w:themeColor="text1" w:val="262626"/>
          <w:sz w:val="24"/>
          <w:szCs w:val="24"/>
        </w:rPr>
      </w:pPr>
      <w:r w:rsidRPr="0033314D">
        <w:rPr>
          <w:rFonts w:cs="Times New Roman" w:hAnsi="Times New Roman" w:ascii="Times New Roman"/>
          <w:color w:themeTint="D9" w:themeColor="text1" w:val="262626"/>
          <w:sz w:val="24"/>
          <w:szCs w:val="24"/>
        </w:rPr>
        <w:t>Rješenje o otvaranju stečajnog postupka s pozivom vjerovnicima da prijave svoje tražbine u roku od 60 dana, kao i da obavijeste stečajnu upraviteljicu o svojim pravima, sukladno odredbama Stečajnog zakona, objavljeno je na e-oglasnoj ploči dana 10. listopada 2017. godine u 15 sati.</w:t>
      </w:r>
    </w:p>
    <w:p w:rsidRDefault="00360425" w:rsidR="00DB4182" w:rsidRPr="0033314D">
      <w:pPr>
        <w:jc w:val="both"/>
        <w:rPr>
          <w:rFonts w:cs="Times New Roman" w:hAnsi="Times New Roman" w:ascii="Times New Roman"/>
        </w:rPr>
      </w:pPr>
      <w:r w:rsidRPr="0033314D">
        <w:rPr>
          <w:rFonts w:cs="Times New Roman" w:hAnsi="Times New Roman" w:ascii="Times New Roman"/>
        </w:rPr>
        <w:t xml:space="preserve">Rješenjem br. 20. St-5904/16 od 09. veljače 2018. stečajna upraviteljica Ana </w:t>
      </w:r>
      <w:r w:rsidR="0033314D" w:rsidRPr="0033314D">
        <w:rPr>
          <w:rFonts w:cs="Times New Roman" w:hAnsi="Times New Roman" w:ascii="Times New Roman"/>
        </w:rPr>
        <w:t>Vičević Gračanin razriješena je dužnosti, a na navedenu dužnost imenovan je stečajni upravitelj Zoran Mihajlović.</w:t>
      </w:r>
    </w:p>
    <w:p w:rsidRDefault="00EA7581" w:rsidR="00EA7581" w:rsidRPr="0033314D">
      <w:pPr>
        <w:jc w:val="both"/>
        <w:rPr>
          <w:rFonts w:cs="Times New Roman" w:eastAsia="Calibri" w:hAnsi="Times New Roman" w:ascii="Times New Roman"/>
          <w:color w:themeTint="D9" w:themeColor="text1" w:val="262626"/>
          <w:sz w:val="24"/>
          <w:szCs w:val="24"/>
        </w:rPr>
      </w:pPr>
    </w:p>
    <w:p w:rsidRDefault="00806032" w:rsidR="00EA7581" w:rsidRPr="00151FFE">
      <w:pPr>
        <w:jc w:val="both"/>
        <w:rPr>
          <w:rFonts w:cs="Times New Roman" w:hAnsi="Times New Roman" w:ascii="Times New Roman"/>
        </w:rPr>
      </w:pPr>
      <w:r w:rsidRPr="00151FFE">
        <w:rPr>
          <w:rFonts w:cs="Times New Roman" w:hAnsi="Times New Roman" w:ascii="Times New Roman"/>
          <w:b/>
          <w:color w:themeTint="D9" w:themeColor="text1" w:val="262626"/>
          <w:sz w:val="24"/>
          <w:szCs w:val="24"/>
        </w:rPr>
        <w:t>2. PODUZETE AKTIVNOSTI PO OTV</w:t>
      </w:r>
      <w:r w:rsidR="0033314D" w:rsidRPr="00151FFE">
        <w:rPr>
          <w:rFonts w:cs="Times New Roman" w:hAnsi="Times New Roman" w:ascii="Times New Roman"/>
          <w:b/>
          <w:color w:themeTint="D9" w:themeColor="text1" w:val="262626"/>
          <w:sz w:val="24"/>
          <w:szCs w:val="24"/>
        </w:rPr>
        <w:t>A</w:t>
      </w:r>
      <w:r w:rsidRPr="00151FFE">
        <w:rPr>
          <w:rFonts w:cs="Times New Roman" w:hAnsi="Times New Roman" w:ascii="Times New Roman"/>
          <w:b/>
          <w:color w:themeTint="D9" w:themeColor="text1" w:val="262626"/>
          <w:sz w:val="24"/>
          <w:szCs w:val="24"/>
        </w:rPr>
        <w:t>RANJU STEČAJNOG POSTUPKA</w:t>
      </w:r>
    </w:p>
    <w:p w:rsidRDefault="00EA7581" w:rsidR="00EA7581" w:rsidRPr="0033314D">
      <w:pPr>
        <w:jc w:val="both"/>
        <w:rPr>
          <w:rFonts w:cs="Times New Roman" w:eastAsia="Calibri" w:hAnsi="Times New Roman" w:ascii="Times New Roman"/>
          <w:b/>
          <w:i/>
          <w:color w:themeTint="D9" w:themeColor="text1" w:val="262626"/>
          <w:sz w:val="24"/>
          <w:szCs w:val="24"/>
          <w:u w:val="single"/>
        </w:rPr>
      </w:pPr>
    </w:p>
    <w:p w:rsidRDefault="00806032" w:rsidR="00B45910">
      <w:pPr>
        <w:jc w:val="both"/>
        <w:rPr>
          <w:rFonts w:cs="Times New Roman" w:hAnsi="Times New Roman" w:ascii="Times New Roman"/>
          <w:color w:themeTint="D9" w:themeColor="text1" w:val="262626"/>
          <w:sz w:val="24"/>
          <w:szCs w:val="24"/>
        </w:rPr>
      </w:pPr>
      <w:r w:rsidRPr="0033314D">
        <w:rPr>
          <w:rFonts w:cs="Times New Roman" w:hAnsi="Times New Roman" w:ascii="Times New Roman"/>
          <w:color w:themeTint="D9" w:themeColor="text1" w:val="262626"/>
          <w:sz w:val="24"/>
          <w:szCs w:val="24"/>
        </w:rPr>
        <w:t>Stečajn</w:t>
      </w:r>
      <w:r w:rsidR="00B45910">
        <w:rPr>
          <w:rFonts w:cs="Times New Roman" w:hAnsi="Times New Roman" w:ascii="Times New Roman"/>
          <w:color w:themeTint="D9" w:themeColor="text1" w:val="262626"/>
          <w:sz w:val="24"/>
          <w:szCs w:val="24"/>
        </w:rPr>
        <w:t>i</w:t>
      </w:r>
      <w:r w:rsidRPr="0033314D">
        <w:rPr>
          <w:rFonts w:cs="Times New Roman" w:hAnsi="Times New Roman" w:ascii="Times New Roman"/>
          <w:color w:themeTint="D9" w:themeColor="text1" w:val="262626"/>
          <w:sz w:val="24"/>
          <w:szCs w:val="24"/>
        </w:rPr>
        <w:t xml:space="preserve"> upravitelj je sukladno svojim ovlastima preuze</w:t>
      </w:r>
      <w:r w:rsidR="00B45910">
        <w:rPr>
          <w:rFonts w:cs="Times New Roman" w:hAnsi="Times New Roman" w:ascii="Times New Roman"/>
          <w:color w:themeTint="D9" w:themeColor="text1" w:val="262626"/>
          <w:sz w:val="24"/>
          <w:szCs w:val="24"/>
        </w:rPr>
        <w:t>o</w:t>
      </w:r>
      <w:r w:rsidRPr="0033314D">
        <w:rPr>
          <w:rFonts w:cs="Times New Roman" w:hAnsi="Times New Roman" w:ascii="Times New Roman"/>
          <w:color w:themeTint="D9" w:themeColor="text1" w:val="262626"/>
          <w:sz w:val="24"/>
          <w:szCs w:val="24"/>
        </w:rPr>
        <w:t xml:space="preserve"> upravljanje stečajnog dužnika na način da je </w:t>
      </w:r>
      <w:r w:rsidR="00B45910">
        <w:rPr>
          <w:rFonts w:cs="Times New Roman" w:hAnsi="Times New Roman" w:ascii="Times New Roman"/>
          <w:color w:themeTint="D9" w:themeColor="text1" w:val="262626"/>
          <w:sz w:val="24"/>
          <w:szCs w:val="24"/>
        </w:rPr>
        <w:t xml:space="preserve">izvršio primopredaju dužnosti i dokumentacije s prethodnom stečajnom upraviteljicom Anom Vičević Gračanin. </w:t>
      </w:r>
    </w:p>
    <w:p w:rsidRDefault="00B45910" w:rsidR="00B45910">
      <w:pPr>
        <w:jc w:val="both"/>
        <w:rPr>
          <w:rFonts w:cs="Times New Roman" w:hAnsi="Times New Roman" w:ascii="Times New Roman"/>
          <w:color w:themeTint="D9" w:themeColor="text1" w:val="262626"/>
          <w:sz w:val="24"/>
          <w:szCs w:val="24"/>
        </w:rPr>
      </w:pPr>
      <w:r>
        <w:rPr>
          <w:rFonts w:cs="Times New Roman" w:hAnsi="Times New Roman" w:ascii="Times New Roman"/>
          <w:color w:themeTint="D9" w:themeColor="text1" w:val="262626"/>
          <w:sz w:val="24"/>
          <w:szCs w:val="24"/>
        </w:rPr>
        <w:t>Od stečajne upraviteljice Ane Vičević Gračanin preuzeto je kako slijedi:</w:t>
      </w:r>
    </w:p>
    <w:p w:rsidRDefault="00B45910" w:rsidP="00B45910" w:rsidR="00B45910">
      <w:pPr>
        <w:pStyle w:val="Standard"/>
        <w:jc w:val="both"/>
        <w:rPr>
          <w:rFonts w:hAnsi="Calibri" w:ascii="Calibri"/>
        </w:rPr>
      </w:pPr>
      <w:r>
        <w:rPr>
          <w:rFonts w:hAnsi="Calibri" w:ascii="Calibri"/>
        </w:rPr>
        <w:t>1.) Rješenje i Zaključak Trgovačkog suda u Zagrebu od 10. travnja 2017. godine kojim se pokreće prethodni postupak radi utvrđivanja pretpostavki za otvaranje stečajnog postupka nad dužnikom Gradnja Trgovina Lučić</w:t>
      </w:r>
    </w:p>
    <w:p w:rsidRDefault="00B45910" w:rsidP="00B45910" w:rsidR="00B45910">
      <w:pPr>
        <w:pStyle w:val="Standard"/>
        <w:jc w:val="both"/>
        <w:rPr>
          <w:rFonts w:hAnsi="Calibri" w:ascii="Calibri"/>
        </w:rPr>
      </w:pPr>
    </w:p>
    <w:p w:rsidRDefault="00B45910" w:rsidP="00B45910" w:rsidR="00B45910">
      <w:pPr>
        <w:pStyle w:val="Standard"/>
        <w:jc w:val="both"/>
        <w:rPr>
          <w:rFonts w:hAnsi="Calibri" w:ascii="Calibri"/>
        </w:rPr>
      </w:pPr>
      <w:r>
        <w:rPr>
          <w:rFonts w:hAnsi="Calibri" w:ascii="Calibri"/>
        </w:rPr>
        <w:t xml:space="preserve">2.) Rješenje Trgovačkog suda u Zagrebu od 30. svibnja 2017. godine kojim se u prethodnom postupku nad dužnikom Gradnja Trgovina Lučić za privremenog stečajnog upravitelja se imenuje Ana Vičević Gračanin, te je sukladno tome ovlaštena stupiti u poslovne prostorije dužnika, a uprava dužnika joj je dužna dopustiti uvid u knjige i poslovnu dokumentaciju dužnika. Privremeni stečajni upravitelj dužan je u roku od 30 dana ispitati da li kod dužnika i nadalje postoji koji od stečajnih razloga, što sve čini imovinu-nekretnine dužnika, a koje bi činile stečajnu masu, kao i postojanje pokretnina, te mogu li se tom imovinom pokriti troškovi stečajnog postupka, a  sve radi donošenja odluke postoje li okolnosti za otvaranje i vođenje stečajnog postupka nad dužnikom ili postoje uvjeti za otvaranje i istovremeno zaključenje stečajnog postupka.  </w:t>
      </w:r>
    </w:p>
    <w:p w:rsidRDefault="00B45910" w:rsidP="00B45910" w:rsidR="00B45910">
      <w:pPr>
        <w:pStyle w:val="Standard"/>
        <w:jc w:val="both"/>
        <w:rPr>
          <w:rFonts w:hAnsi="Calibri" w:ascii="Calibri"/>
        </w:rPr>
      </w:pPr>
      <w:r>
        <w:rPr>
          <w:rFonts w:hAnsi="Calibri" w:ascii="Calibri"/>
        </w:rPr>
        <w:t>Ročište se zakazuje dana 10. listopada 2017. godine radi rasprave o pretpostavkama za otvaranje stečajnog postupka.</w:t>
      </w:r>
    </w:p>
    <w:p w:rsidRDefault="00B45910" w:rsidP="00B45910" w:rsidR="00B45910">
      <w:pPr>
        <w:pStyle w:val="Standard"/>
        <w:jc w:val="both"/>
        <w:rPr>
          <w:rFonts w:hAnsi="Calibri" w:ascii="Calibri"/>
        </w:rPr>
      </w:pPr>
    </w:p>
    <w:p w:rsidRDefault="00B45910" w:rsidP="00B45910" w:rsidR="00B45910">
      <w:pPr>
        <w:pStyle w:val="Standard"/>
        <w:jc w:val="both"/>
        <w:rPr>
          <w:rFonts w:hAnsi="Calibri" w:ascii="Calibri"/>
        </w:rPr>
      </w:pPr>
      <w:r>
        <w:rPr>
          <w:rFonts w:hAnsi="Calibri" w:ascii="Calibri"/>
        </w:rPr>
        <w:lastRenderedPageBreak/>
        <w:t>3.)  Rješenje Trgovačkog suda u Zagrebu od 10. listopada 2017. godine kojim se otvara stečajni postupak nad dužnikom Gradnja Trgovina Lučić.  Za stečajnog upravitelja se imenuje  Ana Vičević Gračanin. Rješenje o otvaranju stečajnog postupka objavljeno je na Mrežnoj stranici e-Oglasna ploča Trgovačkog suda u Zagrebu. Vjerovnici se pozivaju da u roku od 60 dana od dane objave ovog rješenja o otvaranju stečajnog postupka prijave svoje tražbine. Pozivaju se razlučni i izlučni vjerovnici da stečajnom upravitelju u roku od 60 dana od dana objave rješenja o otvaranju stečajnog postupka  podneskom obavijeste o svojim pravima. Pozivaju se dužnikovi dužnici da svoje obveze bez odgode ispunjavaju stečajnom upravitelju za stečajnog dužnika. Rješenje se dostavlja Općinskom građanskom sudu u Zagrebu, Zemljišno-knjižni odjel Zagreb radi provedbe upisa zabilježbe  otvaranja stečajnog postupka nad dužnikom Gradnja Trgovina Lučić d.o.o.,  kao i RH, MUP, Policijska uprava Zagrebačka radi teretnog automobila, Ford Courier. Ročište vjerovnika  i skupština vjerovnika na kojem će se ispitati prijavljene tražbine se određuje  za dan 06. veljače 2018. godine,</w:t>
      </w:r>
    </w:p>
    <w:p w:rsidRDefault="00B45910" w:rsidP="00B45910" w:rsidR="00B45910">
      <w:pPr>
        <w:pStyle w:val="Standard"/>
        <w:jc w:val="both"/>
        <w:rPr>
          <w:rFonts w:hAnsi="Calibri" w:ascii="Calibri"/>
        </w:rPr>
      </w:pPr>
    </w:p>
    <w:p w:rsidRDefault="00B45910" w:rsidP="00B45910" w:rsidR="00B45910">
      <w:pPr>
        <w:pStyle w:val="Standard"/>
        <w:jc w:val="both"/>
        <w:rPr>
          <w:rFonts w:hAnsi="Calibri" w:ascii="Calibri"/>
        </w:rPr>
      </w:pPr>
      <w:r>
        <w:rPr>
          <w:rFonts w:hAnsi="Calibri" w:ascii="Calibri"/>
        </w:rPr>
        <w:t>4.) Zapisnik s ročišta radi rasprave o uvjetima za otvaranje stečajnog postupaka od dana 10. listopada 2017. godine.</w:t>
      </w:r>
    </w:p>
    <w:p w:rsidRDefault="00B45910" w:rsidP="00B45910" w:rsidR="00B45910">
      <w:pPr>
        <w:pStyle w:val="Standard"/>
        <w:jc w:val="both"/>
        <w:rPr>
          <w:rFonts w:hAnsi="Calibri" w:ascii="Calibri"/>
        </w:rPr>
      </w:pPr>
    </w:p>
    <w:p w:rsidRDefault="00B45910" w:rsidP="00B45910" w:rsidR="00B45910">
      <w:pPr>
        <w:pStyle w:val="Standard"/>
        <w:jc w:val="both"/>
        <w:rPr>
          <w:rFonts w:hAnsi="Calibri" w:ascii="Calibri"/>
        </w:rPr>
      </w:pPr>
      <w:r>
        <w:rPr>
          <w:rFonts w:hAnsi="Calibri" w:ascii="Calibri"/>
        </w:rPr>
        <w:t>5.)  Trgovački sud u Zagrebu donio je dana 11. listopada 2017. godine Potvrdu o imenovnju Ane Vičević Gračanin za stečajnu upraviteljicu</w:t>
      </w:r>
    </w:p>
    <w:p w:rsidRDefault="00B45910" w:rsidP="00B45910" w:rsidR="00B45910">
      <w:pPr>
        <w:pStyle w:val="Standard"/>
        <w:jc w:val="both"/>
        <w:rPr>
          <w:rFonts w:hAnsi="Calibri" w:ascii="Calibri"/>
        </w:rPr>
      </w:pPr>
    </w:p>
    <w:p w:rsidRDefault="00B45910" w:rsidP="00B45910" w:rsidR="00B45910">
      <w:pPr>
        <w:pStyle w:val="Standard"/>
        <w:jc w:val="both"/>
        <w:rPr>
          <w:rFonts w:hAnsi="Calibri" w:ascii="Calibri"/>
        </w:rPr>
      </w:pPr>
      <w:r>
        <w:rPr>
          <w:rFonts w:hAnsi="Calibri" w:ascii="Calibri"/>
        </w:rPr>
        <w:t>6.) Zapisnik sastavljen kod  Trgovačkog suda u Zagrebu  od dana 12. listopada 2017. godine kojim  Ana Vičević Gračanin daje Izjavu za obavljanje svoje dužnosti kao stečajna upraviteljica</w:t>
      </w:r>
    </w:p>
    <w:p w:rsidRDefault="00B45910" w:rsidP="00B45910" w:rsidR="00B45910">
      <w:pPr>
        <w:pStyle w:val="Standard"/>
        <w:jc w:val="both"/>
        <w:rPr>
          <w:rFonts w:hAnsi="Calibri" w:ascii="Calibri"/>
        </w:rPr>
      </w:pPr>
    </w:p>
    <w:p w:rsidRDefault="00B45910" w:rsidP="00B45910" w:rsidR="00B45910">
      <w:pPr>
        <w:pStyle w:val="Standard"/>
        <w:jc w:val="both"/>
        <w:rPr>
          <w:rFonts w:hAnsi="Calibri" w:ascii="Calibri"/>
        </w:rPr>
      </w:pPr>
      <w:r>
        <w:rPr>
          <w:rFonts w:hAnsi="Calibri" w:ascii="Calibri"/>
        </w:rPr>
        <w:t>7.) Izvješće stečajne upraviteljice od 08. siječnja 2018. godine, za ispitno i izvještajno ročište zakazano za 06. veljače 2018. godine, a zaprimljeno kod Trgovačkog suda u Zagrebu dana 9. siječnja 2018. godine</w:t>
      </w:r>
    </w:p>
    <w:p w:rsidRDefault="00B45910" w:rsidP="00B45910" w:rsidR="00B45910">
      <w:pPr>
        <w:pStyle w:val="Standard"/>
        <w:jc w:val="both"/>
        <w:rPr>
          <w:rFonts w:hAnsi="Calibri" w:ascii="Calibri"/>
        </w:rPr>
      </w:pPr>
    </w:p>
    <w:p w:rsidRDefault="00B45910" w:rsidP="00B45910" w:rsidR="00B45910">
      <w:pPr>
        <w:pStyle w:val="Standard"/>
        <w:jc w:val="both"/>
        <w:rPr>
          <w:rFonts w:hAnsi="Calibri" w:ascii="Calibri"/>
        </w:rPr>
      </w:pPr>
      <w:r>
        <w:rPr>
          <w:rFonts w:hAnsi="Calibri" w:ascii="Calibri"/>
        </w:rPr>
        <w:t>8.) Dana 25. siječnja 2018. godine  dostavljen je podnesak Stečajne upraviteljice Trgovačkom sudu u Zagrebu a temeljem izmjene i dopune prijave Republike Hrvatske, Ministarstva financija</w:t>
      </w:r>
    </w:p>
    <w:p w:rsidRDefault="00B45910" w:rsidP="00B45910" w:rsidR="00B45910">
      <w:pPr>
        <w:pStyle w:val="Standard"/>
        <w:jc w:val="both"/>
        <w:rPr>
          <w:rFonts w:hAnsi="Calibri" w:ascii="Calibri"/>
        </w:rPr>
      </w:pPr>
    </w:p>
    <w:p w:rsidRDefault="00B45910" w:rsidP="00B45910" w:rsidR="00B45910">
      <w:pPr>
        <w:pStyle w:val="Standard"/>
        <w:jc w:val="both"/>
        <w:rPr>
          <w:rFonts w:hAnsi="Calibri" w:ascii="Calibri"/>
        </w:rPr>
      </w:pPr>
      <w:r>
        <w:rPr>
          <w:rFonts w:hAnsi="Calibri" w:ascii="Calibri"/>
        </w:rPr>
        <w:t>9.) Izvješće stečajne upraviteljice od 12. veljače 2018. godine dopunjeno po naputku stečajne sutkinje  sa pregledom imovine i obveza (stranica 5) te tablice prijava na novim obrascima</w:t>
      </w:r>
    </w:p>
    <w:p w:rsidRDefault="00B45910" w:rsidP="00B45910" w:rsidR="00B45910">
      <w:pPr>
        <w:pStyle w:val="Standard"/>
        <w:jc w:val="both"/>
        <w:rPr>
          <w:rFonts w:hAnsi="Calibri" w:ascii="Calibri"/>
        </w:rPr>
      </w:pPr>
    </w:p>
    <w:p w:rsidRDefault="00B45910" w:rsidP="00B45910" w:rsidR="00B45910">
      <w:pPr>
        <w:pStyle w:val="Standard"/>
        <w:jc w:val="both"/>
        <w:rPr>
          <w:rFonts w:hAnsi="Calibri" w:ascii="Calibri"/>
        </w:rPr>
      </w:pPr>
      <w:r>
        <w:rPr>
          <w:rFonts w:hAnsi="Calibri" w:ascii="Calibri"/>
        </w:rPr>
        <w:t>10.) Trgovački sud u Zagrebu donio je dana 9. veljače 2018. godine Rješenje kojim se Ana Vičević Gračanin razrješava dužnosti kao stečajna upraviteljica, te se nad stečajnim dužnikom Gradnja Trgovina Lučić imenuje stečajni upravitelj Zoran Mihajlović</w:t>
      </w:r>
    </w:p>
    <w:p w:rsidRDefault="00B45910" w:rsidP="00B45910" w:rsidR="00B45910">
      <w:pPr>
        <w:pStyle w:val="Standard"/>
        <w:jc w:val="both"/>
        <w:rPr>
          <w:rFonts w:hAnsi="Calibri" w:ascii="Calibri"/>
        </w:rPr>
      </w:pPr>
    </w:p>
    <w:p w:rsidRDefault="00B45910" w:rsidP="00B45910" w:rsidR="00B45910">
      <w:pPr>
        <w:pStyle w:val="Standard"/>
        <w:jc w:val="both"/>
        <w:rPr>
          <w:rFonts w:hAnsi="Calibri" w:ascii="Calibri"/>
        </w:rPr>
      </w:pPr>
      <w:r>
        <w:rPr>
          <w:rFonts w:hAnsi="Calibri" w:ascii="Calibri"/>
        </w:rPr>
        <w:t>11.)  Sudski registar - Trgovački sud u Zagrebu  donio je dana 12. listopada 2017. godine Obavijest o elektroničkom upisu otvaranja stečajnog postupaka</w:t>
      </w:r>
    </w:p>
    <w:p w:rsidRDefault="00B45910" w:rsidP="00B45910" w:rsidR="00B45910">
      <w:pPr>
        <w:pStyle w:val="Standard"/>
        <w:jc w:val="both"/>
        <w:rPr>
          <w:rFonts w:hAnsi="Calibri" w:ascii="Calibri"/>
          <w:b/>
          <w:bCs/>
        </w:rPr>
      </w:pPr>
    </w:p>
    <w:p w:rsidRDefault="00B45910" w:rsidP="00B45910" w:rsidR="00B45910">
      <w:pPr>
        <w:pStyle w:val="Standard"/>
        <w:jc w:val="both"/>
        <w:rPr>
          <w:rFonts w:hAnsi="Calibri" w:ascii="Calibri"/>
          <w:b/>
          <w:bCs/>
          <w:sz w:val="28"/>
          <w:szCs w:val="28"/>
        </w:rPr>
      </w:pPr>
    </w:p>
    <w:p w:rsidRDefault="00B45910" w:rsidP="00B45910" w:rsidR="00B45910">
      <w:pPr>
        <w:pStyle w:val="Standard"/>
        <w:jc w:val="both"/>
        <w:rPr>
          <w:rFonts w:hAnsi="Calibri" w:ascii="Calibri"/>
        </w:rPr>
      </w:pPr>
      <w:r>
        <w:rPr>
          <w:rFonts w:hAnsi="Calibri" w:ascii="Calibri"/>
        </w:rPr>
        <w:t>12.) Obavijest o otvaranju računa u Erste banci -  Erste registar računa.</w:t>
      </w:r>
    </w:p>
    <w:p w:rsidRDefault="00B45910" w:rsidP="00B45910" w:rsidR="00B45910">
      <w:pPr>
        <w:pStyle w:val="Standard"/>
        <w:jc w:val="both"/>
        <w:rPr>
          <w:rFonts w:hAnsi="Calibri" w:ascii="Calibri"/>
        </w:rPr>
      </w:pPr>
    </w:p>
    <w:p w:rsidRDefault="00B45910" w:rsidP="00B45910" w:rsidR="00B45910">
      <w:pPr>
        <w:pStyle w:val="Standard"/>
        <w:jc w:val="both"/>
        <w:rPr>
          <w:rFonts w:hAnsi="Calibri" w:ascii="Calibri"/>
        </w:rPr>
      </w:pPr>
      <w:r>
        <w:rPr>
          <w:rFonts w:hAnsi="Calibri" w:ascii="Calibri"/>
        </w:rPr>
        <w:t xml:space="preserve">13.) RH, Grad Zagreb, Gradski ured za prostorno uređenje, izgradnju grada, graditeljstvo, komunalne poslove i promet donio je 02. siječnja 2018. godine Rješenje za komunalnu naknadu za garažni prostor u iznosu do 16,56 kn, nad Gradnjom Trgovina Lučić d.o.o. u </w:t>
      </w:r>
      <w:r>
        <w:rPr>
          <w:rFonts w:hAnsi="Calibri" w:ascii="Calibri"/>
        </w:rPr>
        <w:lastRenderedPageBreak/>
        <w:t>stečaju.</w:t>
      </w:r>
    </w:p>
    <w:p w:rsidRDefault="00B45910" w:rsidP="00B45910" w:rsidR="00B45910">
      <w:pPr>
        <w:pStyle w:val="Standard"/>
        <w:jc w:val="both"/>
        <w:rPr>
          <w:rFonts w:hAnsi="Calibri" w:ascii="Calibri"/>
        </w:rPr>
      </w:pPr>
    </w:p>
    <w:p w:rsidRDefault="00B45910" w:rsidP="00B45910" w:rsidR="00B45910">
      <w:pPr>
        <w:pStyle w:val="Standard"/>
        <w:jc w:val="both"/>
        <w:rPr>
          <w:rFonts w:hAnsi="Calibri" w:ascii="Calibri"/>
        </w:rPr>
      </w:pPr>
      <w:r>
        <w:rPr>
          <w:rFonts w:hAnsi="Calibri" w:ascii="Calibri"/>
        </w:rPr>
        <w:t>14.) Zagrebački Holding je dana 25. siječnja 2018. godine  donio jedinstven nalog za plaćanje naknade 01-03/2018 sveukupno 16,56 kn.</w:t>
      </w:r>
    </w:p>
    <w:p w:rsidRDefault="00B45910" w:rsidP="00B45910" w:rsidR="00B45910">
      <w:pPr>
        <w:pStyle w:val="Standard"/>
        <w:jc w:val="both"/>
        <w:rPr>
          <w:rFonts w:hAnsi="Calibri" w:ascii="Calibri"/>
        </w:rPr>
      </w:pPr>
    </w:p>
    <w:p w:rsidRDefault="00B45910" w:rsidP="00B45910" w:rsidR="00B45910">
      <w:pPr>
        <w:pStyle w:val="Standard"/>
        <w:jc w:val="both"/>
        <w:rPr>
          <w:rFonts w:hAnsi="Calibri" w:ascii="Calibri"/>
        </w:rPr>
      </w:pPr>
      <w:r>
        <w:rPr>
          <w:rFonts w:hAnsi="Calibri" w:ascii="Calibri"/>
        </w:rPr>
        <w:t>15.) Dana 15. svibnja 2005. godine Izjava bivšeg z.z. da je Vinko Palić isplatio cjelokupni iznos na osnovu kupnje garaže, bez ovjere – garaža je u posjedu Vinka Palića</w:t>
      </w:r>
    </w:p>
    <w:p w:rsidRDefault="00B45910" w:rsidP="00B45910" w:rsidR="00B45910">
      <w:pPr>
        <w:pStyle w:val="Standard"/>
        <w:jc w:val="both"/>
        <w:rPr>
          <w:rFonts w:hAnsi="Calibri" w:ascii="Calibri"/>
        </w:rPr>
      </w:pPr>
    </w:p>
    <w:p w:rsidRDefault="00B45910" w:rsidP="00B45910" w:rsidR="00B45910">
      <w:pPr>
        <w:pStyle w:val="Standard"/>
        <w:jc w:val="both"/>
        <w:rPr>
          <w:rFonts w:hAnsi="Calibri" w:ascii="Calibri"/>
        </w:rPr>
      </w:pPr>
      <w:r>
        <w:rPr>
          <w:rFonts w:hAnsi="Calibri" w:ascii="Calibri"/>
        </w:rPr>
        <w:t>16.) Prijava poreza na dobit, Pregled prenesenih poreznih gubitaka po godinama, Bilanca, Račun dobiti i gubitka  za 2016. godinu (dokumentacija preuzeta od bivšeg z.z.)</w:t>
      </w:r>
    </w:p>
    <w:p w:rsidRDefault="00B45910" w:rsidP="00B45910" w:rsidR="00B45910">
      <w:pPr>
        <w:pStyle w:val="Standard"/>
        <w:jc w:val="both"/>
        <w:rPr>
          <w:rFonts w:hAnsi="Calibri" w:ascii="Calibri"/>
        </w:rPr>
      </w:pPr>
    </w:p>
    <w:p w:rsidRDefault="00B45910" w:rsidP="00B45910" w:rsidR="00B45910">
      <w:pPr>
        <w:pStyle w:val="Standard"/>
        <w:jc w:val="both"/>
        <w:rPr>
          <w:rFonts w:hAnsi="Calibri" w:ascii="Calibri"/>
        </w:rPr>
      </w:pPr>
      <w:r>
        <w:rPr>
          <w:rFonts w:hAnsi="Calibri" w:ascii="Calibri"/>
        </w:rPr>
        <w:t>17.) E-mail poruka od dana  14. lipnja 2017. godine  Jakova Lučića za Gradnju Trgovina Lučić, a na temelju upita stečajne upraviteljice</w:t>
      </w:r>
    </w:p>
    <w:p w:rsidRDefault="00B45910" w:rsidP="00B45910" w:rsidR="00B45910">
      <w:pPr>
        <w:pStyle w:val="Standard"/>
        <w:jc w:val="both"/>
        <w:rPr>
          <w:rFonts w:hAnsi="Calibri" w:ascii="Calibri"/>
        </w:rPr>
      </w:pPr>
    </w:p>
    <w:p w:rsidRDefault="00B45910" w:rsidP="00B45910" w:rsidR="00B45910">
      <w:pPr>
        <w:pStyle w:val="Standard"/>
        <w:jc w:val="both"/>
        <w:rPr>
          <w:rFonts w:hAnsi="Calibri" w:ascii="Calibri"/>
        </w:rPr>
      </w:pPr>
      <w:r>
        <w:rPr>
          <w:rFonts w:hAnsi="Calibri" w:ascii="Calibri"/>
        </w:rPr>
        <w:t>18.) Prijedlog za ovrhu na nekretnini od odvjetničkog društva Remenar&amp;Remenar od dana 23. svibnja 2014. godine (ishođeno sa Općinskog suda kako bi imali uvid u postupke)</w:t>
      </w:r>
    </w:p>
    <w:p w:rsidRDefault="00B45910" w:rsidP="00B45910" w:rsidR="00B45910">
      <w:pPr>
        <w:pStyle w:val="Standard"/>
        <w:jc w:val="both"/>
        <w:rPr>
          <w:rFonts w:hAnsi="Calibri" w:ascii="Calibri"/>
        </w:rPr>
      </w:pPr>
    </w:p>
    <w:p w:rsidRDefault="00B45910" w:rsidP="00B45910" w:rsidR="00B45910">
      <w:pPr>
        <w:pStyle w:val="Standard"/>
        <w:jc w:val="both"/>
        <w:rPr>
          <w:rFonts w:hAnsi="Calibri" w:ascii="Calibri"/>
        </w:rPr>
      </w:pPr>
      <w:r>
        <w:rPr>
          <w:rFonts w:hAnsi="Calibri" w:ascii="Calibri"/>
        </w:rPr>
        <w:t>19.) Dana 14. rujna 2017. godine dostava prijedloga i rješenja Općinskom sudu u Zagrebu.</w:t>
      </w:r>
    </w:p>
    <w:p w:rsidRDefault="00B45910" w:rsidP="00B45910" w:rsidR="00B45910">
      <w:pPr>
        <w:pStyle w:val="Standard"/>
        <w:jc w:val="both"/>
        <w:rPr>
          <w:rFonts w:hAnsi="Calibri" w:ascii="Calibri"/>
        </w:rPr>
      </w:pPr>
    </w:p>
    <w:p w:rsidRDefault="00B45910" w:rsidP="00B45910" w:rsidR="00B45910">
      <w:pPr>
        <w:pStyle w:val="Standard"/>
        <w:jc w:val="both"/>
        <w:rPr>
          <w:rFonts w:hAnsi="Calibri" w:ascii="Calibri"/>
        </w:rPr>
      </w:pPr>
      <w:r>
        <w:rPr>
          <w:rFonts w:hAnsi="Calibri" w:ascii="Calibri"/>
        </w:rPr>
        <w:t>20.) Općinski sudu u Zagrebu, Stalna služba u Sesvetama donio je Rješenje dana 02. studenog 2017. godine kojim se prekida postupak  nad Gradnjom Trgovina Lučić jer su nastupile pravne posljedice otvaranja stečajnog postupka, i postupak će se nastaviti kada stečajni upravitelj preuzme postupak.</w:t>
      </w:r>
    </w:p>
    <w:p w:rsidRDefault="00B45910" w:rsidP="00B45910" w:rsidR="00B45910">
      <w:pPr>
        <w:pStyle w:val="Standard"/>
        <w:jc w:val="both"/>
        <w:rPr>
          <w:rFonts w:hAnsi="Calibri" w:ascii="Calibri"/>
        </w:rPr>
      </w:pPr>
    </w:p>
    <w:p w:rsidRDefault="00B45910" w:rsidP="00B45910" w:rsidR="00B45910">
      <w:pPr>
        <w:pStyle w:val="Standard"/>
        <w:jc w:val="both"/>
        <w:rPr>
          <w:rFonts w:hAnsi="Calibri" w:ascii="Calibri"/>
        </w:rPr>
      </w:pPr>
      <w:r>
        <w:rPr>
          <w:rFonts w:hAnsi="Calibri" w:ascii="Calibri"/>
        </w:rPr>
        <w:t>21.) Izvadak iz Zemljišne knjige od 18. prosinca 2017. godine., za kč.br.1927</w:t>
      </w:r>
    </w:p>
    <w:p w:rsidRDefault="00B45910" w:rsidP="00B45910" w:rsidR="00B45910">
      <w:pPr>
        <w:pStyle w:val="Standard"/>
        <w:jc w:val="both"/>
        <w:rPr>
          <w:rFonts w:hAnsi="Calibri" w:ascii="Calibri"/>
          <w:b/>
          <w:bCs/>
          <w:sz w:val="28"/>
          <w:szCs w:val="28"/>
        </w:rPr>
      </w:pPr>
    </w:p>
    <w:p w:rsidRDefault="00B45910" w:rsidP="00B45910" w:rsidR="00B45910">
      <w:pPr>
        <w:pStyle w:val="Standard"/>
        <w:jc w:val="both"/>
        <w:rPr>
          <w:rFonts w:hAnsi="Calibri" w:ascii="Calibri"/>
        </w:rPr>
      </w:pPr>
      <w:r>
        <w:rPr>
          <w:rFonts w:hAnsi="Calibri" w:ascii="Calibri"/>
        </w:rPr>
        <w:t>22.) Izvadak  iz Zemljišne knjige od dana 04. lipnja 2017. godine za kč.br. 1928/2, i izvadak za suvlasnički udio za kč.br. 1927, obje K.o. Šestine</w:t>
      </w:r>
    </w:p>
    <w:p w:rsidRDefault="00B45910" w:rsidP="00B45910" w:rsidR="00B45910">
      <w:pPr>
        <w:pStyle w:val="Standard"/>
        <w:jc w:val="both"/>
        <w:rPr>
          <w:rFonts w:hAnsi="Calibri" w:ascii="Calibri"/>
        </w:rPr>
      </w:pPr>
    </w:p>
    <w:p w:rsidRDefault="00B45910" w:rsidP="00B45910" w:rsidR="00B45910">
      <w:pPr>
        <w:pStyle w:val="Standard"/>
        <w:jc w:val="both"/>
        <w:rPr>
          <w:rFonts w:hAnsi="Calibri" w:ascii="Calibri"/>
        </w:rPr>
      </w:pPr>
      <w:r>
        <w:rPr>
          <w:rFonts w:hAnsi="Calibri" w:ascii="Calibri"/>
        </w:rPr>
        <w:t>23.) Dana 05. lipnja 2017. godine podaci o vozilima u vlasništvu Gradnje Trgovina Lučić za MUP, Policijska uprava Zagrebačka.</w:t>
      </w:r>
    </w:p>
    <w:p w:rsidRDefault="00B45910" w:rsidP="00B45910" w:rsidR="00B45910">
      <w:pPr>
        <w:pStyle w:val="Standard"/>
        <w:jc w:val="both"/>
        <w:rPr>
          <w:rFonts w:hAnsi="Calibri" w:ascii="Calibri"/>
        </w:rPr>
      </w:pPr>
    </w:p>
    <w:p w:rsidRDefault="00B45910" w:rsidP="00B45910" w:rsidR="00B45910">
      <w:pPr>
        <w:pStyle w:val="Standard"/>
        <w:jc w:val="both"/>
        <w:rPr>
          <w:rFonts w:hAnsi="Calibri" w:ascii="Calibri"/>
        </w:rPr>
      </w:pPr>
      <w:r>
        <w:rPr>
          <w:rFonts w:hAnsi="Calibri" w:ascii="Calibri"/>
        </w:rPr>
        <w:t>24.) MUP, Policijska uprava Zagrebačka donijela je dana 29. lipnja 2017. godine uvjerenje za teretni automobil Ford Courier</w:t>
      </w:r>
      <w:r w:rsidR="00C10ED8">
        <w:rPr>
          <w:rFonts w:hAnsi="Calibri" w:ascii="Calibri"/>
        </w:rPr>
        <w:t>, koji je odjavljen još 2014. godine</w:t>
      </w:r>
    </w:p>
    <w:p w:rsidRDefault="00B45910" w:rsidP="00B45910" w:rsidR="00B45910">
      <w:pPr>
        <w:pStyle w:val="Standard"/>
        <w:jc w:val="both"/>
        <w:rPr>
          <w:rFonts w:hAnsi="Calibri" w:ascii="Calibri"/>
        </w:rPr>
      </w:pPr>
    </w:p>
    <w:p w:rsidRDefault="00B45910" w:rsidP="00B45910" w:rsidR="00B45910">
      <w:pPr>
        <w:pStyle w:val="Standard"/>
        <w:jc w:val="both"/>
        <w:rPr>
          <w:rFonts w:hAnsi="Calibri" w:ascii="Calibri"/>
          <w:b/>
          <w:i/>
          <w:u w:val="single"/>
        </w:rPr>
      </w:pPr>
      <w:r>
        <w:rPr>
          <w:rFonts w:hAnsi="Calibri" w:ascii="Calibri"/>
          <w:b/>
          <w:i/>
          <w:u w:val="single"/>
        </w:rPr>
        <w:t>- cesta</w:t>
      </w:r>
    </w:p>
    <w:p w:rsidRDefault="00B45910" w:rsidP="00B45910" w:rsidR="00B45910">
      <w:pPr>
        <w:pStyle w:val="Standard"/>
        <w:jc w:val="both"/>
        <w:rPr>
          <w:rFonts w:hAnsi="Calibri" w:ascii="Calibri"/>
        </w:rPr>
      </w:pPr>
      <w:r>
        <w:rPr>
          <w:rFonts w:hAnsi="Calibri" w:ascii="Calibri"/>
        </w:rPr>
        <w:t>25.) Dana 26. lipnja 2017. godine poslana je ponuda za otkup nekretnine koja u naravi predstavlja nerazvrstanu javnu cestu Gradu Zagrebu, Sektoru za upravljanje imovinom grada.</w:t>
      </w:r>
    </w:p>
    <w:p w:rsidRDefault="00B45910" w:rsidP="00B45910" w:rsidR="00B45910">
      <w:pPr>
        <w:pStyle w:val="Standard"/>
        <w:jc w:val="both"/>
        <w:rPr>
          <w:rFonts w:hAnsi="Calibri" w:ascii="Calibri"/>
        </w:rPr>
      </w:pPr>
    </w:p>
    <w:p w:rsidRDefault="00B45910" w:rsidP="00B45910" w:rsidR="00B45910">
      <w:pPr>
        <w:pStyle w:val="Standard"/>
        <w:jc w:val="both"/>
        <w:rPr>
          <w:rFonts w:hAnsi="Calibri" w:ascii="Calibri"/>
        </w:rPr>
      </w:pPr>
      <w:r>
        <w:rPr>
          <w:rFonts w:hAnsi="Calibri" w:ascii="Calibri"/>
        </w:rPr>
        <w:t>26.) Dokazi o vrijednosti nekretnine – odluke Gradskog poglavarstva grada Zagreba: Gradsko poglavarstvo grada Zagreba donijelo je 9. ožujka 2006. godine zaključak o kupnji zemljišta z.k.č. 1900/5 K.o.Šestine, površine 101m2 u vlasništvu Branke Širinić, Trešćak 41a.</w:t>
      </w:r>
    </w:p>
    <w:p w:rsidRDefault="00B45910" w:rsidP="00B45910" w:rsidR="00B45910">
      <w:pPr>
        <w:pStyle w:val="Standard"/>
        <w:jc w:val="both"/>
        <w:rPr>
          <w:rFonts w:hAnsi="Calibri" w:ascii="Calibri"/>
        </w:rPr>
      </w:pPr>
    </w:p>
    <w:p w:rsidRDefault="00B45910" w:rsidP="00B45910" w:rsidR="00B45910">
      <w:pPr>
        <w:pStyle w:val="Standard"/>
        <w:jc w:val="both"/>
        <w:rPr>
          <w:rFonts w:hAnsi="Calibri" w:ascii="Calibri"/>
        </w:rPr>
      </w:pPr>
      <w:r>
        <w:rPr>
          <w:rFonts w:hAnsi="Calibri" w:ascii="Calibri"/>
        </w:rPr>
        <w:t>27.) Požurnica Gradu Zagrebu za ponuda za otkup nekretnine koja u naravi predstavlja nerazvrstanu javnu cestu od dana 23. kolovoza 2017. godine.</w:t>
      </w:r>
    </w:p>
    <w:p w:rsidRDefault="00B45910" w:rsidP="00B45910" w:rsidR="00B45910">
      <w:pPr>
        <w:pStyle w:val="Standard"/>
        <w:jc w:val="both"/>
        <w:rPr>
          <w:rFonts w:hAnsi="Calibri" w:ascii="Calibri"/>
        </w:rPr>
      </w:pPr>
    </w:p>
    <w:p w:rsidRDefault="00B45910" w:rsidP="00B45910" w:rsidR="00B45910">
      <w:pPr>
        <w:pStyle w:val="Standard"/>
        <w:jc w:val="both"/>
        <w:rPr>
          <w:rFonts w:hAnsi="Calibri" w:ascii="Calibri"/>
        </w:rPr>
      </w:pPr>
      <w:r>
        <w:rPr>
          <w:rFonts w:hAnsi="Calibri" w:ascii="Calibri"/>
        </w:rPr>
        <w:t xml:space="preserve">28.) Mail između Ane Vičević Gračanin i Terezije Ivančić (službenica Grada Zagreba) za otkup </w:t>
      </w:r>
      <w:r>
        <w:rPr>
          <w:rFonts w:hAnsi="Calibri" w:ascii="Calibri"/>
        </w:rPr>
        <w:lastRenderedPageBreak/>
        <w:t>z.k.č. 1928/2 K.o Šestine put površine 147m2 od dana 9. listopada 2017., 11. prosinca 2017 i 12 prosinca 2017. godine.</w:t>
      </w:r>
    </w:p>
    <w:p w:rsidRDefault="00B45910" w:rsidP="00B45910" w:rsidR="00B45910">
      <w:pPr>
        <w:pStyle w:val="Standard"/>
        <w:jc w:val="both"/>
        <w:rPr>
          <w:rFonts w:hAnsi="Calibri" w:ascii="Calibri"/>
        </w:rPr>
      </w:pPr>
    </w:p>
    <w:p w:rsidRDefault="00B45910" w:rsidP="00B45910" w:rsidR="00B45910">
      <w:pPr>
        <w:pStyle w:val="Standard"/>
        <w:jc w:val="both"/>
        <w:rPr>
          <w:rFonts w:hAnsi="Calibri" w:ascii="Calibri"/>
        </w:rPr>
      </w:pPr>
      <w:r>
        <w:rPr>
          <w:rFonts w:hAnsi="Calibri" w:ascii="Calibri"/>
        </w:rPr>
        <w:t>29.) Ponuda Gradu Zagrebu za otkup nekretnine koja u naravi predstavlja nerazvrstanu javnu cestu od dana  25. siječnja 2018. godine.</w:t>
      </w:r>
    </w:p>
    <w:p w:rsidRDefault="00B45910" w:rsidP="00B45910" w:rsidR="00B45910">
      <w:pPr>
        <w:pStyle w:val="Standard"/>
        <w:jc w:val="both"/>
        <w:rPr>
          <w:rFonts w:hAnsi="Calibri" w:ascii="Calibri"/>
        </w:rPr>
      </w:pPr>
    </w:p>
    <w:p w:rsidRDefault="00B45910" w:rsidP="00B45910" w:rsidR="00B45910">
      <w:pPr>
        <w:pStyle w:val="Standard"/>
        <w:jc w:val="both"/>
        <w:rPr>
          <w:rFonts w:hAnsi="Calibri" w:ascii="Calibri"/>
        </w:rPr>
      </w:pPr>
      <w:r>
        <w:rPr>
          <w:rFonts w:hAnsi="Calibri" w:ascii="Calibri"/>
        </w:rPr>
        <w:t>30.) Gradski ured za prostorno uređenje, izgradnju grada, graditeljstvo, komunalne poslove i promet, Sektor za građenje i održavanje komunalne infrastrukture od dana 09. listopada 2017. godine za otkup zemljišta.</w:t>
      </w:r>
    </w:p>
    <w:p w:rsidRDefault="00151FFE" w:rsidP="00B45910" w:rsidR="00151FFE">
      <w:pPr>
        <w:pStyle w:val="Standard"/>
        <w:jc w:val="both"/>
        <w:rPr>
          <w:rFonts w:hAnsi="Calibri" w:ascii="Calibri"/>
        </w:rPr>
      </w:pPr>
    </w:p>
    <w:p w:rsidRDefault="00151FFE" w:rsidP="00B45910" w:rsidR="00151FFE">
      <w:pPr>
        <w:pStyle w:val="Standard"/>
        <w:jc w:val="both"/>
        <w:rPr>
          <w:rFonts w:hAnsi="Calibri" w:ascii="Calibri"/>
        </w:rPr>
      </w:pPr>
      <w:r>
        <w:rPr>
          <w:rFonts w:hAnsi="Calibri" w:ascii="Calibri"/>
        </w:rPr>
        <w:t>31.) PEČAT</w:t>
      </w:r>
    </w:p>
    <w:p w:rsidRDefault="00B45910" w:rsidP="00B45910" w:rsidR="00B45910">
      <w:pPr>
        <w:pStyle w:val="Standard"/>
        <w:jc w:val="both"/>
        <w:rPr>
          <w:rFonts w:hAnsi="Calibri" w:ascii="Calibri"/>
        </w:rPr>
      </w:pPr>
    </w:p>
    <w:p w:rsidRDefault="00B45910" w:rsidP="00B45910" w:rsidR="00B45910">
      <w:pPr>
        <w:pStyle w:val="Standard"/>
        <w:jc w:val="both"/>
        <w:rPr>
          <w:rFonts w:hAnsi="Calibri" w:ascii="Calibri"/>
          <w:b/>
          <w:bCs/>
          <w:sz w:val="28"/>
          <w:szCs w:val="28"/>
        </w:rPr>
      </w:pPr>
      <w:r>
        <w:rPr>
          <w:rFonts w:hAnsi="Calibri" w:ascii="Calibri"/>
          <w:b/>
          <w:bCs/>
          <w:sz w:val="28"/>
          <w:szCs w:val="28"/>
        </w:rPr>
        <w:t>Prijave</w:t>
      </w:r>
    </w:p>
    <w:p w:rsidRDefault="00B45910" w:rsidP="00B45910" w:rsidR="00B45910">
      <w:pPr>
        <w:pStyle w:val="Standard"/>
        <w:jc w:val="both"/>
        <w:rPr>
          <w:rFonts w:hAnsi="Calibri" w:ascii="Calibri"/>
          <w:b/>
          <w:bCs/>
          <w:sz w:val="28"/>
          <w:szCs w:val="28"/>
        </w:rPr>
      </w:pPr>
    </w:p>
    <w:p w:rsidRDefault="00B45910" w:rsidP="00B45910" w:rsidR="00B45910">
      <w:pPr>
        <w:pStyle w:val="Standard"/>
        <w:jc w:val="both"/>
        <w:rPr>
          <w:rFonts w:hAnsi="Calibri" w:ascii="Calibri"/>
        </w:rPr>
      </w:pPr>
      <w:r>
        <w:rPr>
          <w:rFonts w:hAnsi="Calibri" w:ascii="Calibri"/>
        </w:rPr>
        <w:t>0.) Podnesak Stečajnih vjerovnika  koji su zastupani po odvjetniku Mladenu Smoljanu od dana 14. veljače 2018. godine – uplata pristojbe</w:t>
      </w:r>
    </w:p>
    <w:p w:rsidRDefault="00B45910" w:rsidP="00B45910" w:rsidR="00B45910">
      <w:pPr>
        <w:pStyle w:val="Standard"/>
        <w:jc w:val="both"/>
        <w:rPr>
          <w:rFonts w:hAnsi="Calibri" w:ascii="Calibri"/>
        </w:rPr>
      </w:pPr>
    </w:p>
    <w:p w:rsidRDefault="00B45910" w:rsidP="00B45910" w:rsidR="00B45910">
      <w:pPr>
        <w:pStyle w:val="Standard"/>
        <w:jc w:val="both"/>
        <w:rPr>
          <w:rFonts w:hAnsi="Calibri" w:ascii="Calibri"/>
        </w:rPr>
      </w:pPr>
      <w:r>
        <w:rPr>
          <w:rFonts w:hAnsi="Calibri" w:ascii="Calibri"/>
        </w:rPr>
        <w:t>1.) Prijava tražbina u stečajnom postupku, vjerovnik Hrvatske vode od 20. listopada 2017. godine.</w:t>
      </w:r>
    </w:p>
    <w:p w:rsidRDefault="00B45910" w:rsidP="00B45910" w:rsidR="00B45910">
      <w:pPr>
        <w:pStyle w:val="Standard"/>
        <w:jc w:val="both"/>
        <w:rPr>
          <w:rFonts w:hAnsi="Calibri" w:ascii="Calibri"/>
        </w:rPr>
      </w:pPr>
    </w:p>
    <w:p w:rsidRDefault="00B45910" w:rsidP="00B45910" w:rsidR="00B45910">
      <w:pPr>
        <w:pStyle w:val="Standard"/>
        <w:jc w:val="both"/>
        <w:rPr>
          <w:rFonts w:hAnsi="Calibri" w:ascii="Calibri"/>
        </w:rPr>
      </w:pPr>
      <w:r>
        <w:rPr>
          <w:rFonts w:hAnsi="Calibri" w:ascii="Calibri"/>
        </w:rPr>
        <w:t>2.) Prijava tražbina u stečajnom postupku, vjerovnik Republika Hrvatska od 31. listopada 2017. godine.</w:t>
      </w:r>
    </w:p>
    <w:p w:rsidRDefault="00B45910" w:rsidP="00B45910" w:rsidR="00B45910">
      <w:pPr>
        <w:pStyle w:val="Standard"/>
        <w:jc w:val="both"/>
        <w:rPr>
          <w:rFonts w:hAnsi="Calibri" w:ascii="Calibri"/>
        </w:rPr>
      </w:pPr>
    </w:p>
    <w:p w:rsidRDefault="00B45910" w:rsidP="00B45910" w:rsidR="00B45910">
      <w:pPr>
        <w:pStyle w:val="Standard"/>
        <w:jc w:val="both"/>
        <w:rPr>
          <w:rFonts w:hAnsi="Calibri" w:ascii="Calibri"/>
        </w:rPr>
      </w:pPr>
      <w:r>
        <w:rPr>
          <w:rFonts w:hAnsi="Calibri" w:ascii="Calibri"/>
        </w:rPr>
        <w:t>3.)  Prijava tražbina u stečajnom postupku, vjerovnik Vip net d.o.o. od 2. studenog 2017. godine.</w:t>
      </w:r>
    </w:p>
    <w:p w:rsidRDefault="00B45910" w:rsidP="00B45910" w:rsidR="00B45910">
      <w:pPr>
        <w:pStyle w:val="Standard"/>
        <w:jc w:val="both"/>
        <w:rPr>
          <w:rFonts w:hAnsi="Calibri" w:ascii="Calibri"/>
        </w:rPr>
      </w:pPr>
    </w:p>
    <w:p w:rsidRDefault="00B45910" w:rsidP="00B45910" w:rsidR="00B45910">
      <w:pPr>
        <w:pStyle w:val="Standard"/>
        <w:jc w:val="both"/>
        <w:rPr>
          <w:rFonts w:hAnsi="Calibri" w:ascii="Calibri"/>
        </w:rPr>
      </w:pPr>
      <w:r>
        <w:rPr>
          <w:rFonts w:hAnsi="Calibri" w:ascii="Calibri"/>
        </w:rPr>
        <w:t>4.) Prijava tražbina u stečajnom postupku, vjerovnik Republika Hrvatska, Ministarstvo financija, Porezna uprava, Područni ured, Zagreb od 22. studenog 2017. godine</w:t>
      </w:r>
    </w:p>
    <w:p w:rsidRDefault="00B45910" w:rsidP="00B45910" w:rsidR="00B45910">
      <w:pPr>
        <w:pStyle w:val="Standard"/>
        <w:jc w:val="both"/>
        <w:rPr>
          <w:rFonts w:hAnsi="Calibri" w:ascii="Calibri"/>
        </w:rPr>
      </w:pPr>
    </w:p>
    <w:p w:rsidRDefault="00B45910" w:rsidP="00B45910" w:rsidR="00B45910">
      <w:pPr>
        <w:pStyle w:val="Standard"/>
        <w:jc w:val="both"/>
        <w:rPr>
          <w:rFonts w:hAnsi="Calibri" w:ascii="Calibri"/>
        </w:rPr>
      </w:pPr>
      <w:r>
        <w:rPr>
          <w:rFonts w:hAnsi="Calibri" w:ascii="Calibri"/>
        </w:rPr>
        <w:t>5.)  Prijava tražbina u stečajnom postupku, vjerovnik Grad Zagreb od 27. studenog 2017. godine.</w:t>
      </w:r>
    </w:p>
    <w:p w:rsidRDefault="00B45910" w:rsidP="00B45910" w:rsidR="00B45910">
      <w:pPr>
        <w:pStyle w:val="Standard"/>
        <w:jc w:val="both"/>
        <w:rPr>
          <w:rFonts w:hAnsi="Calibri" w:ascii="Calibri"/>
        </w:rPr>
      </w:pPr>
    </w:p>
    <w:p w:rsidRDefault="00B45910" w:rsidP="00B45910" w:rsidR="00B45910">
      <w:pPr>
        <w:pStyle w:val="Standard"/>
        <w:jc w:val="both"/>
        <w:rPr>
          <w:rFonts w:hAnsi="Calibri" w:ascii="Calibri"/>
        </w:rPr>
      </w:pPr>
      <w:r>
        <w:rPr>
          <w:rFonts w:hAnsi="Calibri" w:ascii="Calibri"/>
        </w:rPr>
        <w:t>6.)  Prijava tražbina u stečajnom postupku, vjerovnik  Hrvatske vode od 27. studenog 2017. godine.</w:t>
      </w:r>
    </w:p>
    <w:p w:rsidRDefault="00B45910" w:rsidP="00B45910" w:rsidR="00B45910">
      <w:pPr>
        <w:pStyle w:val="Standard"/>
        <w:jc w:val="both"/>
        <w:rPr>
          <w:rFonts w:hAnsi="Calibri" w:ascii="Calibri"/>
        </w:rPr>
      </w:pPr>
    </w:p>
    <w:p w:rsidRDefault="00B45910" w:rsidP="00B45910" w:rsidR="00B45910">
      <w:pPr>
        <w:pStyle w:val="Standard"/>
        <w:jc w:val="both"/>
        <w:rPr>
          <w:rFonts w:hAnsi="Calibri" w:ascii="Calibri"/>
        </w:rPr>
      </w:pPr>
      <w:r>
        <w:rPr>
          <w:rFonts w:hAnsi="Calibri" w:ascii="Calibri"/>
        </w:rPr>
        <w:t>7.)  Prijava tražbina u stečajnom postupku, vjerovnik Branko Plenko od 11. prosinca 2017. godine.</w:t>
      </w:r>
    </w:p>
    <w:p w:rsidRDefault="00B45910" w:rsidP="00B45910" w:rsidR="00B45910">
      <w:pPr>
        <w:pStyle w:val="Standard"/>
        <w:jc w:val="both"/>
        <w:rPr>
          <w:rFonts w:hAnsi="Calibri" w:ascii="Calibri"/>
        </w:rPr>
      </w:pPr>
    </w:p>
    <w:p w:rsidRDefault="00B45910" w:rsidP="00B45910" w:rsidR="00B45910">
      <w:pPr>
        <w:pStyle w:val="Standard"/>
        <w:jc w:val="both"/>
        <w:rPr>
          <w:rFonts w:hAnsi="Calibri" w:ascii="Calibri"/>
        </w:rPr>
      </w:pPr>
      <w:r>
        <w:rPr>
          <w:rFonts w:hAnsi="Calibri" w:ascii="Calibri"/>
        </w:rPr>
        <w:t>8.)  Prijava tražbina u stečajnom postupku, vjerovnik Jadranka Čačić od 11. prosinca 2017. godine.</w:t>
      </w:r>
    </w:p>
    <w:p w:rsidRDefault="00B45910" w:rsidP="00B45910" w:rsidR="00B45910">
      <w:pPr>
        <w:pStyle w:val="Standard"/>
        <w:jc w:val="both"/>
        <w:rPr>
          <w:rFonts w:hAnsi="Calibri" w:ascii="Calibri"/>
        </w:rPr>
      </w:pPr>
    </w:p>
    <w:p w:rsidRDefault="00B45910" w:rsidP="00B45910" w:rsidR="00B45910">
      <w:pPr>
        <w:pStyle w:val="Standard"/>
        <w:jc w:val="both"/>
        <w:rPr>
          <w:rFonts w:hAnsi="Calibri" w:ascii="Calibri"/>
        </w:rPr>
      </w:pPr>
      <w:r>
        <w:rPr>
          <w:rFonts w:hAnsi="Calibri" w:ascii="Calibri"/>
        </w:rPr>
        <w:t>9.)  Prijava tražbina u stečajnom postupku, vjerovnik Pohižek industrija d.o.o. od 14. prosinca 2017. godine.</w:t>
      </w:r>
    </w:p>
    <w:p w:rsidRDefault="00B45910" w:rsidP="00B45910" w:rsidR="00B45910">
      <w:pPr>
        <w:pStyle w:val="Standard"/>
        <w:jc w:val="both"/>
        <w:rPr>
          <w:rFonts w:hAnsi="Calibri" w:ascii="Calibri"/>
        </w:rPr>
      </w:pPr>
    </w:p>
    <w:p w:rsidRDefault="00B45910" w:rsidP="00B45910" w:rsidR="00B45910">
      <w:pPr>
        <w:pStyle w:val="Standard"/>
        <w:jc w:val="both"/>
        <w:rPr>
          <w:rFonts w:hAnsi="Calibri" w:ascii="Calibri"/>
        </w:rPr>
      </w:pPr>
    </w:p>
    <w:p w:rsidRDefault="00B45910" w:rsidP="00B45910" w:rsidR="00B45910">
      <w:pPr>
        <w:pStyle w:val="Standard"/>
        <w:jc w:val="both"/>
        <w:rPr>
          <w:rFonts w:hAnsi="Calibri" w:ascii="Calibri"/>
          <w:b/>
          <w:i/>
          <w:u w:val="single"/>
        </w:rPr>
      </w:pPr>
    </w:p>
    <w:p w:rsidRDefault="00B45910" w:rsidR="00B45910">
      <w:pPr>
        <w:jc w:val="both"/>
        <w:rPr>
          <w:rFonts w:cs="Times New Roman" w:hAnsi="Times New Roman" w:ascii="Times New Roman"/>
          <w:color w:themeTint="D9" w:themeColor="text1" w:val="262626"/>
          <w:sz w:val="24"/>
          <w:szCs w:val="24"/>
        </w:rPr>
      </w:pPr>
    </w:p>
    <w:p w:rsidRDefault="00C10ED8" w:rsidR="00EA7581" w:rsidRPr="0033314D">
      <w:pPr>
        <w:jc w:val="both"/>
        <w:rPr>
          <w:rFonts w:cs="Times New Roman" w:hAnsi="Times New Roman" w:ascii="Times New Roman"/>
        </w:rPr>
      </w:pPr>
      <w:r>
        <w:rPr>
          <w:rFonts w:cs="Times New Roman" w:hAnsi="Times New Roman" w:ascii="Times New Roman"/>
          <w:color w:themeTint="D9" w:themeColor="text1" w:val="262626"/>
          <w:sz w:val="24"/>
          <w:szCs w:val="24"/>
        </w:rPr>
        <w:lastRenderedPageBreak/>
        <w:t>Stečajni upravitelj je pregledao, te obradio zaprimljenu dokumentaciju o knjigovodstvenom stanju</w:t>
      </w:r>
      <w:r w:rsidR="00151FFE">
        <w:rPr>
          <w:rFonts w:cs="Times New Roman" w:hAnsi="Times New Roman" w:ascii="Times New Roman"/>
          <w:color w:themeTint="D9" w:themeColor="text1" w:val="262626"/>
          <w:sz w:val="24"/>
          <w:szCs w:val="24"/>
        </w:rPr>
        <w:t>, razgovarao sa prethodnom stečajnom upraviteljicom, kao i s direktorom stečajnog dužnika.</w:t>
      </w:r>
    </w:p>
    <w:p w:rsidRDefault="00EA7581" w:rsidR="00EA7581" w:rsidRPr="0033314D">
      <w:pPr>
        <w:jc w:val="both"/>
        <w:rPr>
          <w:rFonts w:cs="Times New Roman" w:eastAsia="Calibri" w:hAnsi="Times New Roman" w:ascii="Times New Roman"/>
          <w:color w:themeTint="D9" w:themeColor="text1" w:val="262626"/>
          <w:sz w:val="24"/>
          <w:szCs w:val="24"/>
        </w:rPr>
      </w:pPr>
    </w:p>
    <w:p w:rsidRDefault="00806032" w:rsidR="00EA7581" w:rsidRPr="00151FFE">
      <w:pPr>
        <w:jc w:val="both"/>
        <w:rPr>
          <w:rFonts w:cs="Times New Roman" w:hAnsi="Times New Roman" w:ascii="Times New Roman"/>
        </w:rPr>
      </w:pPr>
      <w:r w:rsidRPr="00151FFE">
        <w:rPr>
          <w:rFonts w:cs="Times New Roman" w:hAnsi="Times New Roman" w:ascii="Times New Roman"/>
          <w:b/>
          <w:color w:themeTint="D9" w:themeColor="text1" w:val="262626"/>
          <w:sz w:val="24"/>
          <w:szCs w:val="24"/>
        </w:rPr>
        <w:t>3. UZROCI GOSPODARSKOG POLOŽAJA DUŽNIKA I UZROCIMA OTV</w:t>
      </w:r>
      <w:r w:rsidR="00151FFE" w:rsidRPr="00151FFE">
        <w:rPr>
          <w:rFonts w:cs="Times New Roman" w:hAnsi="Times New Roman" w:ascii="Times New Roman"/>
          <w:b/>
          <w:color w:themeTint="D9" w:themeColor="text1" w:val="262626"/>
          <w:sz w:val="24"/>
          <w:szCs w:val="24"/>
        </w:rPr>
        <w:t>A</w:t>
      </w:r>
      <w:r w:rsidRPr="00151FFE">
        <w:rPr>
          <w:rFonts w:cs="Times New Roman" w:hAnsi="Times New Roman" w:ascii="Times New Roman"/>
          <w:b/>
          <w:color w:themeTint="D9" w:themeColor="text1" w:val="262626"/>
          <w:sz w:val="24"/>
          <w:szCs w:val="24"/>
        </w:rPr>
        <w:t>RANJA STEČAJA</w:t>
      </w:r>
    </w:p>
    <w:p w:rsidRDefault="00806032" w:rsidR="00EA7581" w:rsidRPr="0033314D">
      <w:pPr>
        <w:jc w:val="both"/>
        <w:rPr>
          <w:rFonts w:cs="Times New Roman" w:hAnsi="Times New Roman" w:ascii="Times New Roman"/>
        </w:rPr>
      </w:pPr>
      <w:r w:rsidRPr="0033314D">
        <w:rPr>
          <w:rFonts w:cs="Times New Roman" w:hAnsi="Times New Roman" w:ascii="Times New Roman"/>
          <w:color w:themeTint="D9" w:themeColor="text1" w:val="262626"/>
          <w:sz w:val="24"/>
          <w:szCs w:val="24"/>
        </w:rPr>
        <w:t xml:space="preserve">Stečajni dužnik osnovan je 29. travnja 2002. godine. Društvo je prihode ostvarivalo kroz građenje, projektiranje i  nadzor, izgradnju građevinskih objekata i dijelova objekata, a između ostalog bilo je registrirano i za kupnju i prodaju robe, zastupanje stranih tvrtki, obavljanje trgovačkog posredovanja na domaćem i inozemnom tržištu, pružanje usluga u nautičkom, zdravstvenom, kongresnom, sportskom i drugim oblicima turizma. </w:t>
      </w:r>
    </w:p>
    <w:p w:rsidRDefault="00806032" w:rsidR="00EA7581" w:rsidRPr="0033314D">
      <w:pPr>
        <w:jc w:val="both"/>
        <w:rPr>
          <w:rFonts w:cs="Times New Roman" w:hAnsi="Times New Roman" w:ascii="Times New Roman"/>
        </w:rPr>
      </w:pPr>
      <w:r w:rsidRPr="0033314D">
        <w:rPr>
          <w:rFonts w:cs="Times New Roman" w:hAnsi="Times New Roman" w:ascii="Times New Roman"/>
          <w:color w:themeTint="D9" w:themeColor="text1" w:val="262626"/>
          <w:sz w:val="24"/>
          <w:szCs w:val="24"/>
        </w:rPr>
        <w:t>Posljednje financijsko izvješće predano je za 2016. godinu, a društvo je na dan 01. rujna 2015. godine odnosno do trenutka podnošenja prijedloga za pokretanje stečajnog postupka  bilo u neprekidnoj blokadi 1987 dana uz evidentirane neizvršene osnove za plaćanje u ukupnom iznosu od 1.321.395,45 kn.</w:t>
      </w:r>
    </w:p>
    <w:p w:rsidRDefault="00EA7581" w:rsidR="00EA7581" w:rsidRPr="0033314D">
      <w:pPr>
        <w:jc w:val="both"/>
        <w:rPr>
          <w:rFonts w:cs="Times New Roman" w:hAnsi="Times New Roman" w:ascii="Times New Roman"/>
        </w:rPr>
      </w:pPr>
    </w:p>
    <w:p w:rsidRDefault="00806032" w:rsidR="00EA7581" w:rsidRPr="00151FFE">
      <w:pPr>
        <w:jc w:val="both"/>
        <w:rPr>
          <w:rFonts w:cs="Times New Roman" w:hAnsi="Times New Roman" w:ascii="Times New Roman"/>
        </w:rPr>
      </w:pPr>
      <w:r w:rsidRPr="0033314D">
        <w:rPr>
          <w:rFonts w:cs="Times New Roman" w:hAnsi="Times New Roman" w:ascii="Times New Roman"/>
          <w:color w:themeTint="D9" w:themeColor="text1" w:val="262626"/>
          <w:sz w:val="24"/>
          <w:szCs w:val="24"/>
        </w:rPr>
        <w:tab/>
      </w:r>
      <w:r w:rsidRPr="00151FFE">
        <w:rPr>
          <w:rFonts w:cs="Times New Roman" w:hAnsi="Times New Roman" w:ascii="Times New Roman"/>
          <w:b/>
          <w:bCs/>
          <w:iCs/>
          <w:color w:themeTint="D9" w:themeColor="text1" w:val="262626"/>
          <w:sz w:val="24"/>
          <w:szCs w:val="24"/>
        </w:rPr>
        <w:t>3.1.  PREGLED REZULTATA POSLOVANJA</w:t>
      </w:r>
    </w:p>
    <w:p w:rsidRDefault="00806032" w:rsidR="00EA7581" w:rsidRPr="0033314D">
      <w:pPr>
        <w:jc w:val="both"/>
        <w:rPr>
          <w:rFonts w:cs="Times New Roman" w:hAnsi="Times New Roman" w:ascii="Times New Roman"/>
        </w:rPr>
      </w:pPr>
      <w:r w:rsidRPr="0033314D">
        <w:rPr>
          <w:rFonts w:cs="Times New Roman" w:hAnsi="Times New Roman" w:ascii="Times New Roman"/>
          <w:color w:val="262626"/>
          <w:sz w:val="24"/>
          <w:szCs w:val="24"/>
        </w:rPr>
        <w:t>Prema podacima iz knjigovodstvene evidencije i temeljnih financijskih izvješća, koje je društvo dostavilo nadležnim državnim institucijama za prethodne godine, poslovanje dužnika se odvijalo prema pregledu kako slijedi:</w:t>
      </w:r>
    </w:p>
    <w:p w:rsidRDefault="00EA7581" w:rsidR="00EA7581" w:rsidRPr="0033314D">
      <w:pPr>
        <w:jc w:val="both"/>
        <w:rPr>
          <w:rFonts w:cs="Times New Roman" w:hAnsi="Times New Roman" w:ascii="Times New Roman"/>
          <w:sz w:val="24"/>
          <w:szCs w:val="24"/>
        </w:rPr>
      </w:pPr>
    </w:p>
    <w:tbl>
      <w:tblPr>
        <w:tblW w:type="dxa" w:w="9289"/>
        <w:tblInd w:type="dxa" w:w="-75"/>
        <w:tblBorders>
          <w:top w:space="0" w:sz="4" w:color="00000A" w:val="single"/>
          <w:left w:space="0" w:sz="4" w:color="00000A" w:val="single"/>
          <w:bottom w:space="0" w:sz="4" w:color="00000A" w:val="single"/>
          <w:right w:space="0" w:sz="4" w:color="00000A" w:val="single"/>
          <w:insideH w:space="0" w:sz="4" w:color="00000A" w:val="single"/>
          <w:insideV w:space="0" w:sz="4" w:color="00000A" w:val="single"/>
        </w:tblBorders>
        <w:tblCellMar>
          <w:left w:type="dxa" w:w="28"/>
        </w:tblCellMar>
        <w:tblLook w:val="04A0" w:noVBand="1" w:noHBand="0" w:lastColumn="0" w:firstColumn="1" w:lastRow="0" w:firstRow="1"/>
      </w:tblPr>
      <w:tblGrid>
        <w:gridCol w:w="2652"/>
        <w:gridCol w:w="2654"/>
        <w:gridCol w:w="3983"/>
      </w:tblGrid>
      <w:tr w:rsidR="00EA7581" w:rsidRPr="0033314D">
        <w:tc>
          <w:tcPr>
            <w:tcW w:type="dxa" w:w="2652"/>
            <w:tcBorders>
              <w:top w:space="0" w:sz="4" w:color="00000A" w:val="single"/>
              <w:left w:space="0" w:sz="4" w:color="00000A" w:val="single"/>
              <w:bottom w:space="0" w:sz="4" w:color="00000A" w:val="single"/>
              <w:right w:space="0" w:sz="4" w:color="00000A" w:val="single"/>
            </w:tcBorders>
            <w:shd w:fill="FFFFFF" w:color="auto" w:val="clear"/>
            <w:tcMar>
              <w:left w:type="dxa" w:w="28"/>
            </w:tcMar>
          </w:tcPr>
          <w:p w:rsidRDefault="00806032" w:rsidR="00EA7581" w:rsidRPr="0033314D">
            <w:pPr>
              <w:jc w:val="both"/>
              <w:rPr>
                <w:rFonts w:cs="Times New Roman" w:hAnsi="Times New Roman" w:ascii="Times New Roman"/>
              </w:rPr>
            </w:pPr>
            <w:r w:rsidRPr="0033314D">
              <w:rPr>
                <w:rFonts w:cs="Times New Roman" w:hAnsi="Times New Roman" w:ascii="Times New Roman"/>
                <w:color w:val="262626"/>
                <w:sz w:val="24"/>
                <w:szCs w:val="24"/>
              </w:rPr>
              <w:t>opis</w:t>
            </w:r>
          </w:p>
        </w:tc>
        <w:tc>
          <w:tcPr>
            <w:tcW w:type="dxa" w:w="2654"/>
            <w:tcBorders>
              <w:top w:space="0" w:sz="4" w:color="00000A" w:val="single"/>
              <w:left w:space="0" w:sz="4" w:color="00000A" w:val="single"/>
              <w:bottom w:space="0" w:sz="4" w:color="00000A" w:val="single"/>
              <w:right w:space="0" w:sz="4" w:color="00000A" w:val="single"/>
            </w:tcBorders>
            <w:shd w:fill="FFFFFF" w:color="auto" w:val="clear"/>
            <w:tcMar>
              <w:left w:type="dxa" w:w="28"/>
            </w:tcMar>
          </w:tcPr>
          <w:p w:rsidRDefault="00806032" w:rsidR="00EA7581" w:rsidRPr="0033314D">
            <w:pPr>
              <w:jc w:val="both"/>
              <w:rPr>
                <w:rFonts w:cs="Times New Roman" w:hAnsi="Times New Roman" w:ascii="Times New Roman"/>
              </w:rPr>
            </w:pPr>
            <w:r w:rsidRPr="0033314D">
              <w:rPr>
                <w:rFonts w:cs="Times New Roman" w:hAnsi="Times New Roman" w:ascii="Times New Roman"/>
                <w:color w:val="262626"/>
                <w:sz w:val="24"/>
                <w:szCs w:val="24"/>
              </w:rPr>
              <w:t>1.01.-31.12.2015.</w:t>
            </w:r>
          </w:p>
        </w:tc>
        <w:tc>
          <w:tcPr>
            <w:tcW w:type="dxa" w:w="3983"/>
            <w:tcBorders>
              <w:top w:space="0" w:sz="4" w:color="00000A" w:val="single"/>
              <w:left w:space="0" w:sz="4" w:color="00000A" w:val="single"/>
              <w:bottom w:space="0" w:sz="4" w:color="00000A" w:val="single"/>
              <w:right w:space="0" w:sz="4" w:color="00000A" w:val="single"/>
            </w:tcBorders>
            <w:shd w:fill="FFFFFF" w:color="auto" w:val="clear"/>
            <w:tcMar>
              <w:left w:type="dxa" w:w="28"/>
            </w:tcMar>
          </w:tcPr>
          <w:p w:rsidRDefault="00806032" w:rsidR="00EA7581" w:rsidRPr="0033314D">
            <w:pPr>
              <w:jc w:val="both"/>
              <w:rPr>
                <w:rFonts w:cs="Times New Roman" w:hAnsi="Times New Roman" w:ascii="Times New Roman"/>
              </w:rPr>
            </w:pPr>
            <w:r w:rsidRPr="0033314D">
              <w:rPr>
                <w:rFonts w:cs="Times New Roman" w:hAnsi="Times New Roman" w:ascii="Times New Roman"/>
                <w:color w:val="262626"/>
                <w:sz w:val="24"/>
                <w:szCs w:val="24"/>
              </w:rPr>
              <w:t>1.01.-31.12.2016.</w:t>
            </w:r>
          </w:p>
        </w:tc>
      </w:tr>
      <w:tr w:rsidR="00EA7581" w:rsidRPr="0033314D">
        <w:tc>
          <w:tcPr>
            <w:tcW w:type="dxa" w:w="2652"/>
            <w:tcBorders>
              <w:top w:space="0" w:sz="4" w:color="00000A" w:val="single"/>
              <w:left w:space="0" w:sz="4" w:color="00000A" w:val="single"/>
              <w:bottom w:space="0" w:sz="4" w:color="00000A" w:val="single"/>
              <w:right w:space="0" w:sz="4" w:color="00000A" w:val="single"/>
            </w:tcBorders>
            <w:shd w:fill="FFFFFF" w:color="auto" w:val="clear"/>
            <w:tcMar>
              <w:left w:type="dxa" w:w="28"/>
            </w:tcMar>
          </w:tcPr>
          <w:p w:rsidRDefault="00806032" w:rsidR="00EA7581" w:rsidRPr="0033314D">
            <w:pPr>
              <w:jc w:val="both"/>
              <w:rPr>
                <w:rFonts w:cs="Times New Roman" w:hAnsi="Times New Roman" w:ascii="Times New Roman"/>
              </w:rPr>
            </w:pPr>
            <w:r w:rsidRPr="0033314D">
              <w:rPr>
                <w:rFonts w:cs="Times New Roman" w:hAnsi="Times New Roman" w:ascii="Times New Roman"/>
                <w:color w:val="262626"/>
                <w:sz w:val="24"/>
                <w:szCs w:val="24"/>
              </w:rPr>
              <w:t>POSLOVNI PRIHODI</w:t>
            </w:r>
          </w:p>
        </w:tc>
        <w:tc>
          <w:tcPr>
            <w:tcW w:type="dxa" w:w="2654"/>
            <w:tcBorders>
              <w:top w:space="0" w:sz="4" w:color="00000A" w:val="single"/>
              <w:left w:space="0" w:sz="4" w:color="00000A" w:val="single"/>
              <w:bottom w:space="0" w:sz="4" w:color="00000A" w:val="single"/>
              <w:right w:space="0" w:sz="4" w:color="00000A" w:val="single"/>
            </w:tcBorders>
            <w:shd w:fill="FFFFFF" w:color="auto" w:val="clear"/>
            <w:tcMar>
              <w:left w:type="dxa" w:w="28"/>
            </w:tcMar>
          </w:tcPr>
          <w:p w:rsidRDefault="00806032" w:rsidR="00EA7581" w:rsidRPr="0033314D">
            <w:pPr>
              <w:jc w:val="both"/>
              <w:rPr>
                <w:rFonts w:cs="Times New Roman" w:hAnsi="Times New Roman" w:ascii="Times New Roman"/>
              </w:rPr>
            </w:pPr>
            <w:r w:rsidRPr="0033314D">
              <w:rPr>
                <w:rFonts w:cs="Times New Roman" w:hAnsi="Times New Roman" w:ascii="Times New Roman"/>
                <w:color w:val="262626"/>
                <w:sz w:val="24"/>
                <w:szCs w:val="24"/>
              </w:rPr>
              <w:t>0</w:t>
            </w:r>
          </w:p>
        </w:tc>
        <w:tc>
          <w:tcPr>
            <w:tcW w:type="dxa" w:w="3983"/>
            <w:tcBorders>
              <w:top w:space="0" w:sz="4" w:color="00000A" w:val="single"/>
              <w:left w:space="0" w:sz="4" w:color="00000A" w:val="single"/>
              <w:bottom w:space="0" w:sz="4" w:color="00000A" w:val="single"/>
              <w:right w:space="0" w:sz="4" w:color="00000A" w:val="single"/>
            </w:tcBorders>
            <w:shd w:fill="FFFFFF" w:color="auto" w:val="clear"/>
            <w:tcMar>
              <w:left w:type="dxa" w:w="28"/>
            </w:tcMar>
          </w:tcPr>
          <w:p w:rsidRDefault="00806032" w:rsidR="00EA7581" w:rsidRPr="0033314D">
            <w:pPr>
              <w:jc w:val="both"/>
              <w:rPr>
                <w:rFonts w:cs="Times New Roman" w:hAnsi="Times New Roman" w:ascii="Times New Roman"/>
              </w:rPr>
            </w:pPr>
            <w:r w:rsidRPr="0033314D">
              <w:rPr>
                <w:rFonts w:cs="Times New Roman" w:hAnsi="Times New Roman" w:ascii="Times New Roman"/>
                <w:color w:val="262626"/>
                <w:sz w:val="24"/>
                <w:szCs w:val="24"/>
              </w:rPr>
              <w:t>0</w:t>
            </w:r>
          </w:p>
        </w:tc>
      </w:tr>
      <w:tr w:rsidR="00EA7581" w:rsidRPr="0033314D">
        <w:tc>
          <w:tcPr>
            <w:tcW w:type="dxa" w:w="2652"/>
            <w:tcBorders>
              <w:top w:space="0" w:sz="4" w:color="00000A" w:val="single"/>
              <w:left w:space="0" w:sz="4" w:color="00000A" w:val="single"/>
              <w:bottom w:space="0" w:sz="4" w:color="00000A" w:val="single"/>
              <w:right w:space="0" w:sz="4" w:color="00000A" w:val="single"/>
            </w:tcBorders>
            <w:shd w:fill="FFFFFF" w:color="auto" w:val="clear"/>
            <w:tcMar>
              <w:left w:type="dxa" w:w="28"/>
            </w:tcMar>
          </w:tcPr>
          <w:p w:rsidRDefault="00806032" w:rsidR="00EA7581" w:rsidRPr="0033314D">
            <w:pPr>
              <w:jc w:val="both"/>
              <w:rPr>
                <w:rFonts w:cs="Times New Roman" w:hAnsi="Times New Roman" w:ascii="Times New Roman"/>
              </w:rPr>
            </w:pPr>
            <w:r w:rsidRPr="0033314D">
              <w:rPr>
                <w:rFonts w:cs="Times New Roman" w:hAnsi="Times New Roman" w:ascii="Times New Roman"/>
                <w:color w:val="262626"/>
                <w:sz w:val="24"/>
                <w:szCs w:val="24"/>
              </w:rPr>
              <w:t>POSLOVNI RASHODI</w:t>
            </w:r>
          </w:p>
        </w:tc>
        <w:tc>
          <w:tcPr>
            <w:tcW w:type="dxa" w:w="2654"/>
            <w:tcBorders>
              <w:top w:space="0" w:sz="4" w:color="00000A" w:val="single"/>
              <w:left w:space="0" w:sz="4" w:color="00000A" w:val="single"/>
              <w:bottom w:space="0" w:sz="4" w:color="00000A" w:val="single"/>
              <w:right w:space="0" w:sz="4" w:color="00000A" w:val="single"/>
            </w:tcBorders>
            <w:shd w:fill="FFFFFF" w:color="auto" w:val="clear"/>
            <w:tcMar>
              <w:left w:type="dxa" w:w="28"/>
            </w:tcMar>
          </w:tcPr>
          <w:p w:rsidRDefault="00806032" w:rsidR="00EA7581" w:rsidRPr="0033314D">
            <w:pPr>
              <w:jc w:val="both"/>
              <w:rPr>
                <w:rFonts w:cs="Times New Roman" w:hAnsi="Times New Roman" w:ascii="Times New Roman"/>
              </w:rPr>
            </w:pPr>
            <w:r w:rsidRPr="0033314D">
              <w:rPr>
                <w:rFonts w:cs="Times New Roman" w:hAnsi="Times New Roman" w:ascii="Times New Roman"/>
                <w:color w:val="262626"/>
                <w:sz w:val="24"/>
                <w:szCs w:val="24"/>
              </w:rPr>
              <w:t>864,00</w:t>
            </w:r>
          </w:p>
        </w:tc>
        <w:tc>
          <w:tcPr>
            <w:tcW w:type="dxa" w:w="3983"/>
            <w:tcBorders>
              <w:top w:space="0" w:sz="4" w:color="00000A" w:val="single"/>
              <w:left w:space="0" w:sz="4" w:color="00000A" w:val="single"/>
              <w:bottom w:space="0" w:sz="4" w:color="00000A" w:val="single"/>
              <w:right w:space="0" w:sz="4" w:color="00000A" w:val="single"/>
            </w:tcBorders>
            <w:shd w:fill="FFFFFF" w:color="auto" w:val="clear"/>
            <w:tcMar>
              <w:left w:type="dxa" w:w="28"/>
            </w:tcMar>
          </w:tcPr>
          <w:p w:rsidRDefault="00806032" w:rsidR="00EA7581" w:rsidRPr="0033314D">
            <w:pPr>
              <w:jc w:val="both"/>
              <w:rPr>
                <w:rFonts w:cs="Times New Roman" w:hAnsi="Times New Roman" w:ascii="Times New Roman"/>
              </w:rPr>
            </w:pPr>
            <w:r w:rsidRPr="0033314D">
              <w:rPr>
                <w:rFonts w:cs="Times New Roman" w:hAnsi="Times New Roman" w:ascii="Times New Roman"/>
                <w:color w:val="262626"/>
                <w:sz w:val="24"/>
                <w:szCs w:val="24"/>
              </w:rPr>
              <w:t>100,00</w:t>
            </w:r>
          </w:p>
        </w:tc>
      </w:tr>
      <w:tr w:rsidR="00EA7581" w:rsidRPr="0033314D">
        <w:tc>
          <w:tcPr>
            <w:tcW w:type="dxa" w:w="2652"/>
            <w:tcBorders>
              <w:top w:space="0" w:sz="4" w:color="00000A" w:val="single"/>
              <w:left w:space="0" w:sz="4" w:color="00000A" w:val="single"/>
              <w:bottom w:space="0" w:sz="4" w:color="00000A" w:val="single"/>
              <w:right w:space="0" w:sz="4" w:color="00000A" w:val="single"/>
            </w:tcBorders>
            <w:shd w:fill="FFFFFF" w:color="auto" w:val="clear"/>
            <w:tcMar>
              <w:left w:type="dxa" w:w="28"/>
            </w:tcMar>
          </w:tcPr>
          <w:p w:rsidRDefault="00806032" w:rsidR="00EA7581" w:rsidRPr="0033314D">
            <w:pPr>
              <w:jc w:val="both"/>
              <w:rPr>
                <w:rFonts w:cs="Times New Roman" w:hAnsi="Times New Roman" w:ascii="Times New Roman"/>
              </w:rPr>
            </w:pPr>
            <w:r w:rsidRPr="0033314D">
              <w:rPr>
                <w:rFonts w:cs="Times New Roman" w:hAnsi="Times New Roman" w:ascii="Times New Roman"/>
                <w:color w:val="262626"/>
                <w:sz w:val="24"/>
                <w:szCs w:val="24"/>
              </w:rPr>
              <w:t>FINANACIJSKI PRIHODI</w:t>
            </w:r>
          </w:p>
        </w:tc>
        <w:tc>
          <w:tcPr>
            <w:tcW w:type="dxa" w:w="2654"/>
            <w:tcBorders>
              <w:top w:space="0" w:sz="4" w:color="00000A" w:val="single"/>
              <w:left w:space="0" w:sz="4" w:color="00000A" w:val="single"/>
              <w:bottom w:space="0" w:sz="4" w:color="00000A" w:val="single"/>
              <w:right w:space="0" w:sz="4" w:color="00000A" w:val="single"/>
            </w:tcBorders>
            <w:shd w:fill="FFFFFF" w:color="auto" w:val="clear"/>
            <w:tcMar>
              <w:left w:type="dxa" w:w="28"/>
            </w:tcMar>
          </w:tcPr>
          <w:p w:rsidRDefault="00806032" w:rsidR="00EA7581" w:rsidRPr="0033314D">
            <w:pPr>
              <w:jc w:val="both"/>
              <w:rPr>
                <w:rFonts w:cs="Times New Roman" w:hAnsi="Times New Roman" w:ascii="Times New Roman"/>
              </w:rPr>
            </w:pPr>
            <w:r w:rsidRPr="0033314D">
              <w:rPr>
                <w:rFonts w:cs="Times New Roman" w:hAnsi="Times New Roman" w:ascii="Times New Roman"/>
                <w:color w:val="262626"/>
                <w:sz w:val="24"/>
                <w:szCs w:val="24"/>
              </w:rPr>
              <w:t>0</w:t>
            </w:r>
          </w:p>
        </w:tc>
        <w:tc>
          <w:tcPr>
            <w:tcW w:type="dxa" w:w="3983"/>
            <w:tcBorders>
              <w:top w:space="0" w:sz="4" w:color="00000A" w:val="single"/>
              <w:left w:space="0" w:sz="4" w:color="00000A" w:val="single"/>
              <w:bottom w:space="0" w:sz="4" w:color="00000A" w:val="single"/>
              <w:right w:space="0" w:sz="4" w:color="00000A" w:val="single"/>
            </w:tcBorders>
            <w:shd w:fill="FFFFFF" w:color="auto" w:val="clear"/>
            <w:tcMar>
              <w:left w:type="dxa" w:w="28"/>
            </w:tcMar>
          </w:tcPr>
          <w:p w:rsidRDefault="00806032" w:rsidR="00EA7581" w:rsidRPr="0033314D">
            <w:pPr>
              <w:jc w:val="both"/>
              <w:rPr>
                <w:rFonts w:cs="Times New Roman" w:hAnsi="Times New Roman" w:ascii="Times New Roman"/>
              </w:rPr>
            </w:pPr>
            <w:r w:rsidRPr="0033314D">
              <w:rPr>
                <w:rFonts w:cs="Times New Roman" w:hAnsi="Times New Roman" w:ascii="Times New Roman"/>
                <w:sz w:val="24"/>
                <w:szCs w:val="24"/>
              </w:rPr>
              <w:t>0</w:t>
            </w:r>
          </w:p>
        </w:tc>
      </w:tr>
      <w:tr w:rsidR="00EA7581" w:rsidRPr="0033314D">
        <w:tc>
          <w:tcPr>
            <w:tcW w:type="dxa" w:w="2652"/>
            <w:tcBorders>
              <w:top w:space="0" w:sz="4" w:color="00000A" w:val="single"/>
              <w:left w:space="0" w:sz="4" w:color="00000A" w:val="single"/>
              <w:bottom w:space="0" w:sz="4" w:color="00000A" w:val="single"/>
              <w:right w:space="0" w:sz="4" w:color="00000A" w:val="single"/>
            </w:tcBorders>
            <w:shd w:fill="FFFFFF" w:color="auto" w:val="clear"/>
            <w:tcMar>
              <w:left w:type="dxa" w:w="28"/>
            </w:tcMar>
          </w:tcPr>
          <w:p w:rsidRDefault="00806032" w:rsidR="00EA7581" w:rsidRPr="0033314D">
            <w:pPr>
              <w:jc w:val="both"/>
              <w:rPr>
                <w:rFonts w:cs="Times New Roman" w:hAnsi="Times New Roman" w:ascii="Times New Roman"/>
              </w:rPr>
            </w:pPr>
            <w:r w:rsidRPr="0033314D">
              <w:rPr>
                <w:rFonts w:cs="Times New Roman" w:hAnsi="Times New Roman" w:ascii="Times New Roman"/>
                <w:color w:val="262626"/>
                <w:sz w:val="24"/>
                <w:szCs w:val="24"/>
              </w:rPr>
              <w:t>FINANACIJSKI RASHODI</w:t>
            </w:r>
          </w:p>
        </w:tc>
        <w:tc>
          <w:tcPr>
            <w:tcW w:type="dxa" w:w="2654"/>
            <w:tcBorders>
              <w:top w:space="0" w:sz="4" w:color="00000A" w:val="single"/>
              <w:left w:space="0" w:sz="4" w:color="00000A" w:val="single"/>
              <w:bottom w:space="0" w:sz="4" w:color="00000A" w:val="single"/>
              <w:right w:space="0" w:sz="4" w:color="00000A" w:val="single"/>
            </w:tcBorders>
            <w:shd w:fill="FFFFFF" w:color="auto" w:val="clear"/>
            <w:tcMar>
              <w:left w:type="dxa" w:w="28"/>
            </w:tcMar>
          </w:tcPr>
          <w:p w:rsidRDefault="00806032" w:rsidR="00EA7581" w:rsidRPr="0033314D">
            <w:pPr>
              <w:jc w:val="both"/>
              <w:rPr>
                <w:rFonts w:cs="Times New Roman" w:hAnsi="Times New Roman" w:ascii="Times New Roman"/>
              </w:rPr>
            </w:pPr>
            <w:r w:rsidRPr="0033314D">
              <w:rPr>
                <w:rFonts w:cs="Times New Roman" w:hAnsi="Times New Roman" w:ascii="Times New Roman"/>
                <w:color w:val="262626"/>
                <w:sz w:val="24"/>
                <w:szCs w:val="24"/>
              </w:rPr>
              <w:t>0</w:t>
            </w:r>
          </w:p>
        </w:tc>
        <w:tc>
          <w:tcPr>
            <w:tcW w:type="dxa" w:w="3983"/>
            <w:tcBorders>
              <w:top w:space="0" w:sz="4" w:color="00000A" w:val="single"/>
              <w:left w:space="0" w:sz="4" w:color="00000A" w:val="single"/>
              <w:bottom w:space="0" w:sz="4" w:color="00000A" w:val="single"/>
              <w:right w:space="0" w:sz="4" w:color="00000A" w:val="single"/>
            </w:tcBorders>
            <w:shd w:fill="FFFFFF" w:color="auto" w:val="clear"/>
            <w:tcMar>
              <w:left w:type="dxa" w:w="28"/>
            </w:tcMar>
          </w:tcPr>
          <w:p w:rsidRDefault="00806032" w:rsidR="00EA7581" w:rsidRPr="0033314D">
            <w:pPr>
              <w:jc w:val="both"/>
              <w:rPr>
                <w:rFonts w:cs="Times New Roman" w:hAnsi="Times New Roman" w:ascii="Times New Roman"/>
              </w:rPr>
            </w:pPr>
            <w:r w:rsidRPr="0033314D">
              <w:rPr>
                <w:rFonts w:cs="Times New Roman" w:hAnsi="Times New Roman" w:ascii="Times New Roman"/>
                <w:color w:val="262626"/>
                <w:sz w:val="24"/>
                <w:szCs w:val="24"/>
              </w:rPr>
              <w:t>0</w:t>
            </w:r>
          </w:p>
        </w:tc>
      </w:tr>
      <w:tr w:rsidR="00EA7581" w:rsidRPr="0033314D">
        <w:tc>
          <w:tcPr>
            <w:tcW w:type="dxa" w:w="2652"/>
            <w:tcBorders>
              <w:top w:space="0" w:sz="4" w:color="00000A" w:val="single"/>
              <w:left w:space="0" w:sz="4" w:color="00000A" w:val="single"/>
              <w:bottom w:space="0" w:sz="4" w:color="00000A" w:val="single"/>
              <w:right w:space="0" w:sz="4" w:color="00000A" w:val="single"/>
            </w:tcBorders>
            <w:shd w:fill="FFFFFF" w:color="auto" w:val="clear"/>
            <w:tcMar>
              <w:left w:type="dxa" w:w="28"/>
            </w:tcMar>
          </w:tcPr>
          <w:p w:rsidRDefault="00806032" w:rsidR="00EA7581" w:rsidRPr="0033314D">
            <w:pPr>
              <w:jc w:val="both"/>
              <w:rPr>
                <w:rFonts w:cs="Times New Roman" w:hAnsi="Times New Roman" w:ascii="Times New Roman"/>
              </w:rPr>
            </w:pPr>
            <w:r w:rsidRPr="0033314D">
              <w:rPr>
                <w:rFonts w:cs="Times New Roman" w:hAnsi="Times New Roman" w:ascii="Times New Roman"/>
                <w:color w:val="262626"/>
                <w:sz w:val="24"/>
                <w:szCs w:val="24"/>
              </w:rPr>
              <w:t>IZVANREDNI PRIHODI</w:t>
            </w:r>
          </w:p>
        </w:tc>
        <w:tc>
          <w:tcPr>
            <w:tcW w:type="dxa" w:w="2654"/>
            <w:tcBorders>
              <w:top w:space="0" w:sz="4" w:color="00000A" w:val="single"/>
              <w:left w:space="0" w:sz="4" w:color="00000A" w:val="single"/>
              <w:bottom w:space="0" w:sz="4" w:color="00000A" w:val="single"/>
              <w:right w:space="0" w:sz="4" w:color="00000A" w:val="single"/>
            </w:tcBorders>
            <w:shd w:fill="FFFFFF" w:color="auto" w:val="clear"/>
            <w:tcMar>
              <w:left w:type="dxa" w:w="28"/>
            </w:tcMar>
          </w:tcPr>
          <w:p w:rsidRDefault="00806032" w:rsidR="00EA7581" w:rsidRPr="0033314D">
            <w:pPr>
              <w:jc w:val="both"/>
              <w:rPr>
                <w:rFonts w:cs="Times New Roman" w:hAnsi="Times New Roman" w:ascii="Times New Roman"/>
              </w:rPr>
            </w:pPr>
            <w:r w:rsidRPr="0033314D">
              <w:rPr>
                <w:rFonts w:cs="Times New Roman" w:hAnsi="Times New Roman" w:ascii="Times New Roman"/>
                <w:color w:val="262626"/>
                <w:sz w:val="24"/>
                <w:szCs w:val="24"/>
              </w:rPr>
              <w:t>0</w:t>
            </w:r>
          </w:p>
        </w:tc>
        <w:tc>
          <w:tcPr>
            <w:tcW w:type="dxa" w:w="3983"/>
            <w:tcBorders>
              <w:top w:space="0" w:sz="4" w:color="00000A" w:val="single"/>
              <w:left w:space="0" w:sz="4" w:color="00000A" w:val="single"/>
              <w:bottom w:space="0" w:sz="4" w:color="00000A" w:val="single"/>
              <w:right w:space="0" w:sz="4" w:color="00000A" w:val="single"/>
            </w:tcBorders>
            <w:shd w:fill="FFFFFF" w:color="auto" w:val="clear"/>
            <w:tcMar>
              <w:left w:type="dxa" w:w="28"/>
            </w:tcMar>
          </w:tcPr>
          <w:p w:rsidRDefault="00806032" w:rsidR="00EA7581" w:rsidRPr="0033314D">
            <w:pPr>
              <w:jc w:val="both"/>
              <w:rPr>
                <w:rFonts w:cs="Times New Roman" w:hAnsi="Times New Roman" w:ascii="Times New Roman"/>
              </w:rPr>
            </w:pPr>
            <w:r w:rsidRPr="0033314D">
              <w:rPr>
                <w:rFonts w:cs="Times New Roman" w:hAnsi="Times New Roman" w:ascii="Times New Roman"/>
                <w:color w:val="262626"/>
                <w:sz w:val="24"/>
                <w:szCs w:val="24"/>
              </w:rPr>
              <w:t xml:space="preserve"> 0</w:t>
            </w:r>
          </w:p>
        </w:tc>
      </w:tr>
      <w:tr w:rsidR="00EA7581" w:rsidRPr="0033314D">
        <w:tc>
          <w:tcPr>
            <w:tcW w:type="dxa" w:w="2652"/>
            <w:tcBorders>
              <w:top w:space="0" w:sz="4" w:color="00000A" w:val="single"/>
              <w:left w:space="0" w:sz="4" w:color="00000A" w:val="single"/>
              <w:bottom w:space="0" w:sz="4" w:color="00000A" w:val="single"/>
              <w:right w:space="0" w:sz="4" w:color="00000A" w:val="single"/>
            </w:tcBorders>
            <w:shd w:fill="FFFFFF" w:color="auto" w:val="clear"/>
            <w:tcMar>
              <w:left w:type="dxa" w:w="28"/>
            </w:tcMar>
          </w:tcPr>
          <w:p w:rsidRDefault="00806032" w:rsidR="00EA7581" w:rsidRPr="0033314D">
            <w:pPr>
              <w:jc w:val="both"/>
              <w:rPr>
                <w:rFonts w:cs="Times New Roman" w:hAnsi="Times New Roman" w:ascii="Times New Roman"/>
              </w:rPr>
            </w:pPr>
            <w:r w:rsidRPr="0033314D">
              <w:rPr>
                <w:rFonts w:cs="Times New Roman" w:hAnsi="Times New Roman" w:ascii="Times New Roman"/>
                <w:color w:val="262626"/>
                <w:sz w:val="24"/>
                <w:szCs w:val="24"/>
              </w:rPr>
              <w:t>IZVANREDNI RASHODI</w:t>
            </w:r>
          </w:p>
        </w:tc>
        <w:tc>
          <w:tcPr>
            <w:tcW w:type="dxa" w:w="2654"/>
            <w:tcBorders>
              <w:top w:space="0" w:sz="4" w:color="00000A" w:val="single"/>
              <w:left w:space="0" w:sz="4" w:color="00000A" w:val="single"/>
              <w:bottom w:space="0" w:sz="4" w:color="00000A" w:val="single"/>
              <w:right w:space="0" w:sz="4" w:color="00000A" w:val="single"/>
            </w:tcBorders>
            <w:shd w:fill="FFFFFF" w:color="auto" w:val="clear"/>
            <w:tcMar>
              <w:left w:type="dxa" w:w="28"/>
            </w:tcMar>
          </w:tcPr>
          <w:p w:rsidRDefault="00806032" w:rsidR="00EA7581" w:rsidRPr="0033314D">
            <w:pPr>
              <w:jc w:val="both"/>
              <w:rPr>
                <w:rFonts w:cs="Times New Roman" w:hAnsi="Times New Roman" w:ascii="Times New Roman"/>
              </w:rPr>
            </w:pPr>
            <w:r w:rsidRPr="0033314D">
              <w:rPr>
                <w:rFonts w:cs="Times New Roman" w:hAnsi="Times New Roman" w:ascii="Times New Roman"/>
                <w:color w:val="262626"/>
                <w:sz w:val="24"/>
                <w:szCs w:val="24"/>
              </w:rPr>
              <w:t>0</w:t>
            </w:r>
          </w:p>
        </w:tc>
        <w:tc>
          <w:tcPr>
            <w:tcW w:type="dxa" w:w="3983"/>
            <w:tcBorders>
              <w:top w:space="0" w:sz="4" w:color="00000A" w:val="single"/>
              <w:left w:space="0" w:sz="4" w:color="00000A" w:val="single"/>
              <w:bottom w:space="0" w:sz="4" w:color="00000A" w:val="single"/>
              <w:right w:space="0" w:sz="4" w:color="00000A" w:val="single"/>
            </w:tcBorders>
            <w:shd w:fill="FFFFFF" w:color="auto" w:val="clear"/>
            <w:tcMar>
              <w:left w:type="dxa" w:w="28"/>
            </w:tcMar>
          </w:tcPr>
          <w:p w:rsidRDefault="00806032" w:rsidR="00EA7581" w:rsidRPr="0033314D">
            <w:pPr>
              <w:jc w:val="both"/>
              <w:rPr>
                <w:rFonts w:cs="Times New Roman" w:hAnsi="Times New Roman" w:ascii="Times New Roman"/>
              </w:rPr>
            </w:pPr>
            <w:r w:rsidRPr="0033314D">
              <w:rPr>
                <w:rFonts w:cs="Times New Roman" w:hAnsi="Times New Roman" w:ascii="Times New Roman"/>
                <w:color w:val="262626"/>
                <w:sz w:val="24"/>
                <w:szCs w:val="24"/>
              </w:rPr>
              <w:t xml:space="preserve"> 0        </w:t>
            </w:r>
          </w:p>
        </w:tc>
      </w:tr>
      <w:tr w:rsidR="00EA7581" w:rsidRPr="0033314D">
        <w:tc>
          <w:tcPr>
            <w:tcW w:type="dxa" w:w="2652"/>
            <w:tcBorders>
              <w:top w:space="0" w:sz="4" w:color="00000A" w:val="single"/>
              <w:left w:space="0" w:sz="4" w:color="00000A" w:val="single"/>
              <w:bottom w:space="0" w:sz="4" w:color="00000A" w:val="single"/>
              <w:right w:space="0" w:sz="4" w:color="00000A" w:val="single"/>
            </w:tcBorders>
            <w:shd w:fill="FFFFFF" w:color="auto" w:val="clear"/>
            <w:tcMar>
              <w:left w:type="dxa" w:w="28"/>
            </w:tcMar>
          </w:tcPr>
          <w:p w:rsidRDefault="00806032" w:rsidR="00EA7581" w:rsidRPr="0033314D">
            <w:pPr>
              <w:jc w:val="both"/>
              <w:rPr>
                <w:rFonts w:cs="Times New Roman" w:hAnsi="Times New Roman" w:ascii="Times New Roman"/>
              </w:rPr>
            </w:pPr>
            <w:r w:rsidRPr="0033314D">
              <w:rPr>
                <w:rFonts w:cs="Times New Roman" w:hAnsi="Times New Roman" w:ascii="Times New Roman"/>
                <w:b/>
                <w:color w:val="262626"/>
                <w:sz w:val="24"/>
                <w:szCs w:val="24"/>
              </w:rPr>
              <w:t>UKUPNI PRIHODI</w:t>
            </w:r>
          </w:p>
        </w:tc>
        <w:tc>
          <w:tcPr>
            <w:tcW w:type="dxa" w:w="2654"/>
            <w:tcBorders>
              <w:top w:space="0" w:sz="4" w:color="00000A" w:val="single"/>
              <w:left w:space="0" w:sz="4" w:color="00000A" w:val="single"/>
              <w:bottom w:space="0" w:sz="4" w:color="00000A" w:val="single"/>
              <w:right w:space="0" w:sz="4" w:color="00000A" w:val="single"/>
            </w:tcBorders>
            <w:shd w:fill="FFFFFF" w:color="auto" w:val="clear"/>
            <w:tcMar>
              <w:left w:type="dxa" w:w="28"/>
            </w:tcMar>
          </w:tcPr>
          <w:p w:rsidRDefault="00806032" w:rsidR="00EA7581" w:rsidRPr="0033314D">
            <w:pPr>
              <w:jc w:val="both"/>
              <w:rPr>
                <w:rFonts w:cs="Times New Roman" w:hAnsi="Times New Roman" w:ascii="Times New Roman"/>
              </w:rPr>
            </w:pPr>
            <w:r w:rsidRPr="0033314D">
              <w:rPr>
                <w:rFonts w:cs="Times New Roman" w:hAnsi="Times New Roman" w:ascii="Times New Roman"/>
                <w:sz w:val="24"/>
                <w:szCs w:val="24"/>
              </w:rPr>
              <w:t>0</w:t>
            </w:r>
          </w:p>
        </w:tc>
        <w:tc>
          <w:tcPr>
            <w:tcW w:type="dxa" w:w="3983"/>
            <w:tcBorders>
              <w:top w:space="0" w:sz="4" w:color="00000A" w:val="single"/>
              <w:left w:space="0" w:sz="4" w:color="00000A" w:val="single"/>
              <w:bottom w:space="0" w:sz="4" w:color="00000A" w:val="single"/>
              <w:right w:space="0" w:sz="4" w:color="00000A" w:val="single"/>
            </w:tcBorders>
            <w:shd w:fill="FFFFFF" w:color="auto" w:val="clear"/>
            <w:tcMar>
              <w:left w:type="dxa" w:w="28"/>
            </w:tcMar>
          </w:tcPr>
          <w:p w:rsidRDefault="00806032" w:rsidR="00EA7581" w:rsidRPr="0033314D">
            <w:pPr>
              <w:jc w:val="both"/>
              <w:rPr>
                <w:rFonts w:cs="Times New Roman" w:hAnsi="Times New Roman" w:ascii="Times New Roman"/>
              </w:rPr>
            </w:pPr>
            <w:r w:rsidRPr="0033314D">
              <w:rPr>
                <w:rFonts w:cs="Times New Roman" w:hAnsi="Times New Roman" w:ascii="Times New Roman"/>
                <w:sz w:val="24"/>
                <w:szCs w:val="24"/>
              </w:rPr>
              <w:t>0</w:t>
            </w:r>
          </w:p>
        </w:tc>
      </w:tr>
      <w:tr w:rsidR="00EA7581" w:rsidRPr="0033314D">
        <w:tc>
          <w:tcPr>
            <w:tcW w:type="dxa" w:w="2652"/>
            <w:tcBorders>
              <w:top w:space="0" w:sz="4" w:color="00000A" w:val="single"/>
              <w:left w:space="0" w:sz="4" w:color="00000A" w:val="single"/>
              <w:bottom w:space="0" w:sz="4" w:color="00000A" w:val="single"/>
              <w:right w:space="0" w:sz="4" w:color="00000A" w:val="single"/>
            </w:tcBorders>
            <w:shd w:fill="FFFFFF" w:color="auto" w:val="clear"/>
            <w:tcMar>
              <w:left w:type="dxa" w:w="28"/>
            </w:tcMar>
          </w:tcPr>
          <w:p w:rsidRDefault="00806032" w:rsidR="00EA7581" w:rsidRPr="0033314D">
            <w:pPr>
              <w:jc w:val="both"/>
              <w:rPr>
                <w:rFonts w:cs="Times New Roman" w:hAnsi="Times New Roman" w:ascii="Times New Roman"/>
              </w:rPr>
            </w:pPr>
            <w:r w:rsidRPr="0033314D">
              <w:rPr>
                <w:rFonts w:cs="Times New Roman" w:hAnsi="Times New Roman" w:ascii="Times New Roman"/>
                <w:b/>
                <w:color w:val="262626"/>
                <w:sz w:val="24"/>
                <w:szCs w:val="24"/>
              </w:rPr>
              <w:lastRenderedPageBreak/>
              <w:t>UKUPNI RASHODI</w:t>
            </w:r>
          </w:p>
        </w:tc>
        <w:tc>
          <w:tcPr>
            <w:tcW w:type="dxa" w:w="2654"/>
            <w:tcBorders>
              <w:top w:space="0" w:sz="4" w:color="00000A" w:val="single"/>
              <w:left w:space="0" w:sz="4" w:color="00000A" w:val="single"/>
              <w:bottom w:space="0" w:sz="4" w:color="00000A" w:val="single"/>
              <w:right w:space="0" w:sz="4" w:color="00000A" w:val="single"/>
            </w:tcBorders>
            <w:shd w:fill="FFFFFF" w:color="auto" w:val="clear"/>
            <w:tcMar>
              <w:left w:type="dxa" w:w="28"/>
            </w:tcMar>
          </w:tcPr>
          <w:p w:rsidRDefault="00806032" w:rsidR="00EA7581" w:rsidRPr="0033314D">
            <w:pPr>
              <w:jc w:val="both"/>
              <w:rPr>
                <w:rFonts w:cs="Times New Roman" w:hAnsi="Times New Roman" w:ascii="Times New Roman"/>
              </w:rPr>
            </w:pPr>
            <w:r w:rsidRPr="0033314D">
              <w:rPr>
                <w:rFonts w:cs="Times New Roman" w:hAnsi="Times New Roman" w:ascii="Times New Roman"/>
                <w:sz w:val="24"/>
                <w:szCs w:val="24"/>
              </w:rPr>
              <w:t>864,00</w:t>
            </w:r>
          </w:p>
        </w:tc>
        <w:tc>
          <w:tcPr>
            <w:tcW w:type="dxa" w:w="3983"/>
            <w:tcBorders>
              <w:top w:space="0" w:sz="4" w:color="00000A" w:val="single"/>
              <w:left w:space="0" w:sz="4" w:color="00000A" w:val="single"/>
              <w:bottom w:space="0" w:sz="4" w:color="00000A" w:val="single"/>
              <w:right w:space="0" w:sz="4" w:color="00000A" w:val="single"/>
            </w:tcBorders>
            <w:shd w:fill="FFFFFF" w:color="auto" w:val="clear"/>
            <w:tcMar>
              <w:left w:type="dxa" w:w="28"/>
            </w:tcMar>
          </w:tcPr>
          <w:p w:rsidRDefault="00806032" w:rsidR="00EA7581" w:rsidRPr="0033314D">
            <w:pPr>
              <w:jc w:val="both"/>
              <w:rPr>
                <w:rFonts w:cs="Times New Roman" w:hAnsi="Times New Roman" w:ascii="Times New Roman"/>
              </w:rPr>
            </w:pPr>
            <w:r w:rsidRPr="0033314D">
              <w:rPr>
                <w:rFonts w:cs="Times New Roman" w:hAnsi="Times New Roman" w:ascii="Times New Roman"/>
                <w:sz w:val="24"/>
                <w:szCs w:val="24"/>
              </w:rPr>
              <w:t>100,00</w:t>
            </w:r>
          </w:p>
        </w:tc>
      </w:tr>
      <w:tr w:rsidR="00EA7581" w:rsidRPr="0033314D">
        <w:tc>
          <w:tcPr>
            <w:tcW w:type="dxa" w:w="2652"/>
            <w:tcBorders>
              <w:top w:space="0" w:sz="4" w:color="00000A" w:val="single"/>
              <w:left w:space="0" w:sz="4" w:color="00000A" w:val="single"/>
              <w:bottom w:space="0" w:sz="4" w:color="00000A" w:val="single"/>
              <w:right w:space="0" w:sz="4" w:color="00000A" w:val="single"/>
            </w:tcBorders>
            <w:shd w:fill="FFFFFF" w:color="auto" w:val="clear"/>
            <w:tcMar>
              <w:left w:type="dxa" w:w="28"/>
            </w:tcMar>
          </w:tcPr>
          <w:p w:rsidRDefault="00806032" w:rsidR="00EA7581" w:rsidRPr="0033314D">
            <w:pPr>
              <w:jc w:val="both"/>
              <w:rPr>
                <w:rFonts w:cs="Times New Roman" w:hAnsi="Times New Roman" w:ascii="Times New Roman"/>
              </w:rPr>
            </w:pPr>
            <w:r w:rsidRPr="0033314D">
              <w:rPr>
                <w:rFonts w:cs="Times New Roman" w:hAnsi="Times New Roman" w:ascii="Times New Roman"/>
                <w:color w:val="262626"/>
                <w:sz w:val="24"/>
                <w:szCs w:val="24"/>
              </w:rPr>
              <w:t>DOBIT PRIJE OPOREZIVANJA</w:t>
            </w:r>
          </w:p>
        </w:tc>
        <w:tc>
          <w:tcPr>
            <w:tcW w:type="dxa" w:w="2654"/>
            <w:tcBorders>
              <w:top w:space="0" w:sz="4" w:color="00000A" w:val="single"/>
              <w:left w:space="0" w:sz="4" w:color="00000A" w:val="single"/>
              <w:bottom w:space="0" w:sz="4" w:color="00000A" w:val="single"/>
              <w:right w:space="0" w:sz="4" w:color="00000A" w:val="single"/>
            </w:tcBorders>
            <w:shd w:fill="FFFFFF" w:color="auto" w:val="clear"/>
            <w:tcMar>
              <w:left w:type="dxa" w:w="28"/>
            </w:tcMar>
          </w:tcPr>
          <w:p w:rsidRDefault="00806032" w:rsidR="00EA7581" w:rsidRPr="0033314D">
            <w:pPr>
              <w:jc w:val="both"/>
              <w:rPr>
                <w:rFonts w:cs="Times New Roman" w:hAnsi="Times New Roman" w:ascii="Times New Roman"/>
              </w:rPr>
            </w:pPr>
            <w:r w:rsidRPr="0033314D">
              <w:rPr>
                <w:rFonts w:cs="Times New Roman" w:hAnsi="Times New Roman" w:ascii="Times New Roman"/>
                <w:sz w:val="24"/>
                <w:szCs w:val="24"/>
              </w:rPr>
              <w:t>-864,00</w:t>
            </w:r>
          </w:p>
        </w:tc>
        <w:tc>
          <w:tcPr>
            <w:tcW w:type="dxa" w:w="3983"/>
            <w:tcBorders>
              <w:top w:space="0" w:sz="4" w:color="00000A" w:val="single"/>
              <w:left w:space="0" w:sz="4" w:color="00000A" w:val="single"/>
              <w:bottom w:space="0" w:sz="4" w:color="00000A" w:val="single"/>
              <w:right w:space="0" w:sz="4" w:color="00000A" w:val="single"/>
            </w:tcBorders>
            <w:shd w:fill="FFFFFF" w:color="auto" w:val="clear"/>
            <w:tcMar>
              <w:left w:type="dxa" w:w="28"/>
            </w:tcMar>
          </w:tcPr>
          <w:p w:rsidRDefault="00806032" w:rsidR="00EA7581" w:rsidRPr="0033314D">
            <w:pPr>
              <w:jc w:val="both"/>
              <w:rPr>
                <w:rFonts w:cs="Times New Roman" w:hAnsi="Times New Roman" w:ascii="Times New Roman"/>
              </w:rPr>
            </w:pPr>
            <w:r w:rsidRPr="0033314D">
              <w:rPr>
                <w:rFonts w:cs="Times New Roman" w:hAnsi="Times New Roman" w:ascii="Times New Roman"/>
                <w:sz w:val="24"/>
                <w:szCs w:val="24"/>
              </w:rPr>
              <w:t>-100,00</w:t>
            </w:r>
          </w:p>
        </w:tc>
      </w:tr>
      <w:tr w:rsidR="00EA7581" w:rsidRPr="0033314D">
        <w:tc>
          <w:tcPr>
            <w:tcW w:type="dxa" w:w="2652"/>
            <w:tcBorders>
              <w:top w:space="0" w:sz="4" w:color="00000A" w:val="single"/>
              <w:left w:space="0" w:sz="4" w:color="00000A" w:val="single"/>
              <w:bottom w:space="0" w:sz="4" w:color="00000A" w:val="single"/>
              <w:right w:space="0" w:sz="4" w:color="00000A" w:val="single"/>
            </w:tcBorders>
            <w:shd w:fill="FFFFFF" w:color="auto" w:val="clear"/>
            <w:tcMar>
              <w:left w:type="dxa" w:w="28"/>
            </w:tcMar>
          </w:tcPr>
          <w:p w:rsidRDefault="00806032" w:rsidR="00EA7581" w:rsidRPr="0033314D">
            <w:pPr>
              <w:jc w:val="both"/>
              <w:rPr>
                <w:rFonts w:cs="Times New Roman" w:hAnsi="Times New Roman" w:ascii="Times New Roman"/>
              </w:rPr>
            </w:pPr>
            <w:r w:rsidRPr="0033314D">
              <w:rPr>
                <w:rFonts w:cs="Times New Roman" w:hAnsi="Times New Roman" w:ascii="Times New Roman"/>
                <w:color w:val="262626"/>
                <w:sz w:val="24"/>
                <w:szCs w:val="24"/>
              </w:rPr>
              <w:t>GUBITAK PRIJE OPOREZIVANJA</w:t>
            </w:r>
          </w:p>
        </w:tc>
        <w:tc>
          <w:tcPr>
            <w:tcW w:type="dxa" w:w="2654"/>
            <w:tcBorders>
              <w:top w:space="0" w:sz="4" w:color="00000A" w:val="single"/>
              <w:left w:space="0" w:sz="4" w:color="00000A" w:val="single"/>
              <w:bottom w:space="0" w:sz="4" w:color="00000A" w:val="single"/>
              <w:right w:space="0" w:sz="4" w:color="00000A" w:val="single"/>
            </w:tcBorders>
            <w:shd w:fill="FFFFFF" w:color="auto" w:val="clear"/>
            <w:tcMar>
              <w:left w:type="dxa" w:w="28"/>
            </w:tcMar>
          </w:tcPr>
          <w:p w:rsidRDefault="00806032" w:rsidR="00EA7581" w:rsidRPr="0033314D">
            <w:pPr>
              <w:jc w:val="both"/>
              <w:rPr>
                <w:rFonts w:cs="Times New Roman" w:hAnsi="Times New Roman" w:ascii="Times New Roman"/>
              </w:rPr>
            </w:pPr>
            <w:r w:rsidRPr="0033314D">
              <w:rPr>
                <w:rFonts w:cs="Times New Roman" w:hAnsi="Times New Roman" w:ascii="Times New Roman"/>
                <w:sz w:val="24"/>
                <w:szCs w:val="24"/>
              </w:rPr>
              <w:t>864,00,</w:t>
            </w:r>
          </w:p>
        </w:tc>
        <w:tc>
          <w:tcPr>
            <w:tcW w:type="dxa" w:w="3983"/>
            <w:tcBorders>
              <w:top w:space="0" w:sz="4" w:color="00000A" w:val="single"/>
              <w:left w:space="0" w:sz="4" w:color="00000A" w:val="single"/>
              <w:bottom w:space="0" w:sz="4" w:color="00000A" w:val="single"/>
              <w:right w:space="0" w:sz="4" w:color="00000A" w:val="single"/>
            </w:tcBorders>
            <w:shd w:fill="FFFFFF" w:color="auto" w:val="clear"/>
            <w:tcMar>
              <w:left w:type="dxa" w:w="28"/>
            </w:tcMar>
          </w:tcPr>
          <w:p w:rsidRDefault="00806032" w:rsidR="00EA7581" w:rsidRPr="0033314D">
            <w:pPr>
              <w:jc w:val="both"/>
              <w:rPr>
                <w:rFonts w:cs="Times New Roman" w:hAnsi="Times New Roman" w:ascii="Times New Roman"/>
              </w:rPr>
            </w:pPr>
            <w:r w:rsidRPr="0033314D">
              <w:rPr>
                <w:rFonts w:cs="Times New Roman" w:hAnsi="Times New Roman" w:ascii="Times New Roman"/>
                <w:sz w:val="24"/>
                <w:szCs w:val="24"/>
              </w:rPr>
              <w:t>100,00</w:t>
            </w:r>
          </w:p>
        </w:tc>
      </w:tr>
      <w:tr w:rsidR="00EA7581" w:rsidRPr="0033314D">
        <w:tc>
          <w:tcPr>
            <w:tcW w:type="dxa" w:w="2652"/>
            <w:tcBorders>
              <w:top w:space="0" w:sz="4" w:color="00000A" w:val="single"/>
              <w:left w:space="0" w:sz="4" w:color="00000A" w:val="single"/>
              <w:bottom w:space="0" w:sz="4" w:color="00000A" w:val="single"/>
              <w:right w:space="0" w:sz="4" w:color="00000A" w:val="single"/>
            </w:tcBorders>
            <w:shd w:fill="FFFFFF" w:color="auto" w:val="clear"/>
            <w:tcMar>
              <w:left w:type="dxa" w:w="28"/>
            </w:tcMar>
          </w:tcPr>
          <w:p w:rsidRDefault="00806032" w:rsidR="00EA7581" w:rsidRPr="0033314D">
            <w:pPr>
              <w:jc w:val="both"/>
              <w:rPr>
                <w:rFonts w:cs="Times New Roman" w:hAnsi="Times New Roman" w:ascii="Times New Roman"/>
              </w:rPr>
            </w:pPr>
            <w:r w:rsidRPr="0033314D">
              <w:rPr>
                <w:rFonts w:cs="Times New Roman" w:hAnsi="Times New Roman" w:ascii="Times New Roman"/>
                <w:color w:val="262626"/>
                <w:sz w:val="24"/>
                <w:szCs w:val="24"/>
              </w:rPr>
              <w:t>DOBIT ILI GUBITAK RAZDOBLJA</w:t>
            </w:r>
          </w:p>
        </w:tc>
        <w:tc>
          <w:tcPr>
            <w:tcW w:type="dxa" w:w="2654"/>
            <w:tcBorders>
              <w:top w:space="0" w:sz="4" w:color="00000A" w:val="single"/>
              <w:left w:space="0" w:sz="4" w:color="00000A" w:val="single"/>
              <w:bottom w:space="0" w:sz="4" w:color="00000A" w:val="single"/>
              <w:right w:space="0" w:sz="4" w:color="00000A" w:val="single"/>
            </w:tcBorders>
            <w:shd w:fill="FFFFFF" w:color="auto" w:val="clear"/>
            <w:tcMar>
              <w:left w:type="dxa" w:w="28"/>
            </w:tcMar>
          </w:tcPr>
          <w:p w:rsidRDefault="00806032" w:rsidR="00EA7581" w:rsidRPr="0033314D">
            <w:pPr>
              <w:jc w:val="both"/>
              <w:rPr>
                <w:rFonts w:cs="Times New Roman" w:hAnsi="Times New Roman" w:ascii="Times New Roman"/>
              </w:rPr>
            </w:pPr>
            <w:r w:rsidRPr="0033314D">
              <w:rPr>
                <w:rFonts w:cs="Times New Roman" w:hAnsi="Times New Roman" w:ascii="Times New Roman"/>
                <w:sz w:val="24"/>
                <w:szCs w:val="24"/>
              </w:rPr>
              <w:t>-864,00</w:t>
            </w:r>
          </w:p>
        </w:tc>
        <w:tc>
          <w:tcPr>
            <w:tcW w:type="dxa" w:w="3983"/>
            <w:tcBorders>
              <w:top w:space="0" w:sz="4" w:color="00000A" w:val="single"/>
              <w:left w:space="0" w:sz="4" w:color="00000A" w:val="single"/>
              <w:bottom w:space="0" w:sz="4" w:color="00000A" w:val="single"/>
              <w:right w:space="0" w:sz="4" w:color="00000A" w:val="single"/>
            </w:tcBorders>
            <w:shd w:fill="FFFFFF" w:color="auto" w:val="clear"/>
            <w:tcMar>
              <w:left w:type="dxa" w:w="28"/>
            </w:tcMar>
          </w:tcPr>
          <w:p w:rsidRDefault="00806032" w:rsidR="00EA7581" w:rsidRPr="0033314D">
            <w:pPr>
              <w:jc w:val="both"/>
              <w:rPr>
                <w:rFonts w:cs="Times New Roman" w:hAnsi="Times New Roman" w:ascii="Times New Roman"/>
              </w:rPr>
            </w:pPr>
            <w:r w:rsidRPr="0033314D">
              <w:rPr>
                <w:rFonts w:cs="Times New Roman" w:hAnsi="Times New Roman" w:ascii="Times New Roman"/>
                <w:sz w:val="24"/>
                <w:szCs w:val="24"/>
              </w:rPr>
              <w:t xml:space="preserve"> -100,00</w:t>
            </w:r>
          </w:p>
        </w:tc>
      </w:tr>
    </w:tbl>
    <w:p w:rsidRDefault="00EA7581" w:rsidR="00EA7581" w:rsidRPr="0033314D">
      <w:pPr>
        <w:jc w:val="both"/>
        <w:rPr>
          <w:rFonts w:cs="Times New Roman" w:eastAsia="Calibri" w:hAnsi="Times New Roman" w:ascii="Times New Roman"/>
          <w:color w:themeTint="D9" w:themeColor="text1" w:val="262626"/>
          <w:sz w:val="24"/>
          <w:szCs w:val="24"/>
        </w:rPr>
      </w:pPr>
    </w:p>
    <w:p w:rsidRDefault="00806032" w:rsidR="00EA7581" w:rsidRPr="0033314D">
      <w:pPr>
        <w:jc w:val="both"/>
        <w:rPr>
          <w:rFonts w:cs="Times New Roman" w:hAnsi="Times New Roman" w:ascii="Times New Roman"/>
        </w:rPr>
      </w:pPr>
      <w:r w:rsidRPr="0033314D">
        <w:rPr>
          <w:rFonts w:cs="Times New Roman" w:eastAsia="Calibri" w:hAnsi="Times New Roman" w:ascii="Times New Roman"/>
          <w:color w:themeTint="D9" w:themeColor="text1" w:val="262626"/>
          <w:sz w:val="24"/>
          <w:szCs w:val="24"/>
        </w:rPr>
        <w:t>Iz pregleda rezultata poslovanja kako je sadržano u Tablici razvidno je da predmetni dužnik tijekom 2015. i 2016. godine nije ostvarivao prihode već je poslovao s gubitkom.</w:t>
      </w:r>
    </w:p>
    <w:p w:rsidRDefault="00806032" w:rsidR="00EA7581" w:rsidRPr="0033314D">
      <w:pPr>
        <w:jc w:val="both"/>
        <w:rPr>
          <w:rFonts w:cs="Times New Roman" w:hAnsi="Times New Roman" w:ascii="Times New Roman"/>
        </w:rPr>
      </w:pPr>
      <w:r w:rsidRPr="0033314D">
        <w:rPr>
          <w:rFonts w:cs="Times New Roman" w:hAnsi="Times New Roman" w:ascii="Times New Roman"/>
          <w:b/>
          <w:i/>
          <w:color w:themeTint="D9" w:themeColor="text1" w:val="262626"/>
          <w:sz w:val="24"/>
          <w:szCs w:val="24"/>
        </w:rPr>
        <w:tab/>
      </w:r>
    </w:p>
    <w:p w:rsidRDefault="00806032" w:rsidR="00EA7581">
      <w:pPr>
        <w:jc w:val="both"/>
        <w:rPr>
          <w:rFonts w:cs="Times New Roman" w:hAnsi="Times New Roman" w:ascii="Times New Roman"/>
          <w:b/>
          <w:color w:themeTint="D9" w:themeColor="text1" w:val="262626"/>
          <w:sz w:val="24"/>
          <w:szCs w:val="24"/>
        </w:rPr>
      </w:pPr>
      <w:r w:rsidRPr="00151FFE">
        <w:rPr>
          <w:rFonts w:cs="Times New Roman" w:hAnsi="Times New Roman" w:ascii="Times New Roman"/>
          <w:b/>
          <w:color w:themeTint="D9" w:themeColor="text1" w:val="262626"/>
          <w:sz w:val="24"/>
          <w:szCs w:val="24"/>
        </w:rPr>
        <w:t>3.2. IMOVINA STEČAJNOG DUŽNIKA</w:t>
      </w:r>
    </w:p>
    <w:p w:rsidRDefault="00D71035" w:rsidR="00D71035">
      <w:pPr>
        <w:jc w:val="both"/>
        <w:rPr>
          <w:rFonts w:cs="Times New Roman" w:hAnsi="Times New Roman" w:ascii="Times New Roman"/>
        </w:rPr>
      </w:pPr>
    </w:p>
    <w:p w:rsidRDefault="00D71035" w:rsidR="00D71035">
      <w:pPr>
        <w:jc w:val="both"/>
        <w:rPr>
          <w:rFonts w:cs="Times New Roman" w:hAnsi="Times New Roman" w:ascii="Times New Roman"/>
        </w:rPr>
      </w:pPr>
      <w:r>
        <w:rPr>
          <w:rFonts w:cs="Times New Roman" w:hAnsi="Times New Roman" w:ascii="Times New Roman"/>
        </w:rPr>
        <w:t>Stečajni dužnik raspolaže imovinom koja nije unesena u bilancu, a nju čine:</w:t>
      </w:r>
    </w:p>
    <w:p w:rsidRDefault="00D71035" w:rsidP="00D71035" w:rsidR="00D71035" w:rsidRPr="00D71035">
      <w:pPr>
        <w:pStyle w:val="Odlomakpopisa"/>
        <w:numPr>
          <w:ilvl w:val="0"/>
          <w:numId w:val="1"/>
        </w:numPr>
        <w:jc w:val="both"/>
        <w:rPr>
          <w:rFonts w:cs="Times New Roman" w:hAnsi="Times New Roman" w:ascii="Times New Roman"/>
        </w:rPr>
      </w:pPr>
      <w:r>
        <w:rPr>
          <w:rFonts w:cs="Times New Roman" w:hAnsi="Times New Roman" w:ascii="Times New Roman"/>
          <w:color w:themeTint="D9" w:themeColor="text1" w:val="262626"/>
          <w:sz w:val="24"/>
          <w:szCs w:val="24"/>
        </w:rPr>
        <w:t>N</w:t>
      </w:r>
      <w:r w:rsidRPr="0033314D">
        <w:rPr>
          <w:rFonts w:cs="Times New Roman" w:hAnsi="Times New Roman" w:ascii="Times New Roman"/>
          <w:color w:themeTint="D9" w:themeColor="text1" w:val="262626"/>
          <w:sz w:val="24"/>
          <w:szCs w:val="24"/>
        </w:rPr>
        <w:t>ekretnina oznake k.č. 1928/2 K.o. Šestine, upisana u Z.k.ul. 10058 K.o. Šestine, u naravi /put Bijeniku površine 147 m2</w:t>
      </w:r>
      <w:r>
        <w:rPr>
          <w:rFonts w:cs="Times New Roman" w:hAnsi="Times New Roman" w:ascii="Times New Roman"/>
          <w:color w:themeTint="D9" w:themeColor="text1" w:val="262626"/>
          <w:sz w:val="24"/>
          <w:szCs w:val="24"/>
        </w:rPr>
        <w:t xml:space="preserve"> </w:t>
      </w:r>
    </w:p>
    <w:p w:rsidRDefault="00D71035" w:rsidP="00D71035" w:rsidR="00D71035" w:rsidRPr="00D71035">
      <w:pPr>
        <w:pStyle w:val="Odlomakpopisa"/>
        <w:numPr>
          <w:ilvl w:val="0"/>
          <w:numId w:val="1"/>
        </w:numPr>
        <w:jc w:val="both"/>
        <w:rPr>
          <w:rFonts w:cs="Times New Roman" w:hAnsi="Times New Roman" w:ascii="Times New Roman"/>
        </w:rPr>
      </w:pPr>
      <w:r>
        <w:rPr>
          <w:rFonts w:cs="Times New Roman" w:hAnsi="Times New Roman" w:ascii="Times New Roman"/>
          <w:color w:themeTint="D9" w:themeColor="text1" w:val="262626"/>
          <w:sz w:val="24"/>
          <w:szCs w:val="24"/>
        </w:rPr>
        <w:t>N</w:t>
      </w:r>
      <w:r w:rsidRPr="0033314D">
        <w:rPr>
          <w:rFonts w:cs="Times New Roman" w:hAnsi="Times New Roman" w:ascii="Times New Roman"/>
          <w:color w:themeTint="D9" w:themeColor="text1" w:val="262626"/>
          <w:sz w:val="24"/>
          <w:szCs w:val="24"/>
        </w:rPr>
        <w:t>ekretnina oznake k.č. 1927 Ko. Šestine, upisanu u Z.k.ul. 10067 K.o. Šestine, u naravi kuća br. 72 Bijenik i dvorište površine 607 m2, u dijelu od 29/1000, a koji dio je povezan sa etažnim vlasništvom E-7, garaža oznake G1 u podrumu  ukupne površine 12,50 m2</w:t>
      </w:r>
      <w:r>
        <w:rPr>
          <w:rFonts w:cs="Times New Roman" w:hAnsi="Times New Roman" w:ascii="Times New Roman"/>
          <w:color w:themeTint="D9" w:themeColor="text1" w:val="262626"/>
          <w:sz w:val="24"/>
          <w:szCs w:val="24"/>
        </w:rPr>
        <w:t xml:space="preserve"> </w:t>
      </w:r>
    </w:p>
    <w:p w:rsidRDefault="00EA7581" w:rsidR="00EA7581" w:rsidRPr="0033314D">
      <w:pPr>
        <w:jc w:val="both"/>
        <w:rPr>
          <w:rFonts w:cs="Times New Roman" w:hAnsi="Times New Roman" w:ascii="Times New Roman"/>
        </w:rPr>
      </w:pPr>
    </w:p>
    <w:p w:rsidRDefault="00806032" w:rsidR="00EA7581" w:rsidRPr="00151FFE">
      <w:pPr>
        <w:jc w:val="both"/>
        <w:rPr>
          <w:rFonts w:cs="Times New Roman" w:hAnsi="Times New Roman" w:ascii="Times New Roman"/>
        </w:rPr>
      </w:pPr>
      <w:r w:rsidRPr="00151FFE">
        <w:rPr>
          <w:rFonts w:cs="Times New Roman" w:hAnsi="Times New Roman" w:ascii="Times New Roman"/>
          <w:b/>
          <w:bCs/>
          <w:iCs/>
          <w:color w:themeTint="D9" w:themeColor="text1" w:val="262626"/>
          <w:sz w:val="24"/>
          <w:szCs w:val="24"/>
        </w:rPr>
        <w:t>3.2.1. AKTIVA BILANCE</w:t>
      </w:r>
    </w:p>
    <w:p w:rsidRDefault="00806032" w:rsidR="00EA7581" w:rsidRPr="0033314D">
      <w:pPr>
        <w:jc w:val="both"/>
        <w:rPr>
          <w:rFonts w:cs="Times New Roman" w:hAnsi="Times New Roman" w:ascii="Times New Roman"/>
        </w:rPr>
      </w:pPr>
      <w:r w:rsidRPr="0033314D">
        <w:rPr>
          <w:rFonts w:cs="Times New Roman" w:hAnsi="Times New Roman" w:ascii="Times New Roman"/>
          <w:color w:themeTint="D9" w:themeColor="text1" w:val="262626"/>
          <w:sz w:val="24"/>
          <w:szCs w:val="24"/>
        </w:rPr>
        <w:t>Ukupna aktiva prema bilančanim pozicijama na dan 31. prosinca 2015. godine i dan 31. prosinca 2016. godine kretala se kakao slijedi:</w:t>
      </w:r>
    </w:p>
    <w:tbl>
      <w:tblPr>
        <w:tblStyle w:val="Reetkatablice"/>
        <w:tblW w:type="dxa" w:w="9300"/>
        <w:tblInd w:type="dxa" w:w="-86"/>
        <w:tblCellMar>
          <w:top w:type="dxa" w:w="55"/>
          <w:left w:type="dxa" w:w="33"/>
          <w:bottom w:type="dxa" w:w="55"/>
          <w:right w:type="dxa" w:w="55"/>
        </w:tblCellMar>
        <w:tblLook w:val="04A0" w:noVBand="1" w:noHBand="0" w:lastColumn="0" w:firstColumn="1" w:lastRow="0" w:firstRow="1"/>
      </w:tblPr>
      <w:tblGrid>
        <w:gridCol w:w="2324"/>
        <w:gridCol w:w="3224"/>
        <w:gridCol w:w="3752"/>
      </w:tblGrid>
      <w:tr w:rsidR="00EA7581" w:rsidRPr="0033314D">
        <w:tc>
          <w:tcPr>
            <w:tcW w:type="dxa" w:w="2324"/>
            <w:tcBorders>
              <w:top w:space="0" w:sz="2" w:color="000001" w:val="single"/>
              <w:left w:space="0" w:sz="2" w:color="000001" w:val="single"/>
              <w:bottom w:space="0" w:sz="2" w:color="000001" w:val="single"/>
            </w:tcBorders>
            <w:shd w:fill="auto" w:color="auto" w:val="clear"/>
            <w:tcMar>
              <w:left w:type="dxa" w:w="33"/>
            </w:tcMar>
          </w:tcPr>
          <w:p w:rsidRDefault="00806032" w:rsidR="00EA7581" w:rsidRPr="0033314D">
            <w:pPr>
              <w:spacing w:lineRule="auto" w:line="240" w:after="0"/>
              <w:jc w:val="both"/>
              <w:rPr>
                <w:rFonts w:cs="Times New Roman" w:hAnsi="Times New Roman" w:ascii="Times New Roman"/>
              </w:rPr>
            </w:pPr>
            <w:r w:rsidRPr="0033314D">
              <w:rPr>
                <w:rFonts w:cs="Times New Roman" w:hAnsi="Times New Roman" w:ascii="Times New Roman"/>
                <w:color w:themeTint="D9" w:themeColor="text1" w:val="262626"/>
                <w:sz w:val="24"/>
                <w:szCs w:val="24"/>
              </w:rPr>
              <w:t>OPIS</w:t>
            </w:r>
          </w:p>
          <w:p w:rsidRDefault="00EA7581" w:rsidR="00EA7581" w:rsidRPr="0033314D">
            <w:pPr>
              <w:spacing w:lineRule="auto" w:line="240" w:after="0"/>
              <w:jc w:val="both"/>
              <w:rPr>
                <w:rFonts w:cs="Times New Roman" w:eastAsia="Calibri" w:hAnsi="Times New Roman" w:ascii="Times New Roman"/>
                <w:color w:themeTint="D9" w:themeColor="text1" w:val="262626"/>
                <w:sz w:val="24"/>
                <w:szCs w:val="24"/>
              </w:rPr>
            </w:pPr>
          </w:p>
        </w:tc>
        <w:tc>
          <w:tcPr>
            <w:tcW w:type="dxa" w:w="3224"/>
            <w:tcBorders>
              <w:top w:space="0" w:sz="2" w:color="000001" w:val="single"/>
              <w:bottom w:space="0" w:sz="2" w:color="000001" w:val="single"/>
            </w:tcBorders>
            <w:shd w:fill="auto" w:color="auto" w:val="clear"/>
            <w:tcMar>
              <w:left w:type="dxa" w:w="23"/>
            </w:tcMar>
          </w:tcPr>
          <w:p w:rsidRDefault="00806032" w:rsidR="00EA7581" w:rsidRPr="0033314D">
            <w:pPr>
              <w:spacing w:lineRule="auto" w:line="240" w:after="0"/>
              <w:jc w:val="both"/>
              <w:rPr>
                <w:rFonts w:cs="Times New Roman" w:hAnsi="Times New Roman" w:ascii="Times New Roman"/>
              </w:rPr>
            </w:pPr>
            <w:r w:rsidRPr="0033314D">
              <w:rPr>
                <w:rFonts w:cs="Times New Roman" w:hAnsi="Times New Roman" w:ascii="Times New Roman"/>
                <w:color w:themeTint="D9" w:themeColor="text1" w:val="262626"/>
                <w:sz w:val="24"/>
                <w:szCs w:val="24"/>
              </w:rPr>
              <w:t>31.12.2015.</w:t>
            </w:r>
          </w:p>
        </w:tc>
        <w:tc>
          <w:tcPr>
            <w:tcW w:type="dxa" w:w="3752"/>
            <w:tcBorders>
              <w:top w:space="0" w:sz="2" w:color="000001" w:val="single"/>
              <w:bottom w:space="0" w:sz="2" w:color="000001" w:val="single"/>
            </w:tcBorders>
            <w:shd w:fill="auto" w:color="auto" w:val="clear"/>
            <w:tcMar>
              <w:left w:type="dxa" w:w="23"/>
            </w:tcMar>
          </w:tcPr>
          <w:p w:rsidRDefault="00806032" w:rsidR="00EA7581" w:rsidRPr="0033314D">
            <w:pPr>
              <w:spacing w:lineRule="auto" w:line="240" w:after="0"/>
              <w:jc w:val="both"/>
              <w:rPr>
                <w:rFonts w:cs="Times New Roman" w:hAnsi="Times New Roman" w:ascii="Times New Roman"/>
              </w:rPr>
            </w:pPr>
            <w:r w:rsidRPr="0033314D">
              <w:rPr>
                <w:rFonts w:cs="Times New Roman" w:hAnsi="Times New Roman" w:ascii="Times New Roman"/>
                <w:color w:themeTint="D9" w:themeColor="text1" w:val="262626"/>
                <w:sz w:val="24"/>
                <w:szCs w:val="24"/>
              </w:rPr>
              <w:t>31.12.2016.</w:t>
            </w:r>
          </w:p>
        </w:tc>
      </w:tr>
      <w:tr w:rsidR="00EA7581" w:rsidRPr="0033314D">
        <w:tc>
          <w:tcPr>
            <w:tcW w:type="dxa" w:w="2324"/>
            <w:tcBorders>
              <w:top w:space="0" w:sz="2" w:color="000001" w:val="single"/>
              <w:left w:space="0" w:sz="2" w:color="000001" w:val="single"/>
              <w:bottom w:space="0" w:sz="2" w:color="000001" w:val="single"/>
            </w:tcBorders>
            <w:shd w:fill="auto" w:color="auto" w:val="clear"/>
            <w:tcMar>
              <w:left w:type="dxa" w:w="33"/>
            </w:tcMar>
          </w:tcPr>
          <w:p w:rsidRDefault="00806032" w:rsidR="00EA7581" w:rsidRPr="0033314D">
            <w:pPr>
              <w:spacing w:lineRule="auto" w:line="240" w:after="0"/>
              <w:jc w:val="both"/>
              <w:rPr>
                <w:rFonts w:cs="Times New Roman" w:hAnsi="Times New Roman" w:ascii="Times New Roman"/>
              </w:rPr>
            </w:pPr>
            <w:r w:rsidRPr="0033314D">
              <w:rPr>
                <w:rFonts w:cs="Times New Roman" w:hAnsi="Times New Roman" w:ascii="Times New Roman"/>
                <w:color w:themeTint="D9" w:themeColor="text1" w:val="262626"/>
                <w:sz w:val="24"/>
                <w:szCs w:val="24"/>
              </w:rPr>
              <w:t>A) Dugotrajna imovina</w:t>
            </w:r>
          </w:p>
        </w:tc>
        <w:tc>
          <w:tcPr>
            <w:tcW w:type="dxa" w:w="3224"/>
            <w:tcBorders>
              <w:top w:space="0" w:sz="2" w:color="000001" w:val="single"/>
              <w:bottom w:space="0" w:sz="2" w:color="000001" w:val="single"/>
            </w:tcBorders>
            <w:shd w:fill="auto" w:color="auto" w:val="clear"/>
            <w:tcMar>
              <w:left w:type="dxa" w:w="23"/>
            </w:tcMar>
          </w:tcPr>
          <w:p w:rsidRDefault="00806032" w:rsidR="00EA7581" w:rsidRPr="0033314D">
            <w:pPr>
              <w:spacing w:lineRule="auto" w:line="240" w:after="0"/>
              <w:jc w:val="both"/>
              <w:rPr>
                <w:rFonts w:cs="Times New Roman" w:hAnsi="Times New Roman" w:ascii="Times New Roman"/>
              </w:rPr>
            </w:pPr>
            <w:r w:rsidRPr="0033314D">
              <w:rPr>
                <w:rFonts w:cs="Times New Roman" w:hAnsi="Times New Roman" w:ascii="Times New Roman"/>
                <w:color w:themeTint="D9" w:themeColor="text1" w:val="262626"/>
                <w:sz w:val="24"/>
                <w:szCs w:val="24"/>
              </w:rPr>
              <w:t>0</w:t>
            </w:r>
          </w:p>
        </w:tc>
        <w:tc>
          <w:tcPr>
            <w:tcW w:type="dxa" w:w="3752"/>
            <w:tcBorders>
              <w:top w:space="0" w:sz="2" w:color="000001" w:val="single"/>
              <w:bottom w:space="0" w:sz="2" w:color="000001" w:val="single"/>
            </w:tcBorders>
            <w:shd w:fill="auto" w:color="auto" w:val="clear"/>
            <w:tcMar>
              <w:left w:type="dxa" w:w="23"/>
            </w:tcMar>
          </w:tcPr>
          <w:p w:rsidRDefault="00806032" w:rsidR="00EA7581" w:rsidRPr="0033314D">
            <w:pPr>
              <w:spacing w:lineRule="auto" w:line="240" w:after="0"/>
              <w:jc w:val="both"/>
              <w:rPr>
                <w:rFonts w:cs="Times New Roman" w:hAnsi="Times New Roman" w:ascii="Times New Roman"/>
              </w:rPr>
            </w:pPr>
            <w:r w:rsidRPr="0033314D">
              <w:rPr>
                <w:rFonts w:cs="Times New Roman" w:hAnsi="Times New Roman" w:ascii="Times New Roman"/>
                <w:color w:themeTint="D9" w:themeColor="text1" w:val="262626"/>
                <w:sz w:val="24"/>
                <w:szCs w:val="24"/>
              </w:rPr>
              <w:t>0</w:t>
            </w:r>
          </w:p>
        </w:tc>
      </w:tr>
      <w:tr w:rsidR="00EA7581" w:rsidRPr="0033314D">
        <w:tc>
          <w:tcPr>
            <w:tcW w:type="dxa" w:w="2324"/>
            <w:tcBorders>
              <w:top w:space="0" w:sz="2" w:color="000001" w:val="single"/>
              <w:left w:space="0" w:sz="2" w:color="000001" w:val="single"/>
              <w:bottom w:space="0" w:sz="2" w:color="000001" w:val="single"/>
            </w:tcBorders>
            <w:shd w:fill="auto" w:color="auto" w:val="clear"/>
            <w:tcMar>
              <w:left w:type="dxa" w:w="33"/>
            </w:tcMar>
          </w:tcPr>
          <w:p w:rsidRDefault="00806032" w:rsidR="00EA7581" w:rsidRPr="0033314D">
            <w:pPr>
              <w:spacing w:lineRule="auto" w:line="240" w:after="0"/>
              <w:jc w:val="both"/>
              <w:rPr>
                <w:rFonts w:cs="Times New Roman" w:hAnsi="Times New Roman" w:ascii="Times New Roman"/>
              </w:rPr>
            </w:pPr>
            <w:r w:rsidRPr="0033314D">
              <w:rPr>
                <w:rFonts w:cs="Times New Roman" w:hAnsi="Times New Roman" w:ascii="Times New Roman"/>
                <w:color w:themeTint="D9" w:themeColor="text1" w:val="262626"/>
                <w:sz w:val="24"/>
                <w:szCs w:val="24"/>
              </w:rPr>
              <w:t>I. Nematerijalna imovina</w:t>
            </w:r>
          </w:p>
        </w:tc>
        <w:tc>
          <w:tcPr>
            <w:tcW w:type="dxa" w:w="3224"/>
            <w:tcBorders>
              <w:top w:space="0" w:sz="2" w:color="000001" w:val="single"/>
              <w:bottom w:space="0" w:sz="2" w:color="000001" w:val="single"/>
            </w:tcBorders>
            <w:shd w:fill="auto" w:color="auto" w:val="clear"/>
            <w:tcMar>
              <w:left w:type="dxa" w:w="23"/>
            </w:tcMar>
          </w:tcPr>
          <w:p w:rsidRDefault="00806032" w:rsidR="00EA7581" w:rsidRPr="0033314D">
            <w:pPr>
              <w:spacing w:lineRule="auto" w:line="240" w:after="0"/>
              <w:jc w:val="both"/>
              <w:rPr>
                <w:rFonts w:cs="Times New Roman" w:hAnsi="Times New Roman" w:ascii="Times New Roman"/>
              </w:rPr>
            </w:pPr>
            <w:r w:rsidRPr="0033314D">
              <w:rPr>
                <w:rFonts w:cs="Times New Roman" w:hAnsi="Times New Roman" w:ascii="Times New Roman"/>
                <w:color w:themeTint="D9" w:themeColor="text1" w:val="262626"/>
                <w:sz w:val="24"/>
                <w:szCs w:val="24"/>
              </w:rPr>
              <w:t>0</w:t>
            </w:r>
          </w:p>
        </w:tc>
        <w:tc>
          <w:tcPr>
            <w:tcW w:type="dxa" w:w="3752"/>
            <w:tcBorders>
              <w:top w:space="0" w:sz="2" w:color="000001" w:val="single"/>
              <w:bottom w:space="0" w:sz="2" w:color="000001" w:val="single"/>
            </w:tcBorders>
            <w:shd w:fill="auto" w:color="auto" w:val="clear"/>
            <w:tcMar>
              <w:left w:type="dxa" w:w="23"/>
            </w:tcMar>
          </w:tcPr>
          <w:p w:rsidRDefault="00806032" w:rsidR="00EA7581" w:rsidRPr="0033314D">
            <w:pPr>
              <w:spacing w:lineRule="auto" w:line="240" w:after="0"/>
              <w:jc w:val="both"/>
              <w:rPr>
                <w:rFonts w:cs="Times New Roman" w:hAnsi="Times New Roman" w:ascii="Times New Roman"/>
              </w:rPr>
            </w:pPr>
            <w:r w:rsidRPr="0033314D">
              <w:rPr>
                <w:rFonts w:cs="Times New Roman" w:hAnsi="Times New Roman" w:ascii="Times New Roman"/>
                <w:color w:themeTint="D9" w:themeColor="text1" w:val="262626"/>
                <w:sz w:val="24"/>
                <w:szCs w:val="24"/>
              </w:rPr>
              <w:t>0</w:t>
            </w:r>
          </w:p>
        </w:tc>
      </w:tr>
      <w:tr w:rsidR="00EA7581" w:rsidRPr="0033314D">
        <w:tc>
          <w:tcPr>
            <w:tcW w:type="dxa" w:w="2324"/>
            <w:tcBorders>
              <w:top w:space="0" w:sz="2" w:color="000001" w:val="single"/>
              <w:left w:space="0" w:sz="2" w:color="000001" w:val="single"/>
              <w:bottom w:space="0" w:sz="2" w:color="000001" w:val="single"/>
            </w:tcBorders>
            <w:shd w:fill="auto" w:color="auto" w:val="clear"/>
            <w:tcMar>
              <w:left w:type="dxa" w:w="33"/>
            </w:tcMar>
          </w:tcPr>
          <w:p w:rsidRDefault="00806032" w:rsidR="00EA7581" w:rsidRPr="0033314D">
            <w:pPr>
              <w:spacing w:lineRule="auto" w:line="240" w:after="0"/>
              <w:jc w:val="both"/>
              <w:rPr>
                <w:rFonts w:cs="Times New Roman" w:hAnsi="Times New Roman" w:ascii="Times New Roman"/>
              </w:rPr>
            </w:pPr>
            <w:r w:rsidRPr="0033314D">
              <w:rPr>
                <w:rFonts w:cs="Times New Roman" w:hAnsi="Times New Roman" w:ascii="Times New Roman"/>
                <w:color w:themeTint="D9" w:themeColor="text1" w:val="262626"/>
                <w:sz w:val="24"/>
                <w:szCs w:val="24"/>
              </w:rPr>
              <w:t>II. Materijalna imovina</w:t>
            </w:r>
          </w:p>
          <w:p w:rsidRDefault="00EA7581" w:rsidR="00EA7581" w:rsidRPr="0033314D">
            <w:pPr>
              <w:spacing w:lineRule="auto" w:line="240" w:after="0"/>
              <w:jc w:val="both"/>
              <w:rPr>
                <w:rFonts w:cs="Times New Roman" w:eastAsia="Calibri" w:hAnsi="Times New Roman" w:ascii="Times New Roman"/>
                <w:color w:themeTint="D9" w:themeColor="text1" w:val="262626"/>
                <w:sz w:val="24"/>
                <w:szCs w:val="24"/>
              </w:rPr>
            </w:pPr>
          </w:p>
        </w:tc>
        <w:tc>
          <w:tcPr>
            <w:tcW w:type="dxa" w:w="3224"/>
            <w:tcBorders>
              <w:top w:space="0" w:sz="2" w:color="000001" w:val="single"/>
              <w:bottom w:space="0" w:sz="2" w:color="000001" w:val="single"/>
            </w:tcBorders>
            <w:shd w:fill="auto" w:color="auto" w:val="clear"/>
            <w:tcMar>
              <w:left w:type="dxa" w:w="23"/>
            </w:tcMar>
          </w:tcPr>
          <w:p w:rsidRDefault="00806032" w:rsidR="00EA7581" w:rsidRPr="0033314D">
            <w:pPr>
              <w:spacing w:lineRule="auto" w:line="240" w:after="0"/>
              <w:jc w:val="both"/>
              <w:rPr>
                <w:rFonts w:cs="Times New Roman" w:hAnsi="Times New Roman" w:ascii="Times New Roman"/>
              </w:rPr>
            </w:pPr>
            <w:r w:rsidRPr="0033314D">
              <w:rPr>
                <w:rFonts w:cs="Times New Roman" w:hAnsi="Times New Roman" w:ascii="Times New Roman"/>
                <w:color w:themeTint="D9" w:themeColor="text1" w:val="262626"/>
                <w:sz w:val="24"/>
                <w:szCs w:val="24"/>
              </w:rPr>
              <w:t>0</w:t>
            </w:r>
          </w:p>
        </w:tc>
        <w:tc>
          <w:tcPr>
            <w:tcW w:type="dxa" w:w="3752"/>
            <w:tcBorders>
              <w:top w:space="0" w:sz="2" w:color="000001" w:val="single"/>
              <w:bottom w:space="0" w:sz="2" w:color="000001" w:val="single"/>
            </w:tcBorders>
            <w:shd w:fill="auto" w:color="auto" w:val="clear"/>
            <w:tcMar>
              <w:left w:type="dxa" w:w="23"/>
            </w:tcMar>
          </w:tcPr>
          <w:p w:rsidRDefault="00806032" w:rsidR="00EA7581" w:rsidRPr="0033314D">
            <w:pPr>
              <w:spacing w:lineRule="auto" w:line="240" w:after="0"/>
              <w:jc w:val="both"/>
              <w:rPr>
                <w:rFonts w:cs="Times New Roman" w:hAnsi="Times New Roman" w:ascii="Times New Roman"/>
              </w:rPr>
            </w:pPr>
            <w:r w:rsidRPr="0033314D">
              <w:rPr>
                <w:rFonts w:cs="Times New Roman" w:hAnsi="Times New Roman" w:ascii="Times New Roman"/>
                <w:color w:themeTint="D9" w:themeColor="text1" w:val="262626"/>
                <w:sz w:val="24"/>
                <w:szCs w:val="24"/>
              </w:rPr>
              <w:t>0</w:t>
            </w:r>
          </w:p>
        </w:tc>
      </w:tr>
      <w:tr w:rsidR="00EA7581" w:rsidRPr="0033314D">
        <w:tc>
          <w:tcPr>
            <w:tcW w:type="dxa" w:w="2324"/>
            <w:tcBorders>
              <w:top w:space="0" w:sz="2" w:color="000001" w:val="single"/>
              <w:left w:space="0" w:sz="2" w:color="000001" w:val="single"/>
              <w:bottom w:space="0" w:sz="2" w:color="000001" w:val="single"/>
            </w:tcBorders>
            <w:shd w:fill="auto" w:color="auto" w:val="clear"/>
            <w:tcMar>
              <w:left w:type="dxa" w:w="33"/>
            </w:tcMar>
          </w:tcPr>
          <w:p w:rsidRDefault="00806032" w:rsidR="00EA7581" w:rsidRPr="0033314D">
            <w:pPr>
              <w:spacing w:lineRule="auto" w:line="240" w:after="0"/>
              <w:jc w:val="both"/>
              <w:rPr>
                <w:rFonts w:cs="Times New Roman" w:hAnsi="Times New Roman" w:ascii="Times New Roman"/>
              </w:rPr>
            </w:pPr>
            <w:r w:rsidRPr="0033314D">
              <w:rPr>
                <w:rFonts w:cs="Times New Roman" w:hAnsi="Times New Roman" w:ascii="Times New Roman"/>
                <w:color w:themeTint="D9" w:themeColor="text1" w:val="262626"/>
                <w:sz w:val="24"/>
                <w:szCs w:val="24"/>
              </w:rPr>
              <w:t>1. Zemljište</w:t>
            </w:r>
          </w:p>
        </w:tc>
        <w:tc>
          <w:tcPr>
            <w:tcW w:type="dxa" w:w="3224"/>
            <w:tcBorders>
              <w:top w:space="0" w:sz="2" w:color="000001" w:val="single"/>
              <w:bottom w:space="0" w:sz="2" w:color="000001" w:val="single"/>
            </w:tcBorders>
            <w:shd w:fill="auto" w:color="auto" w:val="clear"/>
            <w:tcMar>
              <w:left w:type="dxa" w:w="23"/>
            </w:tcMar>
          </w:tcPr>
          <w:p w:rsidRDefault="00806032" w:rsidR="00EA7581" w:rsidRPr="0033314D">
            <w:pPr>
              <w:spacing w:lineRule="auto" w:line="240" w:after="0"/>
              <w:jc w:val="both"/>
              <w:rPr>
                <w:rFonts w:cs="Times New Roman" w:hAnsi="Times New Roman" w:ascii="Times New Roman"/>
              </w:rPr>
            </w:pPr>
            <w:r w:rsidRPr="0033314D">
              <w:rPr>
                <w:rFonts w:cs="Times New Roman" w:hAnsi="Times New Roman" w:ascii="Times New Roman"/>
                <w:color w:themeTint="D9" w:themeColor="text1" w:val="262626"/>
                <w:sz w:val="24"/>
                <w:szCs w:val="24"/>
              </w:rPr>
              <w:t>0</w:t>
            </w:r>
          </w:p>
        </w:tc>
        <w:tc>
          <w:tcPr>
            <w:tcW w:type="dxa" w:w="3752"/>
            <w:tcBorders>
              <w:top w:space="0" w:sz="2" w:color="000001" w:val="single"/>
              <w:bottom w:space="0" w:sz="2" w:color="000001" w:val="single"/>
            </w:tcBorders>
            <w:shd w:fill="auto" w:color="auto" w:val="clear"/>
            <w:tcMar>
              <w:left w:type="dxa" w:w="23"/>
            </w:tcMar>
          </w:tcPr>
          <w:p w:rsidRDefault="00806032" w:rsidR="00EA7581" w:rsidRPr="0033314D">
            <w:pPr>
              <w:spacing w:lineRule="auto" w:line="240" w:after="0"/>
              <w:jc w:val="both"/>
              <w:rPr>
                <w:rFonts w:cs="Times New Roman" w:hAnsi="Times New Roman" w:ascii="Times New Roman"/>
              </w:rPr>
            </w:pPr>
            <w:r w:rsidRPr="0033314D">
              <w:rPr>
                <w:rFonts w:cs="Times New Roman" w:hAnsi="Times New Roman" w:ascii="Times New Roman"/>
                <w:color w:themeTint="D9" w:themeColor="text1" w:val="262626"/>
                <w:sz w:val="24"/>
                <w:szCs w:val="24"/>
              </w:rPr>
              <w:t>0</w:t>
            </w:r>
          </w:p>
        </w:tc>
      </w:tr>
      <w:tr w:rsidR="00EA7581" w:rsidRPr="0033314D">
        <w:tc>
          <w:tcPr>
            <w:tcW w:type="dxa" w:w="2324"/>
            <w:tcBorders>
              <w:top w:space="0" w:sz="2" w:color="000001" w:val="single"/>
              <w:left w:space="0" w:sz="2" w:color="000001" w:val="single"/>
              <w:bottom w:space="0" w:sz="2" w:color="000001" w:val="single"/>
            </w:tcBorders>
            <w:shd w:fill="auto" w:color="auto" w:val="clear"/>
            <w:tcMar>
              <w:left w:type="dxa" w:w="33"/>
            </w:tcMar>
          </w:tcPr>
          <w:p w:rsidRDefault="00806032" w:rsidR="00EA7581" w:rsidRPr="0033314D">
            <w:pPr>
              <w:spacing w:lineRule="auto" w:line="240" w:after="0"/>
              <w:jc w:val="both"/>
              <w:rPr>
                <w:rFonts w:cs="Times New Roman" w:hAnsi="Times New Roman" w:ascii="Times New Roman"/>
              </w:rPr>
            </w:pPr>
            <w:r w:rsidRPr="0033314D">
              <w:rPr>
                <w:rFonts w:cs="Times New Roman" w:hAnsi="Times New Roman" w:ascii="Times New Roman"/>
                <w:color w:themeTint="D9" w:themeColor="text1" w:val="262626"/>
                <w:sz w:val="24"/>
                <w:szCs w:val="24"/>
              </w:rPr>
              <w:t>2. Građevinski objekti</w:t>
            </w:r>
          </w:p>
        </w:tc>
        <w:tc>
          <w:tcPr>
            <w:tcW w:type="dxa" w:w="3224"/>
            <w:tcBorders>
              <w:top w:space="0" w:sz="2" w:color="000001" w:val="single"/>
              <w:bottom w:space="0" w:sz="2" w:color="000001" w:val="single"/>
            </w:tcBorders>
            <w:shd w:fill="auto" w:color="auto" w:val="clear"/>
            <w:tcMar>
              <w:left w:type="dxa" w:w="23"/>
            </w:tcMar>
          </w:tcPr>
          <w:p w:rsidRDefault="00806032" w:rsidR="00EA7581" w:rsidRPr="0033314D">
            <w:pPr>
              <w:spacing w:lineRule="auto" w:line="240" w:after="0"/>
              <w:jc w:val="both"/>
              <w:rPr>
                <w:rFonts w:cs="Times New Roman" w:hAnsi="Times New Roman" w:ascii="Times New Roman"/>
              </w:rPr>
            </w:pPr>
            <w:r w:rsidRPr="0033314D">
              <w:rPr>
                <w:rFonts w:cs="Times New Roman" w:hAnsi="Times New Roman" w:ascii="Times New Roman"/>
                <w:color w:themeTint="D9" w:themeColor="text1" w:val="262626"/>
                <w:sz w:val="24"/>
                <w:szCs w:val="24"/>
              </w:rPr>
              <w:t>0</w:t>
            </w:r>
          </w:p>
        </w:tc>
        <w:tc>
          <w:tcPr>
            <w:tcW w:type="dxa" w:w="3752"/>
            <w:tcBorders>
              <w:top w:space="0" w:sz="2" w:color="000001" w:val="single"/>
              <w:bottom w:space="0" w:sz="2" w:color="000001" w:val="single"/>
            </w:tcBorders>
            <w:shd w:fill="auto" w:color="auto" w:val="clear"/>
            <w:tcMar>
              <w:left w:type="dxa" w:w="23"/>
            </w:tcMar>
          </w:tcPr>
          <w:p w:rsidRDefault="00806032" w:rsidR="00EA7581" w:rsidRPr="0033314D">
            <w:pPr>
              <w:spacing w:lineRule="auto" w:line="240" w:after="0"/>
              <w:jc w:val="both"/>
              <w:rPr>
                <w:rFonts w:cs="Times New Roman" w:hAnsi="Times New Roman" w:ascii="Times New Roman"/>
              </w:rPr>
            </w:pPr>
            <w:r w:rsidRPr="0033314D">
              <w:rPr>
                <w:rFonts w:cs="Times New Roman" w:hAnsi="Times New Roman" w:ascii="Times New Roman"/>
                <w:color w:themeTint="D9" w:themeColor="text1" w:val="262626"/>
                <w:sz w:val="24"/>
                <w:szCs w:val="24"/>
              </w:rPr>
              <w:t>0</w:t>
            </w:r>
          </w:p>
        </w:tc>
      </w:tr>
      <w:tr w:rsidR="00EA7581" w:rsidRPr="0033314D">
        <w:tc>
          <w:tcPr>
            <w:tcW w:type="dxa" w:w="2324"/>
            <w:tcBorders>
              <w:top w:space="0" w:sz="2" w:color="000001" w:val="single"/>
              <w:left w:space="0" w:sz="2" w:color="000001" w:val="single"/>
              <w:bottom w:space="0" w:sz="2" w:color="000001" w:val="single"/>
            </w:tcBorders>
            <w:shd w:fill="auto" w:color="auto" w:val="clear"/>
            <w:tcMar>
              <w:left w:type="dxa" w:w="33"/>
            </w:tcMar>
          </w:tcPr>
          <w:p w:rsidRDefault="00806032" w:rsidR="00EA7581" w:rsidRPr="0033314D">
            <w:pPr>
              <w:spacing w:lineRule="auto" w:line="240" w:after="0"/>
              <w:jc w:val="both"/>
              <w:rPr>
                <w:rFonts w:cs="Times New Roman" w:hAnsi="Times New Roman" w:ascii="Times New Roman"/>
              </w:rPr>
            </w:pPr>
            <w:r w:rsidRPr="0033314D">
              <w:rPr>
                <w:rFonts w:cs="Times New Roman" w:hAnsi="Times New Roman" w:ascii="Times New Roman"/>
                <w:color w:themeTint="D9" w:themeColor="text1" w:val="262626"/>
                <w:sz w:val="24"/>
                <w:szCs w:val="24"/>
              </w:rPr>
              <w:lastRenderedPageBreak/>
              <w:t>3. Alati</w:t>
            </w:r>
          </w:p>
          <w:p w:rsidRDefault="00EA7581" w:rsidR="00EA7581" w:rsidRPr="0033314D">
            <w:pPr>
              <w:spacing w:lineRule="auto" w:line="240" w:after="0"/>
              <w:jc w:val="both"/>
              <w:rPr>
                <w:rFonts w:cs="Times New Roman" w:eastAsia="Calibri" w:hAnsi="Times New Roman" w:ascii="Times New Roman"/>
                <w:color w:themeTint="D9" w:themeColor="text1" w:val="262626"/>
                <w:sz w:val="24"/>
                <w:szCs w:val="24"/>
              </w:rPr>
            </w:pPr>
          </w:p>
        </w:tc>
        <w:tc>
          <w:tcPr>
            <w:tcW w:type="dxa" w:w="3224"/>
            <w:tcBorders>
              <w:top w:space="0" w:sz="2" w:color="000001" w:val="single"/>
              <w:bottom w:space="0" w:sz="2" w:color="000001" w:val="single"/>
            </w:tcBorders>
            <w:shd w:fill="auto" w:color="auto" w:val="clear"/>
            <w:tcMar>
              <w:left w:type="dxa" w:w="23"/>
            </w:tcMar>
          </w:tcPr>
          <w:p w:rsidRDefault="00806032" w:rsidR="00EA7581" w:rsidRPr="0033314D">
            <w:pPr>
              <w:spacing w:lineRule="auto" w:line="240" w:after="0"/>
              <w:jc w:val="both"/>
              <w:rPr>
                <w:rFonts w:cs="Times New Roman" w:hAnsi="Times New Roman" w:ascii="Times New Roman"/>
              </w:rPr>
            </w:pPr>
            <w:r w:rsidRPr="0033314D">
              <w:rPr>
                <w:rFonts w:cs="Times New Roman" w:hAnsi="Times New Roman" w:ascii="Times New Roman"/>
                <w:color w:themeTint="D9" w:themeColor="text1" w:val="262626"/>
                <w:sz w:val="24"/>
                <w:szCs w:val="24"/>
              </w:rPr>
              <w:t>0</w:t>
            </w:r>
          </w:p>
        </w:tc>
        <w:tc>
          <w:tcPr>
            <w:tcW w:type="dxa" w:w="3752"/>
            <w:tcBorders>
              <w:top w:space="0" w:sz="2" w:color="000001" w:val="single"/>
              <w:bottom w:space="0" w:sz="2" w:color="000001" w:val="single"/>
            </w:tcBorders>
            <w:shd w:fill="auto" w:color="auto" w:val="clear"/>
            <w:tcMar>
              <w:left w:type="dxa" w:w="23"/>
            </w:tcMar>
          </w:tcPr>
          <w:p w:rsidRDefault="00806032" w:rsidR="00EA7581" w:rsidRPr="0033314D">
            <w:pPr>
              <w:spacing w:lineRule="auto" w:line="240" w:after="0"/>
              <w:jc w:val="both"/>
              <w:rPr>
                <w:rFonts w:cs="Times New Roman" w:hAnsi="Times New Roman" w:ascii="Times New Roman"/>
              </w:rPr>
            </w:pPr>
            <w:r w:rsidRPr="0033314D">
              <w:rPr>
                <w:rFonts w:cs="Times New Roman" w:hAnsi="Times New Roman" w:ascii="Times New Roman"/>
                <w:color w:themeTint="D9" w:themeColor="text1" w:val="262626"/>
                <w:sz w:val="24"/>
                <w:szCs w:val="24"/>
              </w:rPr>
              <w:t>0</w:t>
            </w:r>
          </w:p>
        </w:tc>
      </w:tr>
      <w:tr w:rsidR="00EA7581" w:rsidRPr="0033314D">
        <w:tc>
          <w:tcPr>
            <w:tcW w:type="dxa" w:w="2324"/>
            <w:tcBorders>
              <w:top w:space="0" w:sz="2" w:color="000001" w:val="single"/>
              <w:left w:space="0" w:sz="2" w:color="000001" w:val="single"/>
              <w:bottom w:space="0" w:sz="2" w:color="000001" w:val="single"/>
            </w:tcBorders>
            <w:shd w:fill="auto" w:color="auto" w:val="clear"/>
            <w:tcMar>
              <w:left w:type="dxa" w:w="33"/>
            </w:tcMar>
          </w:tcPr>
          <w:p w:rsidRDefault="00806032" w:rsidR="00EA7581" w:rsidRPr="0033314D">
            <w:pPr>
              <w:spacing w:lineRule="auto" w:line="240" w:after="0"/>
              <w:jc w:val="both"/>
              <w:rPr>
                <w:rFonts w:cs="Times New Roman" w:hAnsi="Times New Roman" w:ascii="Times New Roman"/>
              </w:rPr>
            </w:pPr>
            <w:r w:rsidRPr="0033314D">
              <w:rPr>
                <w:rFonts w:cs="Times New Roman" w:hAnsi="Times New Roman" w:ascii="Times New Roman"/>
                <w:color w:themeTint="D9" w:themeColor="text1" w:val="262626"/>
                <w:sz w:val="24"/>
                <w:szCs w:val="24"/>
              </w:rPr>
              <w:t>III. Dugotrajna financijska imovina</w:t>
            </w:r>
          </w:p>
          <w:p w:rsidRDefault="00EA7581" w:rsidR="00EA7581" w:rsidRPr="0033314D">
            <w:pPr>
              <w:spacing w:lineRule="auto" w:line="240" w:after="0"/>
              <w:jc w:val="both"/>
              <w:rPr>
                <w:rFonts w:cs="Times New Roman" w:eastAsia="Calibri" w:hAnsi="Times New Roman" w:ascii="Times New Roman"/>
                <w:color w:themeTint="D9" w:themeColor="text1" w:val="262626"/>
                <w:sz w:val="24"/>
                <w:szCs w:val="24"/>
              </w:rPr>
            </w:pPr>
          </w:p>
        </w:tc>
        <w:tc>
          <w:tcPr>
            <w:tcW w:type="dxa" w:w="3224"/>
            <w:tcBorders>
              <w:top w:space="0" w:sz="2" w:color="000001" w:val="single"/>
              <w:bottom w:space="0" w:sz="2" w:color="000001" w:val="single"/>
            </w:tcBorders>
            <w:shd w:fill="auto" w:color="auto" w:val="clear"/>
            <w:tcMar>
              <w:left w:type="dxa" w:w="23"/>
            </w:tcMar>
          </w:tcPr>
          <w:p w:rsidRDefault="00806032" w:rsidR="00EA7581" w:rsidRPr="0033314D">
            <w:pPr>
              <w:spacing w:lineRule="auto" w:line="240" w:after="0"/>
              <w:jc w:val="both"/>
              <w:rPr>
                <w:rFonts w:cs="Times New Roman" w:hAnsi="Times New Roman" w:ascii="Times New Roman"/>
              </w:rPr>
            </w:pPr>
            <w:r w:rsidRPr="0033314D">
              <w:rPr>
                <w:rFonts w:cs="Times New Roman" w:hAnsi="Times New Roman" w:ascii="Times New Roman"/>
                <w:color w:themeTint="D9" w:themeColor="text1" w:val="262626"/>
                <w:sz w:val="24"/>
                <w:szCs w:val="24"/>
              </w:rPr>
              <w:t>0</w:t>
            </w:r>
          </w:p>
        </w:tc>
        <w:tc>
          <w:tcPr>
            <w:tcW w:type="dxa" w:w="3752"/>
            <w:tcBorders>
              <w:top w:space="0" w:sz="2" w:color="000001" w:val="single"/>
              <w:bottom w:space="0" w:sz="2" w:color="000001" w:val="single"/>
            </w:tcBorders>
            <w:shd w:fill="auto" w:color="auto" w:val="clear"/>
            <w:tcMar>
              <w:left w:type="dxa" w:w="23"/>
            </w:tcMar>
          </w:tcPr>
          <w:p w:rsidRDefault="00806032" w:rsidR="00EA7581" w:rsidRPr="0033314D">
            <w:pPr>
              <w:spacing w:lineRule="auto" w:line="240" w:after="0"/>
              <w:jc w:val="both"/>
              <w:rPr>
                <w:rFonts w:cs="Times New Roman" w:hAnsi="Times New Roman" w:ascii="Times New Roman"/>
              </w:rPr>
            </w:pPr>
            <w:r w:rsidRPr="0033314D">
              <w:rPr>
                <w:rFonts w:cs="Times New Roman" w:hAnsi="Times New Roman" w:ascii="Times New Roman"/>
                <w:color w:themeTint="D9" w:themeColor="text1" w:val="262626"/>
                <w:sz w:val="24"/>
                <w:szCs w:val="24"/>
              </w:rPr>
              <w:t>0</w:t>
            </w:r>
          </w:p>
        </w:tc>
      </w:tr>
      <w:tr w:rsidR="00EA7581" w:rsidRPr="0033314D">
        <w:tc>
          <w:tcPr>
            <w:tcW w:type="dxa" w:w="2324"/>
            <w:tcBorders>
              <w:top w:space="0" w:sz="2" w:color="000001" w:val="single"/>
              <w:left w:space="0" w:sz="2" w:color="000001" w:val="single"/>
              <w:bottom w:space="0" w:sz="2" w:color="000001" w:val="single"/>
            </w:tcBorders>
            <w:shd w:fill="auto" w:color="auto" w:val="clear"/>
            <w:tcMar>
              <w:left w:type="dxa" w:w="33"/>
            </w:tcMar>
          </w:tcPr>
          <w:p w:rsidRDefault="00806032" w:rsidR="00EA7581" w:rsidRPr="0033314D">
            <w:pPr>
              <w:spacing w:lineRule="auto" w:line="240" w:after="0"/>
              <w:jc w:val="both"/>
              <w:rPr>
                <w:rFonts w:cs="Times New Roman" w:hAnsi="Times New Roman" w:ascii="Times New Roman"/>
              </w:rPr>
            </w:pPr>
            <w:r w:rsidRPr="0033314D">
              <w:rPr>
                <w:rFonts w:cs="Times New Roman" w:hAnsi="Times New Roman" w:ascii="Times New Roman"/>
                <w:color w:themeTint="D9" w:themeColor="text1" w:val="262626"/>
                <w:sz w:val="24"/>
                <w:szCs w:val="24"/>
              </w:rPr>
              <w:t>C) Kratkotrajna  imovina</w:t>
            </w:r>
          </w:p>
        </w:tc>
        <w:tc>
          <w:tcPr>
            <w:tcW w:type="dxa" w:w="3224"/>
            <w:tcBorders>
              <w:top w:space="0" w:sz="2" w:color="000001" w:val="single"/>
              <w:bottom w:space="0" w:sz="2" w:color="000001" w:val="single"/>
            </w:tcBorders>
            <w:shd w:fill="auto" w:color="auto" w:val="clear"/>
            <w:tcMar>
              <w:left w:type="dxa" w:w="23"/>
            </w:tcMar>
          </w:tcPr>
          <w:p w:rsidRDefault="00806032" w:rsidR="00EA7581" w:rsidRPr="0033314D">
            <w:pPr>
              <w:spacing w:lineRule="auto" w:line="240" w:after="0"/>
              <w:jc w:val="both"/>
              <w:rPr>
                <w:rFonts w:cs="Times New Roman" w:hAnsi="Times New Roman" w:ascii="Times New Roman"/>
              </w:rPr>
            </w:pPr>
            <w:r w:rsidRPr="0033314D">
              <w:rPr>
                <w:rFonts w:cs="Times New Roman" w:hAnsi="Times New Roman" w:ascii="Times New Roman"/>
                <w:color w:themeTint="D9" w:themeColor="text1" w:val="262626"/>
                <w:sz w:val="24"/>
                <w:szCs w:val="24"/>
              </w:rPr>
              <w:t>263.484,00</w:t>
            </w:r>
          </w:p>
        </w:tc>
        <w:tc>
          <w:tcPr>
            <w:tcW w:type="dxa" w:w="3752"/>
            <w:tcBorders>
              <w:top w:space="0" w:sz="2" w:color="000001" w:val="single"/>
              <w:bottom w:space="0" w:sz="2" w:color="000001" w:val="single"/>
            </w:tcBorders>
            <w:shd w:fill="auto" w:color="auto" w:val="clear"/>
            <w:tcMar>
              <w:left w:type="dxa" w:w="23"/>
            </w:tcMar>
          </w:tcPr>
          <w:p w:rsidRDefault="00806032" w:rsidR="00EA7581" w:rsidRPr="0033314D">
            <w:pPr>
              <w:spacing w:lineRule="auto" w:line="240" w:after="0"/>
              <w:jc w:val="both"/>
              <w:rPr>
                <w:rFonts w:cs="Times New Roman" w:hAnsi="Times New Roman" w:ascii="Times New Roman"/>
              </w:rPr>
            </w:pPr>
            <w:r w:rsidRPr="0033314D">
              <w:rPr>
                <w:rFonts w:cs="Times New Roman" w:hAnsi="Times New Roman" w:ascii="Times New Roman"/>
                <w:color w:themeTint="D9" w:themeColor="text1" w:val="262626"/>
                <w:sz w:val="24"/>
                <w:szCs w:val="24"/>
              </w:rPr>
              <w:t>263.484,00</w:t>
            </w:r>
          </w:p>
        </w:tc>
      </w:tr>
      <w:tr w:rsidR="00EA7581" w:rsidRPr="0033314D">
        <w:tc>
          <w:tcPr>
            <w:tcW w:type="dxa" w:w="2324"/>
            <w:tcBorders>
              <w:top w:space="0" w:sz="2" w:color="000001" w:val="single"/>
              <w:left w:space="0" w:sz="2" w:color="000001" w:val="single"/>
              <w:bottom w:space="0" w:sz="2" w:color="000001" w:val="single"/>
            </w:tcBorders>
            <w:shd w:fill="auto" w:color="auto" w:val="clear"/>
            <w:tcMar>
              <w:left w:type="dxa" w:w="33"/>
            </w:tcMar>
          </w:tcPr>
          <w:p w:rsidRDefault="00806032" w:rsidR="00EA7581" w:rsidRPr="0033314D">
            <w:pPr>
              <w:spacing w:lineRule="auto" w:line="240" w:after="0"/>
              <w:jc w:val="both"/>
              <w:rPr>
                <w:rFonts w:cs="Times New Roman" w:hAnsi="Times New Roman" w:ascii="Times New Roman"/>
              </w:rPr>
            </w:pPr>
            <w:r w:rsidRPr="0033314D">
              <w:rPr>
                <w:rFonts w:cs="Times New Roman" w:hAnsi="Times New Roman" w:ascii="Times New Roman"/>
                <w:color w:themeTint="D9" w:themeColor="text1" w:val="262626"/>
                <w:sz w:val="24"/>
                <w:szCs w:val="24"/>
              </w:rPr>
              <w:t>I. Zalihe</w:t>
            </w:r>
          </w:p>
        </w:tc>
        <w:tc>
          <w:tcPr>
            <w:tcW w:type="dxa" w:w="3224"/>
            <w:tcBorders>
              <w:top w:space="0" w:sz="2" w:color="000001" w:val="single"/>
              <w:bottom w:space="0" w:sz="2" w:color="000001" w:val="single"/>
            </w:tcBorders>
            <w:shd w:fill="auto" w:color="auto" w:val="clear"/>
            <w:tcMar>
              <w:left w:type="dxa" w:w="23"/>
            </w:tcMar>
          </w:tcPr>
          <w:p w:rsidRDefault="00806032" w:rsidR="00EA7581" w:rsidRPr="0033314D">
            <w:pPr>
              <w:spacing w:lineRule="auto" w:line="240" w:after="0"/>
              <w:jc w:val="both"/>
              <w:rPr>
                <w:rFonts w:cs="Times New Roman" w:hAnsi="Times New Roman" w:ascii="Times New Roman"/>
              </w:rPr>
            </w:pPr>
            <w:r w:rsidRPr="0033314D">
              <w:rPr>
                <w:rFonts w:cs="Times New Roman" w:hAnsi="Times New Roman" w:ascii="Times New Roman"/>
                <w:color w:themeTint="D9" w:themeColor="text1" w:val="262626"/>
                <w:sz w:val="24"/>
                <w:szCs w:val="24"/>
              </w:rPr>
              <w:t>224.780,00</w:t>
            </w:r>
          </w:p>
        </w:tc>
        <w:tc>
          <w:tcPr>
            <w:tcW w:type="dxa" w:w="3752"/>
            <w:tcBorders>
              <w:top w:space="0" w:sz="2" w:color="000001" w:val="single"/>
              <w:bottom w:space="0" w:sz="2" w:color="000001" w:val="single"/>
            </w:tcBorders>
            <w:shd w:fill="auto" w:color="auto" w:val="clear"/>
            <w:tcMar>
              <w:left w:type="dxa" w:w="23"/>
            </w:tcMar>
          </w:tcPr>
          <w:p w:rsidRDefault="00806032" w:rsidR="00EA7581" w:rsidRPr="0033314D">
            <w:pPr>
              <w:spacing w:lineRule="auto" w:line="240" w:after="0"/>
              <w:jc w:val="both"/>
              <w:rPr>
                <w:rFonts w:cs="Times New Roman" w:hAnsi="Times New Roman" w:ascii="Times New Roman"/>
              </w:rPr>
            </w:pPr>
            <w:r w:rsidRPr="0033314D">
              <w:rPr>
                <w:rFonts w:cs="Times New Roman" w:hAnsi="Times New Roman" w:ascii="Times New Roman"/>
                <w:color w:themeTint="D9" w:themeColor="text1" w:val="262626"/>
                <w:sz w:val="24"/>
                <w:szCs w:val="24"/>
              </w:rPr>
              <w:t>224.780,00</w:t>
            </w:r>
          </w:p>
        </w:tc>
      </w:tr>
      <w:tr w:rsidR="00EA7581" w:rsidRPr="0033314D">
        <w:tc>
          <w:tcPr>
            <w:tcW w:type="dxa" w:w="2324"/>
            <w:tcBorders>
              <w:top w:space="0" w:sz="2" w:color="000001" w:val="single"/>
              <w:left w:space="0" w:sz="2" w:color="000001" w:val="single"/>
              <w:bottom w:space="0" w:sz="2" w:color="000001" w:val="single"/>
            </w:tcBorders>
            <w:shd w:fill="auto" w:color="auto" w:val="clear"/>
            <w:tcMar>
              <w:left w:type="dxa" w:w="33"/>
            </w:tcMar>
          </w:tcPr>
          <w:p w:rsidRDefault="00806032" w:rsidR="00EA7581" w:rsidRPr="0033314D">
            <w:pPr>
              <w:spacing w:lineRule="auto" w:line="240" w:after="0"/>
              <w:jc w:val="both"/>
              <w:rPr>
                <w:rFonts w:cs="Times New Roman" w:hAnsi="Times New Roman" w:ascii="Times New Roman"/>
              </w:rPr>
            </w:pPr>
            <w:r w:rsidRPr="0033314D">
              <w:rPr>
                <w:rFonts w:cs="Times New Roman" w:hAnsi="Times New Roman" w:ascii="Times New Roman"/>
                <w:color w:themeTint="D9" w:themeColor="text1" w:val="262626"/>
                <w:sz w:val="24"/>
                <w:szCs w:val="24"/>
              </w:rPr>
              <w:t>II. Potraživanja</w:t>
            </w:r>
          </w:p>
        </w:tc>
        <w:tc>
          <w:tcPr>
            <w:tcW w:type="dxa" w:w="3224"/>
            <w:tcBorders>
              <w:top w:space="0" w:sz="2" w:color="000001" w:val="single"/>
              <w:bottom w:space="0" w:sz="2" w:color="000001" w:val="single"/>
            </w:tcBorders>
            <w:shd w:fill="auto" w:color="auto" w:val="clear"/>
            <w:tcMar>
              <w:left w:type="dxa" w:w="23"/>
            </w:tcMar>
          </w:tcPr>
          <w:p w:rsidRDefault="00806032" w:rsidR="00EA7581" w:rsidRPr="0033314D">
            <w:pPr>
              <w:spacing w:lineRule="auto" w:line="240" w:after="0"/>
              <w:jc w:val="both"/>
              <w:rPr>
                <w:rFonts w:cs="Times New Roman" w:hAnsi="Times New Roman" w:ascii="Times New Roman"/>
              </w:rPr>
            </w:pPr>
            <w:r w:rsidRPr="0033314D">
              <w:rPr>
                <w:rFonts w:cs="Times New Roman" w:hAnsi="Times New Roman" w:ascii="Times New Roman"/>
                <w:color w:themeTint="D9" w:themeColor="text1" w:val="262626"/>
                <w:sz w:val="24"/>
                <w:szCs w:val="24"/>
              </w:rPr>
              <w:t>38.704,00</w:t>
            </w:r>
          </w:p>
        </w:tc>
        <w:tc>
          <w:tcPr>
            <w:tcW w:type="dxa" w:w="3752"/>
            <w:tcBorders>
              <w:top w:space="0" w:sz="2" w:color="000001" w:val="single"/>
              <w:bottom w:space="0" w:sz="2" w:color="000001" w:val="single"/>
            </w:tcBorders>
            <w:shd w:fill="auto" w:color="auto" w:val="clear"/>
            <w:tcMar>
              <w:left w:type="dxa" w:w="23"/>
            </w:tcMar>
          </w:tcPr>
          <w:p w:rsidRDefault="00806032" w:rsidR="00EA7581" w:rsidRPr="0033314D">
            <w:pPr>
              <w:spacing w:lineRule="auto" w:line="240" w:after="0"/>
              <w:jc w:val="both"/>
              <w:rPr>
                <w:rFonts w:cs="Times New Roman" w:hAnsi="Times New Roman" w:ascii="Times New Roman"/>
              </w:rPr>
            </w:pPr>
            <w:r w:rsidRPr="0033314D">
              <w:rPr>
                <w:rFonts w:cs="Times New Roman" w:hAnsi="Times New Roman" w:ascii="Times New Roman"/>
                <w:color w:themeTint="D9" w:themeColor="text1" w:val="262626"/>
                <w:sz w:val="24"/>
                <w:szCs w:val="24"/>
              </w:rPr>
              <w:t>38.704,00</w:t>
            </w:r>
          </w:p>
        </w:tc>
      </w:tr>
      <w:tr w:rsidR="00EA7581" w:rsidRPr="0033314D">
        <w:tc>
          <w:tcPr>
            <w:tcW w:type="dxa" w:w="2324"/>
            <w:tcBorders>
              <w:top w:space="0" w:sz="2" w:color="000001" w:val="single"/>
              <w:left w:space="0" w:sz="2" w:color="000001" w:val="single"/>
              <w:bottom w:space="0" w:sz="2" w:color="000001" w:val="single"/>
            </w:tcBorders>
            <w:shd w:fill="auto" w:color="auto" w:val="clear"/>
            <w:tcMar>
              <w:left w:type="dxa" w:w="39"/>
            </w:tcMar>
          </w:tcPr>
          <w:p w:rsidRDefault="00806032" w:rsidR="00EA7581" w:rsidRPr="0033314D">
            <w:pPr>
              <w:pStyle w:val="Sadrajitablice"/>
              <w:spacing w:lineRule="auto" w:line="240" w:after="0"/>
              <w:rPr>
                <w:rFonts w:cs="Times New Roman" w:hAnsi="Times New Roman" w:ascii="Times New Roman"/>
              </w:rPr>
            </w:pPr>
            <w:r w:rsidRPr="0033314D">
              <w:rPr>
                <w:rFonts w:cs="Times New Roman" w:hAnsi="Times New Roman" w:ascii="Times New Roman"/>
              </w:rPr>
              <w:t>III. Kratkotrajna financijska imovina</w:t>
            </w:r>
          </w:p>
        </w:tc>
        <w:tc>
          <w:tcPr>
            <w:tcW w:type="dxa" w:w="3224"/>
            <w:tcBorders>
              <w:top w:space="0" w:sz="2" w:color="000001" w:val="single"/>
              <w:left w:space="0" w:sz="2" w:color="000001" w:val="single"/>
              <w:bottom w:space="0" w:sz="2" w:color="000001" w:val="single"/>
            </w:tcBorders>
            <w:shd w:fill="auto" w:color="auto" w:val="clear"/>
            <w:tcMar>
              <w:left w:type="dxa" w:w="39"/>
            </w:tcMar>
          </w:tcPr>
          <w:p w:rsidRDefault="00806032" w:rsidR="00EA7581" w:rsidRPr="0033314D">
            <w:pPr>
              <w:pStyle w:val="Sadrajitablice"/>
              <w:spacing w:lineRule="auto" w:line="240" w:after="0"/>
              <w:rPr>
                <w:rFonts w:cs="Times New Roman" w:hAnsi="Times New Roman" w:ascii="Times New Roman"/>
              </w:rPr>
            </w:pPr>
            <w:r w:rsidRPr="0033314D">
              <w:rPr>
                <w:rFonts w:cs="Times New Roman" w:hAnsi="Times New Roman" w:ascii="Times New Roman"/>
              </w:rPr>
              <w:t>0</w:t>
            </w:r>
          </w:p>
        </w:tc>
        <w:tc>
          <w:tcPr>
            <w:tcW w:type="dxa" w:w="3752"/>
            <w:tcBorders>
              <w:top w:space="0" w:sz="2" w:color="000001" w:val="single"/>
              <w:left w:space="0" w:sz="2" w:color="000001" w:val="single"/>
              <w:bottom w:space="0" w:sz="2" w:color="000001" w:val="single"/>
            </w:tcBorders>
            <w:shd w:fill="auto" w:color="auto" w:val="clear"/>
            <w:tcMar>
              <w:left w:type="dxa" w:w="39"/>
            </w:tcMar>
          </w:tcPr>
          <w:p w:rsidRDefault="00806032" w:rsidR="00EA7581" w:rsidRPr="0033314D">
            <w:pPr>
              <w:pStyle w:val="Sadrajitablice"/>
              <w:spacing w:lineRule="auto" w:line="240" w:after="0"/>
              <w:rPr>
                <w:rFonts w:cs="Times New Roman" w:hAnsi="Times New Roman" w:ascii="Times New Roman"/>
              </w:rPr>
            </w:pPr>
            <w:r w:rsidRPr="0033314D">
              <w:rPr>
                <w:rFonts w:cs="Times New Roman" w:hAnsi="Times New Roman" w:ascii="Times New Roman"/>
              </w:rPr>
              <w:t>0</w:t>
            </w:r>
          </w:p>
        </w:tc>
      </w:tr>
      <w:tr w:rsidR="00EA7581" w:rsidRPr="0033314D">
        <w:tc>
          <w:tcPr>
            <w:tcW w:type="dxa" w:w="2324"/>
            <w:tcBorders>
              <w:top w:space="0" w:sz="2" w:color="000001" w:val="single"/>
              <w:left w:space="0" w:sz="2" w:color="000001" w:val="single"/>
              <w:bottom w:space="0" w:sz="2" w:color="000001" w:val="single"/>
            </w:tcBorders>
            <w:shd w:fill="auto" w:color="auto" w:val="clear"/>
            <w:tcMar>
              <w:left w:type="dxa" w:w="39"/>
            </w:tcMar>
          </w:tcPr>
          <w:p w:rsidRDefault="00806032" w:rsidR="00EA7581" w:rsidRPr="0033314D">
            <w:pPr>
              <w:spacing w:lineRule="auto" w:line="240" w:after="0"/>
              <w:jc w:val="both"/>
              <w:rPr>
                <w:rFonts w:cs="Times New Roman" w:hAnsi="Times New Roman" w:ascii="Times New Roman"/>
              </w:rPr>
            </w:pPr>
            <w:r w:rsidRPr="0033314D">
              <w:rPr>
                <w:rFonts w:cs="Times New Roman" w:hAnsi="Times New Roman" w:ascii="Times New Roman"/>
                <w:color w:themeTint="D9" w:themeColor="text1" w:val="262626"/>
                <w:sz w:val="24"/>
                <w:szCs w:val="24"/>
              </w:rPr>
              <w:t>IV. Novac u banci i blagajni</w:t>
            </w:r>
          </w:p>
        </w:tc>
        <w:tc>
          <w:tcPr>
            <w:tcW w:type="dxa" w:w="3224"/>
            <w:tcBorders>
              <w:top w:space="0" w:sz="2" w:color="000001" w:val="single"/>
              <w:left w:space="0" w:sz="2" w:color="000001" w:val="single"/>
              <w:bottom w:space="0" w:sz="2" w:color="000001" w:val="single"/>
            </w:tcBorders>
            <w:shd w:fill="auto" w:color="auto" w:val="clear"/>
            <w:tcMar>
              <w:left w:type="dxa" w:w="39"/>
            </w:tcMar>
          </w:tcPr>
          <w:p w:rsidRDefault="00806032" w:rsidR="00EA7581" w:rsidRPr="0033314D">
            <w:pPr>
              <w:spacing w:lineRule="auto" w:line="240" w:after="0"/>
              <w:jc w:val="both"/>
              <w:rPr>
                <w:rFonts w:cs="Times New Roman" w:hAnsi="Times New Roman" w:ascii="Times New Roman"/>
              </w:rPr>
            </w:pPr>
            <w:r w:rsidRPr="0033314D">
              <w:rPr>
                <w:rFonts w:cs="Times New Roman" w:hAnsi="Times New Roman" w:ascii="Times New Roman"/>
                <w:color w:themeTint="D9" w:themeColor="text1" w:val="262626"/>
                <w:sz w:val="24"/>
                <w:szCs w:val="24"/>
              </w:rPr>
              <w:t>0</w:t>
            </w:r>
          </w:p>
        </w:tc>
        <w:tc>
          <w:tcPr>
            <w:tcW w:type="dxa" w:w="3752"/>
            <w:tcBorders>
              <w:top w:space="0" w:sz="2" w:color="000001" w:val="single"/>
              <w:left w:space="0" w:sz="2" w:color="000001" w:val="single"/>
              <w:bottom w:space="0" w:sz="2" w:color="000001" w:val="single"/>
            </w:tcBorders>
            <w:shd w:fill="auto" w:color="auto" w:val="clear"/>
            <w:tcMar>
              <w:left w:type="dxa" w:w="39"/>
            </w:tcMar>
          </w:tcPr>
          <w:p w:rsidRDefault="00806032" w:rsidR="00EA7581" w:rsidRPr="0033314D">
            <w:pPr>
              <w:spacing w:lineRule="auto" w:line="240" w:after="0"/>
              <w:jc w:val="both"/>
              <w:rPr>
                <w:rFonts w:cs="Times New Roman" w:hAnsi="Times New Roman" w:ascii="Times New Roman"/>
              </w:rPr>
            </w:pPr>
            <w:r w:rsidRPr="0033314D">
              <w:rPr>
                <w:rFonts w:cs="Times New Roman" w:hAnsi="Times New Roman" w:ascii="Times New Roman"/>
                <w:color w:themeTint="D9" w:themeColor="text1" w:val="262626"/>
                <w:sz w:val="24"/>
                <w:szCs w:val="24"/>
              </w:rPr>
              <w:t>0</w:t>
            </w:r>
          </w:p>
        </w:tc>
      </w:tr>
      <w:tr w:rsidR="00EA7581" w:rsidRPr="0033314D">
        <w:tc>
          <w:tcPr>
            <w:tcW w:type="dxa" w:w="2324"/>
            <w:tcBorders>
              <w:top w:space="0" w:sz="2" w:color="000001" w:val="single"/>
              <w:left w:space="0" w:sz="2" w:color="000001" w:val="single"/>
              <w:bottom w:space="0" w:sz="2" w:color="000001" w:val="single"/>
            </w:tcBorders>
            <w:shd w:fill="auto" w:color="auto" w:val="clear"/>
            <w:tcMar>
              <w:left w:type="dxa" w:w="39"/>
            </w:tcMar>
          </w:tcPr>
          <w:p w:rsidRDefault="00806032" w:rsidR="00EA7581" w:rsidRPr="0033314D">
            <w:pPr>
              <w:spacing w:lineRule="auto" w:line="240" w:after="0"/>
              <w:jc w:val="both"/>
              <w:rPr>
                <w:rFonts w:cs="Times New Roman" w:hAnsi="Times New Roman" w:ascii="Times New Roman"/>
              </w:rPr>
            </w:pPr>
            <w:r w:rsidRPr="0033314D">
              <w:rPr>
                <w:rFonts w:cs="Times New Roman" w:hAnsi="Times New Roman" w:ascii="Times New Roman"/>
                <w:color w:themeTint="D9" w:themeColor="text1" w:val="262626"/>
                <w:sz w:val="24"/>
                <w:szCs w:val="24"/>
              </w:rPr>
              <w:t>D) Plaćeni troškovi budućeg razdoblja i nedospjela naplata prihoda</w:t>
            </w:r>
          </w:p>
        </w:tc>
        <w:tc>
          <w:tcPr>
            <w:tcW w:type="dxa" w:w="3224"/>
            <w:tcBorders>
              <w:top w:space="0" w:sz="2" w:color="000001" w:val="single"/>
              <w:left w:space="0" w:sz="2" w:color="000001" w:val="single"/>
              <w:bottom w:space="0" w:sz="2" w:color="000001" w:val="single"/>
            </w:tcBorders>
            <w:shd w:fill="auto" w:color="auto" w:val="clear"/>
            <w:tcMar>
              <w:left w:type="dxa" w:w="39"/>
            </w:tcMar>
          </w:tcPr>
          <w:p w:rsidRDefault="00806032" w:rsidR="00EA7581" w:rsidRPr="0033314D">
            <w:pPr>
              <w:spacing w:lineRule="auto" w:line="240" w:after="0"/>
              <w:jc w:val="both"/>
              <w:rPr>
                <w:rFonts w:cs="Times New Roman" w:hAnsi="Times New Roman" w:ascii="Times New Roman"/>
              </w:rPr>
            </w:pPr>
            <w:r w:rsidRPr="0033314D">
              <w:rPr>
                <w:rFonts w:cs="Times New Roman" w:hAnsi="Times New Roman" w:ascii="Times New Roman"/>
                <w:color w:themeTint="D9" w:themeColor="text1" w:val="262626"/>
                <w:sz w:val="24"/>
                <w:szCs w:val="24"/>
              </w:rPr>
              <w:t>0</w:t>
            </w:r>
          </w:p>
        </w:tc>
        <w:tc>
          <w:tcPr>
            <w:tcW w:type="dxa" w:w="3752"/>
            <w:tcBorders>
              <w:top w:space="0" w:sz="2" w:color="000001" w:val="single"/>
              <w:left w:space="0" w:sz="2" w:color="000001" w:val="single"/>
              <w:bottom w:space="0" w:sz="2" w:color="000001" w:val="single"/>
            </w:tcBorders>
            <w:shd w:fill="auto" w:color="auto" w:val="clear"/>
            <w:tcMar>
              <w:left w:type="dxa" w:w="39"/>
            </w:tcMar>
          </w:tcPr>
          <w:p w:rsidRDefault="00806032" w:rsidR="00EA7581" w:rsidRPr="0033314D">
            <w:pPr>
              <w:spacing w:lineRule="auto" w:line="240" w:after="0"/>
              <w:jc w:val="both"/>
              <w:rPr>
                <w:rFonts w:cs="Times New Roman" w:hAnsi="Times New Roman" w:ascii="Times New Roman"/>
              </w:rPr>
            </w:pPr>
            <w:r w:rsidRPr="0033314D">
              <w:rPr>
                <w:rFonts w:cs="Times New Roman" w:hAnsi="Times New Roman" w:ascii="Times New Roman"/>
                <w:color w:themeTint="D9" w:themeColor="text1" w:val="262626"/>
                <w:sz w:val="24"/>
                <w:szCs w:val="24"/>
              </w:rPr>
              <w:t>0</w:t>
            </w:r>
          </w:p>
        </w:tc>
      </w:tr>
      <w:tr w:rsidR="00EA7581" w:rsidRPr="0033314D">
        <w:tc>
          <w:tcPr>
            <w:tcW w:type="dxa" w:w="2324"/>
            <w:tcBorders>
              <w:top w:space="0" w:sz="2" w:color="000001" w:val="single"/>
              <w:left w:space="0" w:sz="2" w:color="000001" w:val="single"/>
              <w:bottom w:space="0" w:sz="2" w:color="000001" w:val="single"/>
            </w:tcBorders>
            <w:shd w:fill="auto" w:color="auto" w:val="clear"/>
            <w:tcMar>
              <w:left w:type="dxa" w:w="39"/>
            </w:tcMar>
          </w:tcPr>
          <w:p w:rsidRDefault="00806032" w:rsidR="00EA7581" w:rsidRPr="0033314D">
            <w:pPr>
              <w:spacing w:lineRule="auto" w:line="240" w:after="0"/>
              <w:jc w:val="both"/>
              <w:rPr>
                <w:rFonts w:cs="Times New Roman" w:hAnsi="Times New Roman" w:ascii="Times New Roman"/>
              </w:rPr>
            </w:pPr>
            <w:r w:rsidRPr="0033314D">
              <w:rPr>
                <w:rFonts w:cs="Times New Roman" w:hAnsi="Times New Roman" w:ascii="Times New Roman"/>
                <w:color w:themeTint="D9" w:themeColor="text1" w:val="262626"/>
                <w:sz w:val="24"/>
                <w:szCs w:val="24"/>
              </w:rPr>
              <w:t>AKTIVA UKUPNO (A+B+C)</w:t>
            </w:r>
          </w:p>
        </w:tc>
        <w:tc>
          <w:tcPr>
            <w:tcW w:type="dxa" w:w="3224"/>
            <w:tcBorders>
              <w:top w:space="0" w:sz="2" w:color="000001" w:val="single"/>
              <w:left w:space="0" w:sz="2" w:color="000001" w:val="single"/>
              <w:bottom w:space="0" w:sz="2" w:color="000001" w:val="single"/>
            </w:tcBorders>
            <w:shd w:fill="auto" w:color="auto" w:val="clear"/>
            <w:tcMar>
              <w:left w:type="dxa" w:w="39"/>
            </w:tcMar>
          </w:tcPr>
          <w:p w:rsidRDefault="00806032" w:rsidR="00EA7581" w:rsidRPr="0033314D">
            <w:pPr>
              <w:spacing w:lineRule="auto" w:line="240" w:after="0"/>
              <w:jc w:val="both"/>
              <w:rPr>
                <w:rFonts w:cs="Times New Roman" w:hAnsi="Times New Roman" w:ascii="Times New Roman"/>
              </w:rPr>
            </w:pPr>
            <w:r w:rsidRPr="0033314D">
              <w:rPr>
                <w:rFonts w:cs="Times New Roman" w:hAnsi="Times New Roman" w:ascii="Times New Roman"/>
                <w:color w:themeTint="D9" w:themeColor="text1" w:val="262626"/>
                <w:sz w:val="24"/>
                <w:szCs w:val="24"/>
              </w:rPr>
              <w:t xml:space="preserve">   263.484,00</w:t>
            </w:r>
          </w:p>
        </w:tc>
        <w:tc>
          <w:tcPr>
            <w:tcW w:type="dxa" w:w="3752"/>
            <w:tcBorders>
              <w:top w:space="0" w:sz="2" w:color="000001" w:val="single"/>
              <w:left w:space="0" w:sz="2" w:color="000001" w:val="single"/>
              <w:bottom w:space="0" w:sz="2" w:color="000001" w:val="single"/>
            </w:tcBorders>
            <w:shd w:fill="auto" w:color="auto" w:val="clear"/>
            <w:tcMar>
              <w:left w:type="dxa" w:w="39"/>
            </w:tcMar>
          </w:tcPr>
          <w:p w:rsidRDefault="00806032" w:rsidR="00EA7581" w:rsidRPr="0033314D">
            <w:pPr>
              <w:spacing w:lineRule="auto" w:line="240" w:after="0"/>
              <w:jc w:val="both"/>
              <w:rPr>
                <w:rFonts w:cs="Times New Roman" w:hAnsi="Times New Roman" w:ascii="Times New Roman"/>
              </w:rPr>
            </w:pPr>
            <w:r w:rsidRPr="0033314D">
              <w:rPr>
                <w:rFonts w:cs="Times New Roman" w:hAnsi="Times New Roman" w:ascii="Times New Roman"/>
                <w:color w:themeTint="D9" w:themeColor="text1" w:val="262626"/>
                <w:sz w:val="24"/>
                <w:szCs w:val="24"/>
              </w:rPr>
              <w:t xml:space="preserve"> 263.484,00</w:t>
            </w:r>
          </w:p>
        </w:tc>
      </w:tr>
    </w:tbl>
    <w:p w:rsidRDefault="00EA7581" w:rsidR="00EA7581" w:rsidRPr="0033314D">
      <w:pPr>
        <w:jc w:val="both"/>
        <w:rPr>
          <w:rFonts w:cs="Times New Roman" w:hAnsi="Times New Roman" w:ascii="Times New Roman"/>
        </w:rPr>
      </w:pPr>
    </w:p>
    <w:p w:rsidRDefault="00806032" w:rsidR="00EA7581" w:rsidRPr="00151FFE">
      <w:pPr>
        <w:jc w:val="both"/>
        <w:rPr>
          <w:rFonts w:cs="Times New Roman" w:hAnsi="Times New Roman" w:ascii="Times New Roman"/>
        </w:rPr>
      </w:pPr>
      <w:r w:rsidRPr="0033314D">
        <w:rPr>
          <w:rFonts w:cs="Times New Roman" w:hAnsi="Times New Roman" w:ascii="Times New Roman"/>
          <w:b/>
          <w:i/>
          <w:color w:themeTint="D9" w:themeColor="text1" w:val="262626"/>
          <w:sz w:val="24"/>
          <w:szCs w:val="24"/>
        </w:rPr>
        <w:tab/>
      </w:r>
      <w:r w:rsidRPr="00151FFE">
        <w:rPr>
          <w:rFonts w:cs="Times New Roman" w:hAnsi="Times New Roman" w:ascii="Times New Roman"/>
          <w:b/>
          <w:color w:themeTint="D9" w:themeColor="text1" w:val="262626"/>
          <w:sz w:val="24"/>
          <w:szCs w:val="24"/>
        </w:rPr>
        <w:t>3.2.2. PASIVA BILANCE</w:t>
      </w:r>
    </w:p>
    <w:p w:rsidRDefault="00806032" w:rsidR="00EA7581" w:rsidRPr="0033314D">
      <w:pPr>
        <w:jc w:val="both"/>
        <w:rPr>
          <w:rFonts w:cs="Times New Roman" w:hAnsi="Times New Roman" w:ascii="Times New Roman"/>
        </w:rPr>
      </w:pPr>
      <w:r w:rsidRPr="0033314D">
        <w:rPr>
          <w:rFonts w:cs="Times New Roman" w:hAnsi="Times New Roman" w:ascii="Times New Roman"/>
          <w:color w:themeTint="D9" w:themeColor="text1" w:val="262626"/>
          <w:sz w:val="24"/>
          <w:szCs w:val="24"/>
        </w:rPr>
        <w:t xml:space="preserve">Razmatra </w:t>
      </w:r>
      <w:r w:rsidR="00151FFE">
        <w:rPr>
          <w:rFonts w:cs="Times New Roman" w:hAnsi="Times New Roman" w:ascii="Times New Roman"/>
          <w:color w:themeTint="D9" w:themeColor="text1" w:val="262626"/>
          <w:sz w:val="24"/>
          <w:szCs w:val="24"/>
        </w:rPr>
        <w:t>s</w:t>
      </w:r>
      <w:r w:rsidRPr="0033314D">
        <w:rPr>
          <w:rFonts w:cs="Times New Roman" w:hAnsi="Times New Roman" w:ascii="Times New Roman"/>
          <w:color w:themeTint="D9" w:themeColor="text1" w:val="262626"/>
          <w:sz w:val="24"/>
          <w:szCs w:val="24"/>
        </w:rPr>
        <w:t>e pasiv</w:t>
      </w:r>
      <w:r w:rsidR="00151FFE">
        <w:rPr>
          <w:rFonts w:cs="Times New Roman" w:hAnsi="Times New Roman" w:ascii="Times New Roman"/>
          <w:color w:themeTint="D9" w:themeColor="text1" w:val="262626"/>
          <w:sz w:val="24"/>
          <w:szCs w:val="24"/>
        </w:rPr>
        <w:t>a</w:t>
      </w:r>
      <w:r w:rsidRPr="0033314D">
        <w:rPr>
          <w:rFonts w:cs="Times New Roman" w:hAnsi="Times New Roman" w:ascii="Times New Roman"/>
          <w:color w:themeTint="D9" w:themeColor="text1" w:val="262626"/>
          <w:sz w:val="24"/>
          <w:szCs w:val="24"/>
        </w:rPr>
        <w:t xml:space="preserve"> na dan 31. prosinca 2015. i  31. prosinca 2016. godine.</w:t>
      </w:r>
    </w:p>
    <w:p w:rsidRDefault="00806032" w:rsidR="00EA7581" w:rsidRPr="00151FFE">
      <w:pPr>
        <w:jc w:val="both"/>
        <w:rPr>
          <w:rFonts w:cs="Times New Roman" w:hAnsi="Times New Roman" w:ascii="Times New Roman"/>
        </w:rPr>
      </w:pPr>
      <w:r w:rsidRPr="00151FFE">
        <w:rPr>
          <w:rFonts w:cs="Times New Roman" w:hAnsi="Times New Roman" w:ascii="Times New Roman"/>
          <w:b/>
          <w:color w:themeTint="D9" w:themeColor="text1" w:val="262626"/>
          <w:sz w:val="24"/>
          <w:szCs w:val="24"/>
        </w:rPr>
        <w:t>PREGLED PASIVE</w:t>
      </w:r>
    </w:p>
    <w:tbl>
      <w:tblPr>
        <w:tblW w:type="dxa" w:w="9075"/>
        <w:tblInd w:type="dxa" w:w="47"/>
        <w:tblBorders>
          <w:top w:space="0" w:sz="2" w:color="000001" w:val="single"/>
          <w:left w:space="0" w:sz="2" w:color="000001" w:val="single"/>
          <w:bottom w:space="0" w:sz="2" w:color="000001" w:val="single"/>
          <w:insideH w:space="0" w:sz="2" w:color="000001" w:val="single"/>
        </w:tblBorders>
        <w:tblCellMar>
          <w:top w:type="dxa" w:w="55"/>
          <w:left w:type="dxa" w:w="42"/>
          <w:bottom w:type="dxa" w:w="55"/>
          <w:right w:type="dxa" w:w="55"/>
        </w:tblCellMar>
        <w:tblLook w:val="04A0" w:noVBand="1" w:noHBand="0" w:lastColumn="0" w:firstColumn="1" w:lastRow="0" w:firstRow="1"/>
      </w:tblPr>
      <w:tblGrid>
        <w:gridCol w:w="2892"/>
        <w:gridCol w:w="2896"/>
        <w:gridCol w:w="3287"/>
      </w:tblGrid>
      <w:tr w:rsidR="00EA7581" w:rsidRPr="0033314D">
        <w:tc>
          <w:tcPr>
            <w:tcW w:type="dxa" w:w="2892"/>
            <w:tcBorders>
              <w:top w:space="0" w:sz="2" w:color="000001" w:val="single"/>
              <w:left w:space="0" w:sz="2" w:color="000001" w:val="single"/>
              <w:bottom w:space="0" w:sz="2" w:color="000001" w:val="single"/>
            </w:tcBorders>
            <w:shd w:fill="auto" w:color="auto" w:val="clear"/>
            <w:tcMar>
              <w:left w:type="dxa" w:w="42"/>
            </w:tcMar>
          </w:tcPr>
          <w:p w:rsidRDefault="00806032" w:rsidR="00EA7581" w:rsidRPr="0033314D">
            <w:pPr>
              <w:pStyle w:val="Sadrajitablice"/>
              <w:rPr>
                <w:rFonts w:cs="Times New Roman" w:hAnsi="Times New Roman" w:ascii="Times New Roman"/>
              </w:rPr>
            </w:pPr>
            <w:r w:rsidRPr="0033314D">
              <w:rPr>
                <w:rFonts w:cs="Times New Roman" w:hAnsi="Times New Roman" w:ascii="Times New Roman"/>
              </w:rPr>
              <w:t>Opis</w:t>
            </w:r>
          </w:p>
        </w:tc>
        <w:tc>
          <w:tcPr>
            <w:tcW w:type="dxa" w:w="2896"/>
            <w:tcBorders>
              <w:top w:space="0" w:sz="2" w:color="000001" w:val="single"/>
              <w:left w:space="0" w:sz="2" w:color="000001" w:val="single"/>
              <w:bottom w:space="0" w:sz="2" w:color="000001" w:val="single"/>
            </w:tcBorders>
            <w:shd w:fill="auto" w:color="auto" w:val="clear"/>
            <w:tcMar>
              <w:left w:type="dxa" w:w="42"/>
            </w:tcMar>
          </w:tcPr>
          <w:p w:rsidRDefault="00806032" w:rsidR="00EA7581" w:rsidRPr="0033314D">
            <w:pPr>
              <w:pStyle w:val="Sadrajitablice"/>
              <w:rPr>
                <w:rFonts w:cs="Times New Roman" w:hAnsi="Times New Roman" w:ascii="Times New Roman"/>
              </w:rPr>
            </w:pPr>
            <w:r w:rsidRPr="0033314D">
              <w:rPr>
                <w:rFonts w:cs="Times New Roman" w:hAnsi="Times New Roman" w:ascii="Times New Roman"/>
              </w:rPr>
              <w:t>31.12.2015.</w:t>
            </w:r>
          </w:p>
        </w:tc>
        <w:tc>
          <w:tcPr>
            <w:tcW w:type="dxa" w:w="3287"/>
            <w:tcBorders>
              <w:top w:space="0" w:sz="2" w:color="000001" w:val="single"/>
              <w:left w:space="0" w:sz="2" w:color="000001" w:val="single"/>
              <w:bottom w:space="0" w:sz="2" w:color="000001" w:val="single"/>
              <w:right w:space="0" w:sz="2" w:color="000001" w:val="single"/>
            </w:tcBorders>
            <w:shd w:fill="auto" w:color="auto" w:val="clear"/>
            <w:tcMar>
              <w:left w:type="dxa" w:w="42"/>
            </w:tcMar>
          </w:tcPr>
          <w:p w:rsidRDefault="00806032" w:rsidR="00EA7581" w:rsidRPr="0033314D">
            <w:pPr>
              <w:pStyle w:val="Sadrajitablice"/>
              <w:rPr>
                <w:rFonts w:cs="Times New Roman" w:hAnsi="Times New Roman" w:ascii="Times New Roman"/>
              </w:rPr>
            </w:pPr>
            <w:r w:rsidRPr="0033314D">
              <w:rPr>
                <w:rFonts w:cs="Times New Roman" w:hAnsi="Times New Roman" w:ascii="Times New Roman"/>
              </w:rPr>
              <w:t>31.12.2016.</w:t>
            </w:r>
          </w:p>
        </w:tc>
      </w:tr>
      <w:tr w:rsidR="00EA7581" w:rsidRPr="0033314D">
        <w:tc>
          <w:tcPr>
            <w:tcW w:type="dxa" w:w="2892"/>
            <w:tcBorders>
              <w:top w:space="0" w:sz="2" w:color="000001" w:val="single"/>
              <w:left w:space="0" w:sz="2" w:color="000001" w:val="single"/>
              <w:bottom w:space="0" w:sz="2" w:color="000001" w:val="single"/>
            </w:tcBorders>
            <w:shd w:fill="auto" w:color="auto" w:val="clear"/>
            <w:tcMar>
              <w:left w:type="dxa" w:w="42"/>
            </w:tcMar>
          </w:tcPr>
          <w:p w:rsidRDefault="00806032" w:rsidR="00EA7581" w:rsidRPr="0033314D">
            <w:pPr>
              <w:spacing w:lineRule="auto" w:line="240" w:after="0"/>
              <w:jc w:val="both"/>
              <w:rPr>
                <w:rFonts w:cs="Times New Roman" w:hAnsi="Times New Roman" w:ascii="Times New Roman"/>
              </w:rPr>
            </w:pPr>
            <w:r w:rsidRPr="0033314D">
              <w:rPr>
                <w:rFonts w:cs="Times New Roman" w:hAnsi="Times New Roman" w:ascii="Times New Roman"/>
                <w:color w:themeTint="D9" w:themeColor="text1" w:val="262626"/>
                <w:sz w:val="24"/>
                <w:szCs w:val="24"/>
              </w:rPr>
              <w:t>A) KAPITAL I PRIČUVE</w:t>
            </w:r>
          </w:p>
        </w:tc>
        <w:tc>
          <w:tcPr>
            <w:tcW w:type="dxa" w:w="2896"/>
            <w:tcBorders>
              <w:top w:space="0" w:sz="2" w:color="000001" w:val="single"/>
              <w:left w:space="0" w:sz="2" w:color="000001" w:val="single"/>
              <w:bottom w:space="0" w:sz="2" w:color="000001" w:val="single"/>
            </w:tcBorders>
            <w:shd w:fill="auto" w:color="auto" w:val="clear"/>
            <w:tcMar>
              <w:left w:type="dxa" w:w="42"/>
            </w:tcMar>
          </w:tcPr>
          <w:p w:rsidRDefault="00806032" w:rsidR="00EA7581" w:rsidRPr="0033314D">
            <w:pPr>
              <w:pStyle w:val="Sadrajitablice"/>
              <w:rPr>
                <w:rFonts w:cs="Times New Roman" w:hAnsi="Times New Roman" w:ascii="Times New Roman"/>
              </w:rPr>
            </w:pPr>
            <w:r w:rsidRPr="0033314D">
              <w:rPr>
                <w:rFonts w:cs="Times New Roman" w:hAnsi="Times New Roman" w:ascii="Times New Roman"/>
              </w:rPr>
              <w:t>-142,241,00</w:t>
            </w:r>
          </w:p>
        </w:tc>
        <w:tc>
          <w:tcPr>
            <w:tcW w:type="dxa" w:w="3287"/>
            <w:tcBorders>
              <w:top w:space="0" w:sz="2" w:color="000001" w:val="single"/>
              <w:left w:space="0" w:sz="2" w:color="000001" w:val="single"/>
              <w:bottom w:space="0" w:sz="2" w:color="000001" w:val="single"/>
              <w:right w:space="0" w:sz="2" w:color="000001" w:val="single"/>
            </w:tcBorders>
            <w:shd w:fill="auto" w:color="auto" w:val="clear"/>
            <w:tcMar>
              <w:left w:type="dxa" w:w="42"/>
            </w:tcMar>
          </w:tcPr>
          <w:p w:rsidRDefault="00806032" w:rsidR="00EA7581" w:rsidRPr="0033314D">
            <w:pPr>
              <w:pStyle w:val="Sadrajitablice"/>
              <w:rPr>
                <w:rFonts w:cs="Times New Roman" w:hAnsi="Times New Roman" w:ascii="Times New Roman"/>
              </w:rPr>
            </w:pPr>
            <w:r w:rsidRPr="0033314D">
              <w:rPr>
                <w:rFonts w:cs="Times New Roman" w:hAnsi="Times New Roman" w:ascii="Times New Roman"/>
              </w:rPr>
              <w:t>-143.241,00</w:t>
            </w:r>
          </w:p>
        </w:tc>
      </w:tr>
      <w:tr w:rsidR="00EA7581" w:rsidRPr="0033314D">
        <w:tc>
          <w:tcPr>
            <w:tcW w:type="dxa" w:w="2892"/>
            <w:tcBorders>
              <w:top w:space="0" w:sz="2" w:color="000001" w:val="single"/>
              <w:left w:space="0" w:sz="2" w:color="000001" w:val="single"/>
              <w:bottom w:space="0" w:sz="2" w:color="000001" w:val="single"/>
            </w:tcBorders>
            <w:shd w:fill="auto" w:color="auto" w:val="clear"/>
            <w:tcMar>
              <w:left w:type="dxa" w:w="42"/>
            </w:tcMar>
          </w:tcPr>
          <w:p w:rsidRDefault="00806032" w:rsidR="00EA7581" w:rsidRPr="0033314D">
            <w:pPr>
              <w:spacing w:lineRule="auto" w:line="240" w:after="0"/>
              <w:jc w:val="both"/>
              <w:rPr>
                <w:rFonts w:cs="Times New Roman" w:hAnsi="Times New Roman" w:ascii="Times New Roman"/>
              </w:rPr>
            </w:pPr>
            <w:r w:rsidRPr="0033314D">
              <w:rPr>
                <w:rFonts w:cs="Times New Roman" w:hAnsi="Times New Roman" w:ascii="Times New Roman"/>
                <w:color w:themeTint="D9" w:themeColor="text1" w:val="262626"/>
                <w:sz w:val="24"/>
                <w:szCs w:val="24"/>
              </w:rPr>
              <w:t>I. Temeljni (upisani) kapital</w:t>
            </w:r>
          </w:p>
        </w:tc>
        <w:tc>
          <w:tcPr>
            <w:tcW w:type="dxa" w:w="2896"/>
            <w:tcBorders>
              <w:top w:space="0" w:sz="2" w:color="000001" w:val="single"/>
              <w:left w:space="0" w:sz="2" w:color="000001" w:val="single"/>
              <w:bottom w:space="0" w:sz="2" w:color="000001" w:val="single"/>
            </w:tcBorders>
            <w:shd w:fill="auto" w:color="auto" w:val="clear"/>
            <w:tcMar>
              <w:left w:type="dxa" w:w="42"/>
            </w:tcMar>
          </w:tcPr>
          <w:p w:rsidRDefault="00806032" w:rsidR="00EA7581" w:rsidRPr="0033314D">
            <w:pPr>
              <w:pStyle w:val="Sadrajitablice"/>
              <w:rPr>
                <w:rFonts w:cs="Times New Roman" w:hAnsi="Times New Roman" w:ascii="Times New Roman"/>
              </w:rPr>
            </w:pPr>
            <w:r w:rsidRPr="0033314D">
              <w:rPr>
                <w:rFonts w:cs="Times New Roman" w:hAnsi="Times New Roman" w:ascii="Times New Roman"/>
              </w:rPr>
              <w:t>20.000,00</w:t>
            </w:r>
          </w:p>
        </w:tc>
        <w:tc>
          <w:tcPr>
            <w:tcW w:type="dxa" w:w="3287"/>
            <w:tcBorders>
              <w:top w:space="0" w:sz="2" w:color="000001" w:val="single"/>
              <w:left w:space="0" w:sz="2" w:color="000001" w:val="single"/>
              <w:bottom w:space="0" w:sz="2" w:color="000001" w:val="single"/>
              <w:right w:space="0" w:sz="2" w:color="000001" w:val="single"/>
            </w:tcBorders>
            <w:shd w:fill="auto" w:color="auto" w:val="clear"/>
            <w:tcMar>
              <w:left w:type="dxa" w:w="42"/>
            </w:tcMar>
          </w:tcPr>
          <w:p w:rsidRDefault="00806032" w:rsidR="00EA7581" w:rsidRPr="0033314D">
            <w:pPr>
              <w:pStyle w:val="Sadrajitablice"/>
              <w:rPr>
                <w:rFonts w:cs="Times New Roman" w:hAnsi="Times New Roman" w:ascii="Times New Roman"/>
              </w:rPr>
            </w:pPr>
            <w:r w:rsidRPr="0033314D">
              <w:rPr>
                <w:rFonts w:cs="Times New Roman" w:hAnsi="Times New Roman" w:ascii="Times New Roman"/>
              </w:rPr>
              <w:t>20.000,00</w:t>
            </w:r>
          </w:p>
        </w:tc>
      </w:tr>
      <w:tr w:rsidR="00EA7581" w:rsidRPr="0033314D">
        <w:tc>
          <w:tcPr>
            <w:tcW w:type="dxa" w:w="2892"/>
            <w:tcBorders>
              <w:top w:space="0" w:sz="2" w:color="000001" w:val="single"/>
              <w:left w:space="0" w:sz="2" w:color="000001" w:val="single"/>
              <w:bottom w:space="0" w:sz="2" w:color="000001" w:val="single"/>
            </w:tcBorders>
            <w:shd w:fill="auto" w:color="auto" w:val="clear"/>
            <w:tcMar>
              <w:left w:type="dxa" w:w="42"/>
            </w:tcMar>
          </w:tcPr>
          <w:p w:rsidRDefault="00806032" w:rsidR="00EA7581" w:rsidRPr="0033314D">
            <w:pPr>
              <w:spacing w:lineRule="auto" w:line="240" w:after="0"/>
              <w:jc w:val="both"/>
              <w:rPr>
                <w:rFonts w:cs="Times New Roman" w:hAnsi="Times New Roman" w:ascii="Times New Roman"/>
              </w:rPr>
            </w:pPr>
            <w:r w:rsidRPr="0033314D">
              <w:rPr>
                <w:rFonts w:cs="Times New Roman" w:hAnsi="Times New Roman" w:ascii="Times New Roman"/>
                <w:color w:themeTint="D9" w:themeColor="text1" w:val="262626"/>
                <w:sz w:val="24"/>
                <w:szCs w:val="24"/>
              </w:rPr>
              <w:t>II. Zadržana dobit ili preneseni gubitak</w:t>
            </w:r>
          </w:p>
        </w:tc>
        <w:tc>
          <w:tcPr>
            <w:tcW w:type="dxa" w:w="2896"/>
            <w:tcBorders>
              <w:top w:space="0" w:sz="2" w:color="000001" w:val="single"/>
              <w:left w:space="0" w:sz="2" w:color="000001" w:val="single"/>
              <w:bottom w:space="0" w:sz="2" w:color="000001" w:val="single"/>
            </w:tcBorders>
            <w:shd w:fill="auto" w:color="auto" w:val="clear"/>
            <w:tcMar>
              <w:left w:type="dxa" w:w="42"/>
            </w:tcMar>
          </w:tcPr>
          <w:p w:rsidRDefault="00806032" w:rsidR="00EA7581" w:rsidRPr="0033314D">
            <w:pPr>
              <w:pStyle w:val="Sadrajitablice"/>
              <w:rPr>
                <w:rFonts w:cs="Times New Roman" w:hAnsi="Times New Roman" w:ascii="Times New Roman"/>
              </w:rPr>
            </w:pPr>
            <w:r w:rsidRPr="0033314D">
              <w:rPr>
                <w:rFonts w:cs="Times New Roman" w:hAnsi="Times New Roman" w:ascii="Times New Roman"/>
              </w:rPr>
              <w:t>-161.377,00</w:t>
            </w:r>
          </w:p>
        </w:tc>
        <w:tc>
          <w:tcPr>
            <w:tcW w:type="dxa" w:w="3287"/>
            <w:tcBorders>
              <w:top w:space="0" w:sz="2" w:color="000001" w:val="single"/>
              <w:left w:space="0" w:sz="2" w:color="000001" w:val="single"/>
              <w:bottom w:space="0" w:sz="2" w:color="000001" w:val="single"/>
              <w:right w:space="0" w:sz="2" w:color="000001" w:val="single"/>
            </w:tcBorders>
            <w:shd w:fill="auto" w:color="auto" w:val="clear"/>
            <w:tcMar>
              <w:left w:type="dxa" w:w="42"/>
            </w:tcMar>
          </w:tcPr>
          <w:p w:rsidRDefault="00806032" w:rsidR="00EA7581" w:rsidRPr="0033314D">
            <w:pPr>
              <w:pStyle w:val="Sadrajitablice"/>
              <w:rPr>
                <w:rFonts w:cs="Times New Roman" w:hAnsi="Times New Roman" w:ascii="Times New Roman"/>
              </w:rPr>
            </w:pPr>
            <w:r w:rsidRPr="0033314D">
              <w:rPr>
                <w:rFonts w:cs="Times New Roman" w:hAnsi="Times New Roman" w:ascii="Times New Roman"/>
              </w:rPr>
              <w:t>-162.200,00</w:t>
            </w:r>
          </w:p>
        </w:tc>
      </w:tr>
      <w:tr w:rsidR="00EA7581" w:rsidRPr="0033314D">
        <w:tc>
          <w:tcPr>
            <w:tcW w:type="dxa" w:w="2892"/>
            <w:tcBorders>
              <w:top w:space="0" w:sz="2" w:color="000001" w:val="single"/>
              <w:left w:space="0" w:sz="2" w:color="000001" w:val="single"/>
              <w:bottom w:space="0" w:sz="2" w:color="000001" w:val="single"/>
            </w:tcBorders>
            <w:shd w:fill="auto" w:color="auto" w:val="clear"/>
            <w:tcMar>
              <w:left w:type="dxa" w:w="42"/>
            </w:tcMar>
          </w:tcPr>
          <w:p w:rsidRDefault="00806032" w:rsidR="00EA7581" w:rsidRPr="0033314D">
            <w:pPr>
              <w:spacing w:lineRule="auto" w:line="240" w:after="0"/>
              <w:jc w:val="both"/>
              <w:rPr>
                <w:rFonts w:cs="Times New Roman" w:hAnsi="Times New Roman" w:ascii="Times New Roman"/>
              </w:rPr>
            </w:pPr>
            <w:r w:rsidRPr="0033314D">
              <w:rPr>
                <w:rFonts w:cs="Times New Roman" w:hAnsi="Times New Roman" w:ascii="Times New Roman"/>
                <w:color w:themeTint="D9" w:themeColor="text1" w:val="262626"/>
                <w:sz w:val="24"/>
                <w:szCs w:val="24"/>
              </w:rPr>
              <w:t>- Zadržana dobit</w:t>
            </w:r>
          </w:p>
        </w:tc>
        <w:tc>
          <w:tcPr>
            <w:tcW w:type="dxa" w:w="2896"/>
            <w:tcBorders>
              <w:top w:space="0" w:sz="2" w:color="000001" w:val="single"/>
              <w:left w:space="0" w:sz="2" w:color="000001" w:val="single"/>
              <w:bottom w:space="0" w:sz="2" w:color="000001" w:val="single"/>
            </w:tcBorders>
            <w:shd w:fill="auto" w:color="auto" w:val="clear"/>
            <w:tcMar>
              <w:left w:type="dxa" w:w="42"/>
            </w:tcMar>
          </w:tcPr>
          <w:p w:rsidRDefault="00806032" w:rsidR="00EA7581" w:rsidRPr="0033314D">
            <w:pPr>
              <w:pStyle w:val="Sadrajitablice"/>
              <w:rPr>
                <w:rFonts w:cs="Times New Roman" w:hAnsi="Times New Roman" w:ascii="Times New Roman"/>
              </w:rPr>
            </w:pPr>
            <w:r w:rsidRPr="0033314D">
              <w:rPr>
                <w:rFonts w:cs="Times New Roman" w:hAnsi="Times New Roman" w:ascii="Times New Roman"/>
              </w:rPr>
              <w:t xml:space="preserve"> 0</w:t>
            </w:r>
          </w:p>
        </w:tc>
        <w:tc>
          <w:tcPr>
            <w:tcW w:type="dxa" w:w="3287"/>
            <w:tcBorders>
              <w:top w:space="0" w:sz="2" w:color="000001" w:val="single"/>
              <w:left w:space="0" w:sz="2" w:color="000001" w:val="single"/>
              <w:bottom w:space="0" w:sz="2" w:color="000001" w:val="single"/>
              <w:right w:space="0" w:sz="2" w:color="000001" w:val="single"/>
            </w:tcBorders>
            <w:shd w:fill="auto" w:color="auto" w:val="clear"/>
            <w:tcMar>
              <w:left w:type="dxa" w:w="42"/>
            </w:tcMar>
          </w:tcPr>
          <w:p w:rsidRDefault="00806032" w:rsidR="00EA7581" w:rsidRPr="0033314D">
            <w:pPr>
              <w:pStyle w:val="Sadrajitablice"/>
              <w:rPr>
                <w:rFonts w:cs="Times New Roman" w:hAnsi="Times New Roman" w:ascii="Times New Roman"/>
              </w:rPr>
            </w:pPr>
            <w:r w:rsidRPr="0033314D">
              <w:rPr>
                <w:rFonts w:cs="Times New Roman" w:hAnsi="Times New Roman" w:ascii="Times New Roman"/>
              </w:rPr>
              <w:t xml:space="preserve">  0</w:t>
            </w:r>
          </w:p>
        </w:tc>
      </w:tr>
      <w:tr w:rsidR="00EA7581" w:rsidRPr="0033314D">
        <w:tc>
          <w:tcPr>
            <w:tcW w:type="dxa" w:w="2892"/>
            <w:tcBorders>
              <w:top w:space="0" w:sz="2" w:color="000001" w:val="single"/>
              <w:left w:space="0" w:sz="2" w:color="000001" w:val="single"/>
              <w:bottom w:space="0" w:sz="2" w:color="000001" w:val="single"/>
            </w:tcBorders>
            <w:shd w:fill="auto" w:color="auto" w:val="clear"/>
            <w:tcMar>
              <w:left w:type="dxa" w:w="42"/>
            </w:tcMar>
          </w:tcPr>
          <w:p w:rsidRDefault="00806032" w:rsidR="00EA7581" w:rsidRPr="0033314D">
            <w:pPr>
              <w:spacing w:lineRule="auto" w:line="240" w:after="0"/>
              <w:jc w:val="both"/>
              <w:rPr>
                <w:rFonts w:cs="Times New Roman" w:hAnsi="Times New Roman" w:ascii="Times New Roman"/>
              </w:rPr>
            </w:pPr>
            <w:r w:rsidRPr="0033314D">
              <w:rPr>
                <w:rFonts w:cs="Times New Roman" w:hAnsi="Times New Roman" w:ascii="Times New Roman"/>
                <w:color w:themeTint="D9" w:themeColor="text1" w:val="262626"/>
                <w:sz w:val="24"/>
                <w:szCs w:val="24"/>
              </w:rPr>
              <w:t>- Preneseni gubitak</w:t>
            </w:r>
          </w:p>
        </w:tc>
        <w:tc>
          <w:tcPr>
            <w:tcW w:type="dxa" w:w="2896"/>
            <w:tcBorders>
              <w:top w:space="0" w:sz="2" w:color="000001" w:val="single"/>
              <w:left w:space="0" w:sz="2" w:color="000001" w:val="single"/>
              <w:bottom w:space="0" w:sz="2" w:color="000001" w:val="single"/>
            </w:tcBorders>
            <w:shd w:fill="auto" w:color="auto" w:val="clear"/>
            <w:tcMar>
              <w:left w:type="dxa" w:w="42"/>
            </w:tcMar>
          </w:tcPr>
          <w:p w:rsidRDefault="00806032" w:rsidR="00EA7581" w:rsidRPr="0033314D">
            <w:pPr>
              <w:pStyle w:val="Sadrajitablice"/>
              <w:rPr>
                <w:rFonts w:cs="Times New Roman" w:hAnsi="Times New Roman" w:ascii="Times New Roman"/>
              </w:rPr>
            </w:pPr>
            <w:r w:rsidRPr="0033314D">
              <w:rPr>
                <w:rFonts w:cs="Times New Roman" w:hAnsi="Times New Roman" w:ascii="Times New Roman"/>
              </w:rPr>
              <w:t xml:space="preserve"> -161.377,00</w:t>
            </w:r>
          </w:p>
        </w:tc>
        <w:tc>
          <w:tcPr>
            <w:tcW w:type="dxa" w:w="3287"/>
            <w:tcBorders>
              <w:top w:space="0" w:sz="2" w:color="000001" w:val="single"/>
              <w:left w:space="0" w:sz="2" w:color="000001" w:val="single"/>
              <w:bottom w:space="0" w:sz="2" w:color="000001" w:val="single"/>
              <w:right w:space="0" w:sz="2" w:color="000001" w:val="single"/>
            </w:tcBorders>
            <w:shd w:fill="auto" w:color="auto" w:val="clear"/>
            <w:tcMar>
              <w:left w:type="dxa" w:w="42"/>
            </w:tcMar>
          </w:tcPr>
          <w:p w:rsidRDefault="00806032" w:rsidR="00EA7581" w:rsidRPr="0033314D">
            <w:pPr>
              <w:pStyle w:val="Sadrajitablice"/>
              <w:rPr>
                <w:rFonts w:cs="Times New Roman" w:hAnsi="Times New Roman" w:ascii="Times New Roman"/>
              </w:rPr>
            </w:pPr>
            <w:r w:rsidRPr="0033314D">
              <w:rPr>
                <w:rFonts w:cs="Times New Roman" w:hAnsi="Times New Roman" w:ascii="Times New Roman"/>
              </w:rPr>
              <w:t xml:space="preserve"> -162.200,00</w:t>
            </w:r>
          </w:p>
        </w:tc>
      </w:tr>
      <w:tr w:rsidR="00EA7581" w:rsidRPr="0033314D">
        <w:tc>
          <w:tcPr>
            <w:tcW w:type="dxa" w:w="2892"/>
            <w:tcBorders>
              <w:top w:space="0" w:sz="2" w:color="000001" w:val="single"/>
              <w:left w:space="0" w:sz="2" w:color="000001" w:val="single"/>
              <w:bottom w:space="0" w:sz="2" w:color="000001" w:val="single"/>
            </w:tcBorders>
            <w:shd w:fill="auto" w:color="auto" w:val="clear"/>
            <w:tcMar>
              <w:left w:type="dxa" w:w="42"/>
            </w:tcMar>
          </w:tcPr>
          <w:p w:rsidRDefault="00806032" w:rsidR="00EA7581" w:rsidRPr="0033314D">
            <w:pPr>
              <w:spacing w:lineRule="auto" w:line="240" w:after="0"/>
              <w:jc w:val="both"/>
              <w:rPr>
                <w:rFonts w:cs="Times New Roman" w:hAnsi="Times New Roman" w:ascii="Times New Roman"/>
              </w:rPr>
            </w:pPr>
            <w:r w:rsidRPr="0033314D">
              <w:rPr>
                <w:rFonts w:cs="Times New Roman" w:hAnsi="Times New Roman" w:ascii="Times New Roman"/>
                <w:color w:themeTint="D9" w:themeColor="text1" w:val="262626"/>
                <w:sz w:val="24"/>
                <w:szCs w:val="24"/>
              </w:rPr>
              <w:t>III. Gubitak poslovne godine</w:t>
            </w:r>
          </w:p>
        </w:tc>
        <w:tc>
          <w:tcPr>
            <w:tcW w:type="dxa" w:w="2896"/>
            <w:tcBorders>
              <w:top w:space="0" w:sz="2" w:color="000001" w:val="single"/>
              <w:left w:space="0" w:sz="2" w:color="000001" w:val="single"/>
              <w:bottom w:space="0" w:sz="2" w:color="000001" w:val="single"/>
            </w:tcBorders>
            <w:shd w:fill="auto" w:color="auto" w:val="clear"/>
            <w:tcMar>
              <w:left w:type="dxa" w:w="42"/>
            </w:tcMar>
          </w:tcPr>
          <w:p w:rsidRDefault="00806032" w:rsidR="00EA7581" w:rsidRPr="0033314D">
            <w:pPr>
              <w:pStyle w:val="Sadrajitablice"/>
              <w:rPr>
                <w:rFonts w:cs="Times New Roman" w:hAnsi="Times New Roman" w:ascii="Times New Roman"/>
              </w:rPr>
            </w:pPr>
            <w:r w:rsidRPr="0033314D">
              <w:rPr>
                <w:rFonts w:cs="Times New Roman" w:hAnsi="Times New Roman" w:ascii="Times New Roman"/>
              </w:rPr>
              <w:t>-864,00</w:t>
            </w:r>
          </w:p>
        </w:tc>
        <w:tc>
          <w:tcPr>
            <w:tcW w:type="dxa" w:w="3287"/>
            <w:tcBorders>
              <w:top w:space="0" w:sz="2" w:color="000001" w:val="single"/>
              <w:left w:space="0" w:sz="2" w:color="000001" w:val="single"/>
              <w:bottom w:space="0" w:sz="2" w:color="000001" w:val="single"/>
              <w:right w:space="0" w:sz="2" w:color="000001" w:val="single"/>
            </w:tcBorders>
            <w:shd w:fill="auto" w:color="auto" w:val="clear"/>
            <w:tcMar>
              <w:left w:type="dxa" w:w="42"/>
            </w:tcMar>
          </w:tcPr>
          <w:p w:rsidRDefault="00806032" w:rsidR="00EA7581" w:rsidRPr="0033314D">
            <w:pPr>
              <w:pStyle w:val="Sadrajitablice"/>
              <w:rPr>
                <w:rFonts w:cs="Times New Roman" w:hAnsi="Times New Roman" w:ascii="Times New Roman"/>
              </w:rPr>
            </w:pPr>
            <w:r w:rsidRPr="0033314D">
              <w:rPr>
                <w:rFonts w:cs="Times New Roman" w:hAnsi="Times New Roman" w:ascii="Times New Roman"/>
              </w:rPr>
              <w:t>-100,00</w:t>
            </w:r>
          </w:p>
        </w:tc>
      </w:tr>
      <w:tr w:rsidR="00EA7581" w:rsidRPr="0033314D">
        <w:tc>
          <w:tcPr>
            <w:tcW w:type="dxa" w:w="2892"/>
            <w:tcBorders>
              <w:top w:space="0" w:sz="2" w:color="000001" w:val="single"/>
              <w:left w:space="0" w:sz="2" w:color="000001" w:val="single"/>
              <w:bottom w:space="0" w:sz="2" w:color="000001" w:val="single"/>
            </w:tcBorders>
            <w:shd w:fill="auto" w:color="auto" w:val="clear"/>
            <w:tcMar>
              <w:left w:type="dxa" w:w="42"/>
            </w:tcMar>
          </w:tcPr>
          <w:p w:rsidRDefault="00806032" w:rsidR="00EA7581" w:rsidRPr="0033314D">
            <w:pPr>
              <w:spacing w:lineRule="auto" w:line="240" w:after="0"/>
              <w:jc w:val="both"/>
              <w:rPr>
                <w:rFonts w:cs="Times New Roman" w:hAnsi="Times New Roman" w:ascii="Times New Roman"/>
              </w:rPr>
            </w:pPr>
            <w:r w:rsidRPr="0033314D">
              <w:rPr>
                <w:rFonts w:cs="Times New Roman" w:hAnsi="Times New Roman" w:ascii="Times New Roman"/>
                <w:color w:themeTint="D9" w:themeColor="text1" w:val="262626"/>
                <w:sz w:val="24"/>
                <w:szCs w:val="24"/>
              </w:rPr>
              <w:t>B) DUGOROČNE OBVEZE</w:t>
            </w:r>
          </w:p>
        </w:tc>
        <w:tc>
          <w:tcPr>
            <w:tcW w:type="dxa" w:w="2896"/>
            <w:tcBorders>
              <w:top w:space="0" w:sz="2" w:color="000001" w:val="single"/>
              <w:left w:space="0" w:sz="2" w:color="000001" w:val="single"/>
              <w:bottom w:space="0" w:sz="2" w:color="000001" w:val="single"/>
            </w:tcBorders>
            <w:shd w:fill="auto" w:color="auto" w:val="clear"/>
            <w:tcMar>
              <w:left w:type="dxa" w:w="42"/>
            </w:tcMar>
          </w:tcPr>
          <w:p w:rsidRDefault="00806032" w:rsidR="00EA7581" w:rsidRPr="0033314D">
            <w:pPr>
              <w:pStyle w:val="Sadrajitablice"/>
              <w:rPr>
                <w:rFonts w:cs="Times New Roman" w:hAnsi="Times New Roman" w:ascii="Times New Roman"/>
              </w:rPr>
            </w:pPr>
            <w:r w:rsidRPr="0033314D">
              <w:rPr>
                <w:rFonts w:cs="Times New Roman" w:hAnsi="Times New Roman" w:ascii="Times New Roman"/>
              </w:rPr>
              <w:t>0</w:t>
            </w:r>
          </w:p>
        </w:tc>
        <w:tc>
          <w:tcPr>
            <w:tcW w:type="dxa" w:w="3287"/>
            <w:tcBorders>
              <w:top w:space="0" w:sz="2" w:color="000001" w:val="single"/>
              <w:left w:space="0" w:sz="2" w:color="000001" w:val="single"/>
              <w:bottom w:space="0" w:sz="2" w:color="000001" w:val="single"/>
              <w:right w:space="0" w:sz="2" w:color="000001" w:val="single"/>
            </w:tcBorders>
            <w:shd w:fill="auto" w:color="auto" w:val="clear"/>
            <w:tcMar>
              <w:left w:type="dxa" w:w="42"/>
            </w:tcMar>
          </w:tcPr>
          <w:p w:rsidRDefault="00806032" w:rsidR="00EA7581" w:rsidRPr="0033314D">
            <w:pPr>
              <w:pStyle w:val="Sadrajitablice"/>
              <w:rPr>
                <w:rFonts w:cs="Times New Roman" w:hAnsi="Times New Roman" w:ascii="Times New Roman"/>
              </w:rPr>
            </w:pPr>
            <w:r w:rsidRPr="0033314D">
              <w:rPr>
                <w:rFonts w:cs="Times New Roman" w:hAnsi="Times New Roman" w:ascii="Times New Roman"/>
              </w:rPr>
              <w:t xml:space="preserve"> 0</w:t>
            </w:r>
          </w:p>
        </w:tc>
      </w:tr>
      <w:tr w:rsidR="00EA7581" w:rsidRPr="0033314D">
        <w:tc>
          <w:tcPr>
            <w:tcW w:type="dxa" w:w="2892"/>
            <w:tcBorders>
              <w:top w:space="0" w:sz="2" w:color="000001" w:val="single"/>
              <w:left w:space="0" w:sz="2" w:color="000001" w:val="single"/>
              <w:bottom w:space="0" w:sz="2" w:color="000001" w:val="single"/>
            </w:tcBorders>
            <w:shd w:fill="auto" w:color="auto" w:val="clear"/>
            <w:tcMar>
              <w:left w:type="dxa" w:w="42"/>
            </w:tcMar>
          </w:tcPr>
          <w:p w:rsidRDefault="00806032" w:rsidR="00EA7581" w:rsidRPr="0033314D">
            <w:pPr>
              <w:spacing w:lineRule="auto" w:line="240" w:after="0"/>
              <w:jc w:val="both"/>
              <w:rPr>
                <w:rFonts w:cs="Times New Roman" w:hAnsi="Times New Roman" w:ascii="Times New Roman"/>
              </w:rPr>
            </w:pPr>
            <w:r w:rsidRPr="0033314D">
              <w:rPr>
                <w:rFonts w:cs="Times New Roman" w:hAnsi="Times New Roman" w:ascii="Times New Roman"/>
                <w:color w:themeTint="D9" w:themeColor="text1" w:val="262626"/>
                <w:sz w:val="24"/>
                <w:szCs w:val="24"/>
              </w:rPr>
              <w:t>C) KRATKOROČNE OBVEZE</w:t>
            </w:r>
          </w:p>
        </w:tc>
        <w:tc>
          <w:tcPr>
            <w:tcW w:type="dxa" w:w="2896"/>
            <w:tcBorders>
              <w:top w:space="0" w:sz="2" w:color="000001" w:val="single"/>
              <w:left w:space="0" w:sz="2" w:color="000001" w:val="single"/>
              <w:bottom w:space="0" w:sz="2" w:color="000001" w:val="single"/>
            </w:tcBorders>
            <w:shd w:fill="auto" w:color="auto" w:val="clear"/>
            <w:tcMar>
              <w:left w:type="dxa" w:w="42"/>
            </w:tcMar>
          </w:tcPr>
          <w:p w:rsidRDefault="00806032" w:rsidR="00EA7581" w:rsidRPr="0033314D">
            <w:pPr>
              <w:pStyle w:val="Sadrajitablice"/>
              <w:rPr>
                <w:rFonts w:cs="Times New Roman" w:hAnsi="Times New Roman" w:ascii="Times New Roman"/>
              </w:rPr>
            </w:pPr>
            <w:r w:rsidRPr="0033314D">
              <w:rPr>
                <w:rFonts w:cs="Times New Roman" w:hAnsi="Times New Roman" w:ascii="Times New Roman"/>
              </w:rPr>
              <w:t xml:space="preserve">405.725,00    </w:t>
            </w:r>
          </w:p>
        </w:tc>
        <w:tc>
          <w:tcPr>
            <w:tcW w:type="dxa" w:w="3287"/>
            <w:tcBorders>
              <w:top w:space="0" w:sz="2" w:color="000001" w:val="single"/>
              <w:left w:space="0" w:sz="2" w:color="000001" w:val="single"/>
              <w:bottom w:space="0" w:sz="2" w:color="000001" w:val="single"/>
              <w:right w:space="0" w:sz="2" w:color="000001" w:val="single"/>
            </w:tcBorders>
            <w:shd w:fill="auto" w:color="auto" w:val="clear"/>
            <w:tcMar>
              <w:left w:type="dxa" w:w="42"/>
            </w:tcMar>
          </w:tcPr>
          <w:p w:rsidRDefault="00806032" w:rsidR="00EA7581" w:rsidRPr="0033314D">
            <w:pPr>
              <w:pStyle w:val="Sadrajitablice"/>
              <w:rPr>
                <w:rFonts w:cs="Times New Roman" w:hAnsi="Times New Roman" w:ascii="Times New Roman"/>
              </w:rPr>
            </w:pPr>
            <w:r w:rsidRPr="0033314D">
              <w:rPr>
                <w:rFonts w:cs="Times New Roman" w:hAnsi="Times New Roman" w:ascii="Times New Roman"/>
              </w:rPr>
              <w:t>406.733,00</w:t>
            </w:r>
          </w:p>
        </w:tc>
      </w:tr>
      <w:tr w:rsidR="00EA7581" w:rsidRPr="0033314D">
        <w:tc>
          <w:tcPr>
            <w:tcW w:type="dxa" w:w="2892"/>
            <w:tcBorders>
              <w:top w:space="0" w:sz="2" w:color="000001" w:val="single"/>
              <w:left w:space="0" w:sz="2" w:color="000001" w:val="single"/>
              <w:bottom w:space="0" w:sz="2" w:color="000001" w:val="single"/>
            </w:tcBorders>
            <w:shd w:fill="auto" w:color="auto" w:val="clear"/>
            <w:tcMar>
              <w:left w:type="dxa" w:w="42"/>
            </w:tcMar>
          </w:tcPr>
          <w:p w:rsidRDefault="00806032" w:rsidR="00EA7581" w:rsidRPr="0033314D">
            <w:pPr>
              <w:spacing w:lineRule="auto" w:line="240" w:after="0"/>
              <w:jc w:val="both"/>
              <w:rPr>
                <w:rFonts w:cs="Times New Roman" w:hAnsi="Times New Roman" w:ascii="Times New Roman"/>
              </w:rPr>
            </w:pPr>
            <w:r w:rsidRPr="0033314D">
              <w:rPr>
                <w:rFonts w:cs="Times New Roman" w:hAnsi="Times New Roman" w:ascii="Times New Roman"/>
                <w:color w:themeTint="D9" w:themeColor="text1" w:val="262626"/>
                <w:sz w:val="24"/>
                <w:szCs w:val="24"/>
              </w:rPr>
              <w:lastRenderedPageBreak/>
              <w:t>III. Obveze prema dobavljačima</w:t>
            </w:r>
          </w:p>
        </w:tc>
        <w:tc>
          <w:tcPr>
            <w:tcW w:type="dxa" w:w="2896"/>
            <w:tcBorders>
              <w:top w:space="0" w:sz="2" w:color="000001" w:val="single"/>
              <w:left w:space="0" w:sz="2" w:color="000001" w:val="single"/>
              <w:bottom w:space="0" w:sz="2" w:color="000001" w:val="single"/>
            </w:tcBorders>
            <w:shd w:fill="auto" w:color="auto" w:val="clear"/>
            <w:tcMar>
              <w:left w:type="dxa" w:w="42"/>
            </w:tcMar>
          </w:tcPr>
          <w:p w:rsidRDefault="00806032" w:rsidR="00EA7581" w:rsidRPr="0033314D">
            <w:pPr>
              <w:pStyle w:val="Sadrajitablice"/>
              <w:rPr>
                <w:rFonts w:cs="Times New Roman" w:hAnsi="Times New Roman" w:ascii="Times New Roman"/>
              </w:rPr>
            </w:pPr>
            <w:r w:rsidRPr="0033314D">
              <w:rPr>
                <w:rFonts w:cs="Times New Roman" w:hAnsi="Times New Roman" w:ascii="Times New Roman"/>
              </w:rPr>
              <w:t>146.187,00</w:t>
            </w:r>
          </w:p>
        </w:tc>
        <w:tc>
          <w:tcPr>
            <w:tcW w:type="dxa" w:w="3287"/>
            <w:tcBorders>
              <w:top w:space="0" w:sz="2" w:color="000001" w:val="single"/>
              <w:left w:space="0" w:sz="2" w:color="000001" w:val="single"/>
              <w:bottom w:space="0" w:sz="2" w:color="000001" w:val="single"/>
              <w:right w:space="0" w:sz="2" w:color="000001" w:val="single"/>
            </w:tcBorders>
            <w:shd w:fill="auto" w:color="auto" w:val="clear"/>
            <w:tcMar>
              <w:left w:type="dxa" w:w="42"/>
            </w:tcMar>
          </w:tcPr>
          <w:p w:rsidRDefault="00806032" w:rsidR="00EA7581" w:rsidRPr="0033314D">
            <w:pPr>
              <w:pStyle w:val="Sadrajitablice"/>
              <w:rPr>
                <w:rFonts w:cs="Times New Roman" w:hAnsi="Times New Roman" w:ascii="Times New Roman"/>
              </w:rPr>
            </w:pPr>
            <w:r w:rsidRPr="0033314D">
              <w:rPr>
                <w:rFonts w:cs="Times New Roman" w:hAnsi="Times New Roman" w:ascii="Times New Roman"/>
              </w:rPr>
              <w:t xml:space="preserve"> 146.187,00</w:t>
            </w:r>
          </w:p>
        </w:tc>
      </w:tr>
      <w:tr w:rsidR="00EA7581" w:rsidRPr="0033314D">
        <w:tc>
          <w:tcPr>
            <w:tcW w:type="dxa" w:w="2892"/>
            <w:tcBorders>
              <w:top w:space="0" w:sz="2" w:color="000001" w:val="single"/>
              <w:left w:space="0" w:sz="2" w:color="000001" w:val="single"/>
              <w:bottom w:space="0" w:sz="2" w:color="000001" w:val="single"/>
            </w:tcBorders>
            <w:shd w:fill="auto" w:color="auto" w:val="clear"/>
            <w:tcMar>
              <w:left w:type="dxa" w:w="42"/>
            </w:tcMar>
          </w:tcPr>
          <w:p w:rsidRDefault="00806032" w:rsidR="00EA7581" w:rsidRPr="0033314D">
            <w:pPr>
              <w:spacing w:lineRule="auto" w:line="240" w:after="0"/>
              <w:jc w:val="both"/>
              <w:rPr>
                <w:rFonts w:cs="Times New Roman" w:hAnsi="Times New Roman" w:ascii="Times New Roman"/>
              </w:rPr>
            </w:pPr>
            <w:r w:rsidRPr="0033314D">
              <w:rPr>
                <w:rFonts w:cs="Times New Roman" w:hAnsi="Times New Roman" w:ascii="Times New Roman"/>
                <w:color w:themeTint="D9" w:themeColor="text1" w:val="262626"/>
                <w:sz w:val="24"/>
                <w:szCs w:val="24"/>
              </w:rPr>
              <w:t>IV. Obveze prema zaposlenicima</w:t>
            </w:r>
          </w:p>
        </w:tc>
        <w:tc>
          <w:tcPr>
            <w:tcW w:type="dxa" w:w="2896"/>
            <w:tcBorders>
              <w:top w:space="0" w:sz="2" w:color="000001" w:val="single"/>
              <w:left w:space="0" w:sz="2" w:color="000001" w:val="single"/>
              <w:bottom w:space="0" w:sz="2" w:color="000001" w:val="single"/>
            </w:tcBorders>
            <w:shd w:fill="auto" w:color="auto" w:val="clear"/>
            <w:tcMar>
              <w:left w:type="dxa" w:w="42"/>
            </w:tcMar>
          </w:tcPr>
          <w:p w:rsidRDefault="00806032" w:rsidR="00EA7581" w:rsidRPr="0033314D">
            <w:pPr>
              <w:pStyle w:val="Sadrajitablice"/>
              <w:rPr>
                <w:rFonts w:cs="Times New Roman" w:hAnsi="Times New Roman" w:ascii="Times New Roman"/>
              </w:rPr>
            </w:pPr>
            <w:r w:rsidRPr="0033314D">
              <w:rPr>
                <w:rFonts w:cs="Times New Roman" w:hAnsi="Times New Roman" w:ascii="Times New Roman"/>
              </w:rPr>
              <w:t>0</w:t>
            </w:r>
          </w:p>
        </w:tc>
        <w:tc>
          <w:tcPr>
            <w:tcW w:type="dxa" w:w="3287"/>
            <w:tcBorders>
              <w:top w:space="0" w:sz="2" w:color="000001" w:val="single"/>
              <w:left w:space="0" w:sz="2" w:color="000001" w:val="single"/>
              <w:bottom w:space="0" w:sz="2" w:color="000001" w:val="single"/>
              <w:right w:space="0" w:sz="2" w:color="000001" w:val="single"/>
            </w:tcBorders>
            <w:shd w:fill="auto" w:color="auto" w:val="clear"/>
            <w:tcMar>
              <w:left w:type="dxa" w:w="42"/>
            </w:tcMar>
          </w:tcPr>
          <w:p w:rsidRDefault="00806032" w:rsidR="00EA7581" w:rsidRPr="0033314D">
            <w:pPr>
              <w:pStyle w:val="Sadrajitablice"/>
              <w:rPr>
                <w:rFonts w:cs="Times New Roman" w:hAnsi="Times New Roman" w:ascii="Times New Roman"/>
              </w:rPr>
            </w:pPr>
            <w:r w:rsidRPr="0033314D">
              <w:rPr>
                <w:rFonts w:cs="Times New Roman" w:hAnsi="Times New Roman" w:ascii="Times New Roman"/>
              </w:rPr>
              <w:t>0</w:t>
            </w:r>
          </w:p>
        </w:tc>
      </w:tr>
      <w:tr w:rsidR="00EA7581" w:rsidRPr="0033314D">
        <w:tc>
          <w:tcPr>
            <w:tcW w:type="dxa" w:w="2892"/>
            <w:tcBorders>
              <w:top w:space="0" w:sz="2" w:color="000001" w:val="single"/>
              <w:left w:space="0" w:sz="2" w:color="000001" w:val="single"/>
              <w:bottom w:space="0" w:sz="2" w:color="000001" w:val="single"/>
            </w:tcBorders>
            <w:shd w:fill="auto" w:color="auto" w:val="clear"/>
            <w:tcMar>
              <w:left w:type="dxa" w:w="42"/>
            </w:tcMar>
          </w:tcPr>
          <w:p w:rsidRDefault="00806032" w:rsidR="00EA7581" w:rsidRPr="0033314D">
            <w:pPr>
              <w:spacing w:lineRule="auto" w:line="240" w:after="0"/>
              <w:jc w:val="both"/>
              <w:rPr>
                <w:rFonts w:cs="Times New Roman" w:hAnsi="Times New Roman" w:ascii="Times New Roman"/>
              </w:rPr>
            </w:pPr>
            <w:r w:rsidRPr="0033314D">
              <w:rPr>
                <w:rFonts w:cs="Times New Roman" w:hAnsi="Times New Roman" w:ascii="Times New Roman"/>
                <w:color w:themeTint="D9" w:themeColor="text1" w:val="262626"/>
                <w:sz w:val="24"/>
                <w:szCs w:val="24"/>
              </w:rPr>
              <w:t>V. Obveze za poreze/dopr.</w:t>
            </w:r>
          </w:p>
        </w:tc>
        <w:tc>
          <w:tcPr>
            <w:tcW w:type="dxa" w:w="2896"/>
            <w:tcBorders>
              <w:top w:space="0" w:sz="2" w:color="000001" w:val="single"/>
              <w:left w:space="0" w:sz="2" w:color="000001" w:val="single"/>
              <w:bottom w:space="0" w:sz="2" w:color="000001" w:val="single"/>
            </w:tcBorders>
            <w:shd w:fill="auto" w:color="auto" w:val="clear"/>
            <w:tcMar>
              <w:left w:type="dxa" w:w="42"/>
            </w:tcMar>
          </w:tcPr>
          <w:p w:rsidRDefault="00806032" w:rsidR="00EA7581" w:rsidRPr="0033314D">
            <w:pPr>
              <w:pStyle w:val="Sadrajitablice"/>
              <w:rPr>
                <w:rFonts w:cs="Times New Roman" w:hAnsi="Times New Roman" w:ascii="Times New Roman"/>
              </w:rPr>
            </w:pPr>
            <w:r w:rsidRPr="0033314D">
              <w:rPr>
                <w:rFonts w:cs="Times New Roman" w:hAnsi="Times New Roman" w:ascii="Times New Roman"/>
              </w:rPr>
              <w:t>257.342,00</w:t>
            </w:r>
          </w:p>
        </w:tc>
        <w:tc>
          <w:tcPr>
            <w:tcW w:type="dxa" w:w="3287"/>
            <w:tcBorders>
              <w:top w:space="0" w:sz="2" w:color="000001" w:val="single"/>
              <w:left w:space="0" w:sz="2" w:color="000001" w:val="single"/>
              <w:bottom w:space="0" w:sz="2" w:color="000001" w:val="single"/>
              <w:right w:space="0" w:sz="2" w:color="000001" w:val="single"/>
            </w:tcBorders>
            <w:shd w:fill="auto" w:color="auto" w:val="clear"/>
            <w:tcMar>
              <w:left w:type="dxa" w:w="42"/>
            </w:tcMar>
          </w:tcPr>
          <w:p w:rsidRDefault="00806032" w:rsidR="00EA7581" w:rsidRPr="0033314D">
            <w:pPr>
              <w:pStyle w:val="Sadrajitablice"/>
              <w:rPr>
                <w:rFonts w:cs="Times New Roman" w:hAnsi="Times New Roman" w:ascii="Times New Roman"/>
              </w:rPr>
            </w:pPr>
            <w:r w:rsidRPr="0033314D">
              <w:rPr>
                <w:rFonts w:cs="Times New Roman" w:hAnsi="Times New Roman" w:ascii="Times New Roman"/>
              </w:rPr>
              <w:t>257.342,00</w:t>
            </w:r>
          </w:p>
        </w:tc>
      </w:tr>
      <w:tr w:rsidR="00EA7581" w:rsidRPr="0033314D">
        <w:tc>
          <w:tcPr>
            <w:tcW w:type="dxa" w:w="2892"/>
            <w:tcBorders>
              <w:top w:space="0" w:sz="2" w:color="000001" w:val="single"/>
              <w:left w:space="0" w:sz="2" w:color="000001" w:val="single"/>
              <w:bottom w:space="0" w:sz="2" w:color="000001" w:val="single"/>
            </w:tcBorders>
            <w:shd w:fill="auto" w:color="auto" w:val="clear"/>
            <w:tcMar>
              <w:left w:type="dxa" w:w="42"/>
            </w:tcMar>
          </w:tcPr>
          <w:p w:rsidRDefault="00806032" w:rsidR="00EA7581" w:rsidRPr="0033314D">
            <w:pPr>
              <w:spacing w:lineRule="auto" w:line="240" w:after="0"/>
              <w:jc w:val="both"/>
              <w:rPr>
                <w:rFonts w:cs="Times New Roman" w:hAnsi="Times New Roman" w:ascii="Times New Roman"/>
              </w:rPr>
            </w:pPr>
            <w:r w:rsidRPr="0033314D">
              <w:rPr>
                <w:rFonts w:cs="Times New Roman" w:hAnsi="Times New Roman" w:ascii="Times New Roman"/>
                <w:color w:themeTint="D9" w:themeColor="text1" w:val="262626"/>
                <w:sz w:val="24"/>
                <w:szCs w:val="24"/>
              </w:rPr>
              <w:t>VI. Ostale obveze</w:t>
            </w:r>
          </w:p>
        </w:tc>
        <w:tc>
          <w:tcPr>
            <w:tcW w:type="dxa" w:w="2896"/>
            <w:tcBorders>
              <w:top w:space="0" w:sz="2" w:color="000001" w:val="single"/>
              <w:left w:space="0" w:sz="2" w:color="000001" w:val="single"/>
              <w:bottom w:space="0" w:sz="2" w:color="000001" w:val="single"/>
            </w:tcBorders>
            <w:shd w:fill="auto" w:color="auto" w:val="clear"/>
            <w:tcMar>
              <w:left w:type="dxa" w:w="42"/>
            </w:tcMar>
          </w:tcPr>
          <w:p w:rsidRDefault="00806032" w:rsidR="00EA7581" w:rsidRPr="0033314D">
            <w:pPr>
              <w:pStyle w:val="Sadrajitablice"/>
              <w:rPr>
                <w:rFonts w:cs="Times New Roman" w:hAnsi="Times New Roman" w:ascii="Times New Roman"/>
              </w:rPr>
            </w:pPr>
            <w:r w:rsidRPr="0033314D">
              <w:rPr>
                <w:rFonts w:cs="Times New Roman" w:hAnsi="Times New Roman" w:ascii="Times New Roman"/>
              </w:rPr>
              <w:t>2.196,00</w:t>
            </w:r>
          </w:p>
        </w:tc>
        <w:tc>
          <w:tcPr>
            <w:tcW w:type="dxa" w:w="3287"/>
            <w:tcBorders>
              <w:top w:space="0" w:sz="2" w:color="000001" w:val="single"/>
              <w:left w:space="0" w:sz="2" w:color="000001" w:val="single"/>
              <w:bottom w:space="0" w:sz="2" w:color="000001" w:val="single"/>
              <w:right w:space="0" w:sz="2" w:color="000001" w:val="single"/>
            </w:tcBorders>
            <w:shd w:fill="auto" w:color="auto" w:val="clear"/>
            <w:tcMar>
              <w:left w:type="dxa" w:w="42"/>
            </w:tcMar>
          </w:tcPr>
          <w:p w:rsidRDefault="00806032" w:rsidR="00EA7581" w:rsidRPr="0033314D">
            <w:pPr>
              <w:pStyle w:val="Sadrajitablice"/>
              <w:rPr>
                <w:rFonts w:cs="Times New Roman" w:hAnsi="Times New Roman" w:ascii="Times New Roman"/>
              </w:rPr>
            </w:pPr>
            <w:r w:rsidRPr="0033314D">
              <w:rPr>
                <w:rFonts w:cs="Times New Roman" w:hAnsi="Times New Roman" w:ascii="Times New Roman"/>
              </w:rPr>
              <w:t xml:space="preserve"> 3.204,00</w:t>
            </w:r>
          </w:p>
        </w:tc>
      </w:tr>
      <w:tr w:rsidR="00EA7581" w:rsidRPr="0033314D">
        <w:tc>
          <w:tcPr>
            <w:tcW w:type="dxa" w:w="2892"/>
            <w:tcBorders>
              <w:top w:space="0" w:sz="2" w:color="000001" w:val="single"/>
              <w:left w:space="0" w:sz="2" w:color="000001" w:val="single"/>
              <w:bottom w:space="0" w:sz="2" w:color="000001" w:val="single"/>
            </w:tcBorders>
            <w:shd w:fill="auto" w:color="auto" w:val="clear"/>
            <w:tcMar>
              <w:left w:type="dxa" w:w="42"/>
            </w:tcMar>
          </w:tcPr>
          <w:p w:rsidRDefault="00806032" w:rsidR="00EA7581" w:rsidRPr="0033314D">
            <w:pPr>
              <w:spacing w:lineRule="auto" w:line="240" w:after="0"/>
              <w:jc w:val="both"/>
              <w:rPr>
                <w:rFonts w:cs="Times New Roman" w:hAnsi="Times New Roman" w:ascii="Times New Roman"/>
              </w:rPr>
            </w:pPr>
            <w:r w:rsidRPr="0033314D">
              <w:rPr>
                <w:rFonts w:cs="Times New Roman" w:hAnsi="Times New Roman" w:ascii="Times New Roman"/>
                <w:b/>
                <w:bCs/>
                <w:color w:themeTint="D9" w:themeColor="text1" w:val="262626"/>
                <w:sz w:val="24"/>
                <w:szCs w:val="24"/>
                <w:shd w:fill="FFFFFF" w:color="auto" w:val="clear"/>
              </w:rPr>
              <w:t>UKUPNO-PASIVA</w:t>
            </w:r>
          </w:p>
        </w:tc>
        <w:tc>
          <w:tcPr>
            <w:tcW w:type="dxa" w:w="2896"/>
            <w:tcBorders>
              <w:top w:space="0" w:sz="2" w:color="000001" w:val="single"/>
              <w:left w:space="0" w:sz="2" w:color="000001" w:val="single"/>
              <w:bottom w:space="0" w:sz="2" w:color="000001" w:val="single"/>
            </w:tcBorders>
            <w:shd w:fill="auto" w:color="auto" w:val="clear"/>
            <w:tcMar>
              <w:left w:type="dxa" w:w="42"/>
            </w:tcMar>
          </w:tcPr>
          <w:p w:rsidRDefault="00806032" w:rsidR="00EA7581" w:rsidRPr="00D71035">
            <w:pPr>
              <w:pStyle w:val="Sadrajitablice"/>
              <w:rPr>
                <w:rFonts w:cs="Times New Roman" w:hAnsi="Times New Roman" w:ascii="Times New Roman"/>
              </w:rPr>
            </w:pPr>
            <w:r w:rsidRPr="00D71035">
              <w:rPr>
                <w:rFonts w:cs="Times New Roman" w:hAnsi="Times New Roman" w:ascii="Times New Roman"/>
                <w:b/>
                <w:bCs/>
                <w:iCs/>
              </w:rPr>
              <w:t>263.484,00</w:t>
            </w:r>
          </w:p>
        </w:tc>
        <w:tc>
          <w:tcPr>
            <w:tcW w:type="dxa" w:w="3287"/>
            <w:tcBorders>
              <w:top w:space="0" w:sz="2" w:color="000001" w:val="single"/>
              <w:left w:space="0" w:sz="2" w:color="000001" w:val="single"/>
              <w:bottom w:space="0" w:sz="2" w:color="000001" w:val="single"/>
              <w:right w:space="0" w:sz="2" w:color="000001" w:val="single"/>
            </w:tcBorders>
            <w:shd w:fill="auto" w:color="auto" w:val="clear"/>
            <w:tcMar>
              <w:left w:type="dxa" w:w="42"/>
            </w:tcMar>
          </w:tcPr>
          <w:p w:rsidRDefault="00806032" w:rsidR="00EA7581" w:rsidRPr="00D71035">
            <w:pPr>
              <w:pStyle w:val="Sadrajitablice"/>
              <w:rPr>
                <w:rFonts w:cs="Times New Roman" w:hAnsi="Times New Roman" w:ascii="Times New Roman"/>
              </w:rPr>
            </w:pPr>
            <w:r w:rsidRPr="00D71035">
              <w:rPr>
                <w:rFonts w:cs="Times New Roman" w:hAnsi="Times New Roman" w:ascii="Times New Roman"/>
                <w:b/>
                <w:bCs/>
                <w:iCs/>
              </w:rPr>
              <w:t>263.484,00</w:t>
            </w:r>
          </w:p>
        </w:tc>
      </w:tr>
    </w:tbl>
    <w:p w:rsidRDefault="00EA7581" w:rsidR="00EA7581" w:rsidRPr="0033314D">
      <w:pPr>
        <w:jc w:val="both"/>
        <w:rPr>
          <w:rFonts w:cs="Times New Roman" w:hAnsi="Times New Roman" w:ascii="Times New Roman"/>
          <w:b/>
          <w:i/>
          <w:color w:themeTint="D9" w:themeColor="text1" w:val="262626"/>
          <w:sz w:val="24"/>
          <w:szCs w:val="24"/>
          <w:u w:val="single"/>
        </w:rPr>
      </w:pPr>
    </w:p>
    <w:p w:rsidRDefault="00806032" w:rsidR="00EA7581" w:rsidRPr="00151FFE">
      <w:pPr>
        <w:jc w:val="both"/>
        <w:rPr>
          <w:rFonts w:cs="Times New Roman" w:hAnsi="Times New Roman" w:ascii="Times New Roman"/>
        </w:rPr>
      </w:pPr>
      <w:r w:rsidRPr="00151FFE">
        <w:rPr>
          <w:rFonts w:cs="Times New Roman" w:hAnsi="Times New Roman" w:ascii="Times New Roman"/>
          <w:b/>
          <w:color w:themeTint="D9" w:themeColor="text1" w:val="262626"/>
          <w:sz w:val="24"/>
          <w:szCs w:val="24"/>
        </w:rPr>
        <w:t>3.2.3. DUGOTRAJNA IMOVINA</w:t>
      </w:r>
    </w:p>
    <w:p w:rsidRDefault="00806032" w:rsidR="00EA7581" w:rsidRPr="0033314D">
      <w:pPr>
        <w:jc w:val="both"/>
        <w:rPr>
          <w:rFonts w:cs="Times New Roman" w:hAnsi="Times New Roman" w:ascii="Times New Roman"/>
        </w:rPr>
      </w:pPr>
      <w:r w:rsidRPr="0033314D">
        <w:rPr>
          <w:rFonts w:cs="Times New Roman" w:hAnsi="Times New Roman" w:ascii="Times New Roman"/>
          <w:color w:themeTint="D9" w:themeColor="text1" w:val="262626"/>
          <w:sz w:val="24"/>
          <w:szCs w:val="24"/>
        </w:rPr>
        <w:t xml:space="preserve">Iako nisu iskazani u Bilanci, </w:t>
      </w:r>
      <w:r w:rsidR="00151FFE">
        <w:rPr>
          <w:rFonts w:cs="Times New Roman" w:hAnsi="Times New Roman" w:ascii="Times New Roman"/>
          <w:color w:themeTint="D9" w:themeColor="text1" w:val="262626"/>
          <w:sz w:val="24"/>
          <w:szCs w:val="24"/>
        </w:rPr>
        <w:t xml:space="preserve">prethodna </w:t>
      </w:r>
      <w:r w:rsidRPr="0033314D">
        <w:rPr>
          <w:rFonts w:cs="Times New Roman" w:hAnsi="Times New Roman" w:ascii="Times New Roman"/>
          <w:color w:themeTint="D9" w:themeColor="text1" w:val="262626"/>
          <w:sz w:val="24"/>
          <w:szCs w:val="24"/>
        </w:rPr>
        <w:t>stečajna upraviteljica je podatke o imovini u vlasništvu stečajnog dužnika pribavila na temelju podataka zemljišno-knjižnog odjela Zagreb iz kojih je razvidno da stečajni dužnik ima u vlasništvu slijedeću imovinu:</w:t>
      </w:r>
    </w:p>
    <w:tbl>
      <w:tblPr>
        <w:tblW w:type="dxa" w:w="9360"/>
        <w:tblBorders>
          <w:top w:space="0" w:sz="2" w:color="000000" w:val="single"/>
          <w:left w:space="0" w:sz="2" w:color="000000" w:val="single"/>
          <w:bottom w:space="0" w:sz="2" w:color="000000" w:val="single"/>
          <w:insideH w:space="0" w:sz="2" w:color="000000" w:val="single"/>
        </w:tblBorders>
        <w:tblCellMar>
          <w:top w:type="dxa" w:w="55"/>
          <w:left w:type="dxa" w:w="54"/>
          <w:bottom w:type="dxa" w:w="55"/>
          <w:right w:type="dxa" w:w="55"/>
        </w:tblCellMar>
        <w:tblLook w:val="04A0" w:noVBand="1" w:noHBand="0" w:lastColumn="0" w:firstColumn="1" w:lastRow="0" w:firstRow="1"/>
      </w:tblPr>
      <w:tblGrid>
        <w:gridCol w:w="795"/>
        <w:gridCol w:w="3915"/>
        <w:gridCol w:w="2775"/>
        <w:gridCol w:w="1875"/>
      </w:tblGrid>
      <w:tr w:rsidR="00EA7581" w:rsidRPr="0033314D">
        <w:tc>
          <w:tcPr>
            <w:tcW w:type="dxa" w:w="795"/>
            <w:tcBorders>
              <w:top w:space="0" w:sz="2" w:color="000000" w:val="single"/>
              <w:left w:space="0" w:sz="2" w:color="000000" w:val="single"/>
              <w:bottom w:space="0" w:sz="2" w:color="000000" w:val="single"/>
            </w:tcBorders>
            <w:shd w:fill="auto" w:color="auto" w:val="clear"/>
            <w:tcMar>
              <w:left w:type="dxa" w:w="54"/>
            </w:tcMar>
          </w:tcPr>
          <w:p w:rsidRDefault="00806032" w:rsidR="00EA7581" w:rsidRPr="0033314D">
            <w:pPr>
              <w:pStyle w:val="Sadrajitablice"/>
              <w:rPr>
                <w:rFonts w:cs="Times New Roman" w:hAnsi="Times New Roman" w:ascii="Times New Roman"/>
                <w:b/>
                <w:bCs/>
              </w:rPr>
            </w:pPr>
            <w:r w:rsidRPr="0033314D">
              <w:rPr>
                <w:rFonts w:cs="Times New Roman" w:hAnsi="Times New Roman" w:ascii="Times New Roman"/>
                <w:b/>
                <w:bCs/>
              </w:rPr>
              <w:t>Redni broj</w:t>
            </w:r>
          </w:p>
        </w:tc>
        <w:tc>
          <w:tcPr>
            <w:tcW w:type="dxa" w:w="3915"/>
            <w:tcBorders>
              <w:top w:space="0" w:sz="2" w:color="000000" w:val="single"/>
              <w:left w:space="0" w:sz="2" w:color="000000" w:val="single"/>
              <w:bottom w:space="0" w:sz="2" w:color="000000" w:val="single"/>
            </w:tcBorders>
            <w:shd w:fill="auto" w:color="auto" w:val="clear"/>
            <w:tcMar>
              <w:left w:type="dxa" w:w="54"/>
            </w:tcMar>
          </w:tcPr>
          <w:p w:rsidRDefault="00806032" w:rsidR="00EA7581" w:rsidRPr="0033314D">
            <w:pPr>
              <w:pStyle w:val="Sadrajitablice"/>
              <w:rPr>
                <w:rFonts w:cs="Times New Roman" w:hAnsi="Times New Roman" w:ascii="Times New Roman"/>
                <w:b/>
                <w:bCs/>
              </w:rPr>
            </w:pPr>
            <w:r w:rsidRPr="0033314D">
              <w:rPr>
                <w:rFonts w:cs="Times New Roman" w:hAnsi="Times New Roman" w:ascii="Times New Roman"/>
                <w:b/>
                <w:bCs/>
              </w:rPr>
              <w:t>Predmet stečajne mase</w:t>
            </w:r>
          </w:p>
        </w:tc>
        <w:tc>
          <w:tcPr>
            <w:tcW w:type="dxa" w:w="2775"/>
            <w:tcBorders>
              <w:top w:space="0" w:sz="2" w:color="000000" w:val="single"/>
              <w:left w:space="0" w:sz="2" w:color="000000" w:val="single"/>
              <w:bottom w:space="0" w:sz="2" w:color="000000" w:val="single"/>
            </w:tcBorders>
            <w:shd w:fill="auto" w:color="auto" w:val="clear"/>
            <w:tcMar>
              <w:left w:type="dxa" w:w="54"/>
            </w:tcMar>
          </w:tcPr>
          <w:p w:rsidRDefault="00806032" w:rsidR="00EA7581" w:rsidRPr="0033314D">
            <w:pPr>
              <w:pStyle w:val="Sadrajitablice"/>
              <w:rPr>
                <w:rFonts w:cs="Times New Roman" w:hAnsi="Times New Roman" w:ascii="Times New Roman"/>
                <w:b/>
                <w:bCs/>
              </w:rPr>
            </w:pPr>
            <w:r w:rsidRPr="0033314D">
              <w:rPr>
                <w:rFonts w:cs="Times New Roman" w:hAnsi="Times New Roman" w:ascii="Times New Roman"/>
                <w:b/>
                <w:bCs/>
              </w:rPr>
              <w:t>Upisani tereti</w:t>
            </w:r>
          </w:p>
        </w:tc>
        <w:tc>
          <w:tcPr>
            <w:tcW w:type="dxa" w:w="1875"/>
            <w:tcBorders>
              <w:top w:space="0" w:sz="2" w:color="000000" w:val="single"/>
              <w:left w:space="0" w:sz="2" w:color="000000" w:val="single"/>
              <w:bottom w:space="0" w:sz="2" w:color="000000" w:val="single"/>
              <w:right w:space="0" w:sz="2" w:color="000000" w:val="single"/>
            </w:tcBorders>
            <w:shd w:fill="auto" w:color="auto" w:val="clear"/>
            <w:tcMar>
              <w:left w:type="dxa" w:w="54"/>
            </w:tcMar>
          </w:tcPr>
          <w:p w:rsidRDefault="00806032" w:rsidR="00EA7581" w:rsidRPr="0033314D">
            <w:pPr>
              <w:pStyle w:val="Sadrajitablice"/>
              <w:rPr>
                <w:rFonts w:cs="Times New Roman" w:hAnsi="Times New Roman" w:ascii="Times New Roman"/>
                <w:b/>
                <w:bCs/>
              </w:rPr>
            </w:pPr>
            <w:r w:rsidRPr="0033314D">
              <w:rPr>
                <w:rFonts w:cs="Times New Roman" w:hAnsi="Times New Roman" w:ascii="Times New Roman"/>
                <w:b/>
                <w:bCs/>
              </w:rPr>
              <w:t>Vrijednost</w:t>
            </w:r>
          </w:p>
        </w:tc>
      </w:tr>
      <w:tr w:rsidR="00EA7581" w:rsidRPr="0033314D">
        <w:tc>
          <w:tcPr>
            <w:tcW w:type="dxa" w:w="795"/>
            <w:tcBorders>
              <w:left w:space="0" w:sz="2" w:color="000000" w:val="single"/>
              <w:bottom w:space="0" w:sz="2" w:color="000000" w:val="single"/>
            </w:tcBorders>
            <w:shd w:fill="auto" w:color="auto" w:val="clear"/>
            <w:tcMar>
              <w:left w:type="dxa" w:w="54"/>
            </w:tcMar>
          </w:tcPr>
          <w:p w:rsidRDefault="00806032" w:rsidR="00EA7581" w:rsidRPr="0033314D">
            <w:pPr>
              <w:pStyle w:val="Sadrajitablice"/>
              <w:rPr>
                <w:rFonts w:cs="Times New Roman" w:hAnsi="Times New Roman" w:ascii="Times New Roman"/>
              </w:rPr>
            </w:pPr>
            <w:r w:rsidRPr="0033314D">
              <w:rPr>
                <w:rFonts w:cs="Times New Roman" w:hAnsi="Times New Roman" w:ascii="Times New Roman"/>
              </w:rPr>
              <w:t>1.</w:t>
            </w:r>
          </w:p>
        </w:tc>
        <w:tc>
          <w:tcPr>
            <w:tcW w:type="dxa" w:w="3915"/>
            <w:tcBorders>
              <w:left w:space="0" w:sz="2" w:color="000000" w:val="single"/>
              <w:bottom w:space="0" w:sz="2" w:color="000000" w:val="single"/>
            </w:tcBorders>
            <w:shd w:fill="auto" w:color="auto" w:val="clear"/>
            <w:tcMar>
              <w:left w:type="dxa" w:w="54"/>
            </w:tcMar>
          </w:tcPr>
          <w:p w:rsidRDefault="00806032" w:rsidR="00EA7581" w:rsidRPr="0033314D">
            <w:pPr>
              <w:jc w:val="both"/>
              <w:rPr>
                <w:rFonts w:cs="Times New Roman" w:hAnsi="Times New Roman" w:ascii="Times New Roman"/>
              </w:rPr>
            </w:pPr>
            <w:r w:rsidRPr="0033314D">
              <w:rPr>
                <w:rFonts w:cs="Times New Roman" w:hAnsi="Times New Roman" w:ascii="Times New Roman"/>
                <w:color w:themeTint="D9" w:themeColor="text1" w:val="262626"/>
                <w:sz w:val="24"/>
                <w:szCs w:val="24"/>
              </w:rPr>
              <w:t>nekretnina oznake k.č. 1928/2 K.o. Šestine, upisana u Z.k.ul. 10058 K.o. Šestine, u naravi /put Bijeniku površine 147 m2</w:t>
            </w:r>
          </w:p>
        </w:tc>
        <w:tc>
          <w:tcPr>
            <w:tcW w:type="dxa" w:w="2775"/>
            <w:tcBorders>
              <w:left w:space="0" w:sz="2" w:color="000000" w:val="single"/>
              <w:bottom w:space="0" w:sz="2" w:color="000000" w:val="single"/>
            </w:tcBorders>
            <w:shd w:fill="auto" w:color="auto" w:val="clear"/>
            <w:tcMar>
              <w:left w:type="dxa" w:w="54"/>
            </w:tcMar>
          </w:tcPr>
          <w:p w:rsidRDefault="00806032" w:rsidR="00EA7581" w:rsidRPr="0033314D">
            <w:pPr>
              <w:pStyle w:val="Sadrajitablice"/>
              <w:rPr>
                <w:rFonts w:cs="Times New Roman" w:hAnsi="Times New Roman" w:ascii="Times New Roman"/>
              </w:rPr>
            </w:pPr>
            <w:r w:rsidRPr="0033314D">
              <w:rPr>
                <w:rFonts w:cs="Times New Roman" w:hAnsi="Times New Roman" w:ascii="Times New Roman"/>
              </w:rPr>
              <w:t>-</w:t>
            </w:r>
          </w:p>
        </w:tc>
        <w:tc>
          <w:tcPr>
            <w:tcW w:type="dxa" w:w="1875"/>
            <w:tcBorders>
              <w:left w:space="0" w:sz="2" w:color="000000" w:val="single"/>
              <w:bottom w:space="0" w:sz="2" w:color="000000" w:val="single"/>
              <w:right w:space="0" w:sz="2" w:color="000000" w:val="single"/>
            </w:tcBorders>
            <w:shd w:fill="auto" w:color="auto" w:val="clear"/>
            <w:tcMar>
              <w:left w:type="dxa" w:w="54"/>
            </w:tcMar>
          </w:tcPr>
          <w:p w:rsidRDefault="00806032" w:rsidR="00EA7581" w:rsidRPr="0033314D">
            <w:pPr>
              <w:pStyle w:val="Sadrajitablice"/>
              <w:rPr>
                <w:rFonts w:cs="Times New Roman" w:hAnsi="Times New Roman" w:ascii="Times New Roman"/>
              </w:rPr>
            </w:pPr>
            <w:r w:rsidRPr="0033314D">
              <w:rPr>
                <w:rFonts w:cs="Times New Roman" w:hAnsi="Times New Roman" w:ascii="Times New Roman"/>
              </w:rPr>
              <w:t>- nije iskazana</w:t>
            </w:r>
          </w:p>
        </w:tc>
      </w:tr>
      <w:tr w:rsidR="00EA7581" w:rsidRPr="0033314D">
        <w:tc>
          <w:tcPr>
            <w:tcW w:type="dxa" w:w="795"/>
            <w:tcBorders>
              <w:left w:space="0" w:sz="2" w:color="000000" w:val="single"/>
              <w:bottom w:space="0" w:sz="2" w:color="000000" w:val="single"/>
            </w:tcBorders>
            <w:shd w:fill="auto" w:color="auto" w:val="clear"/>
            <w:tcMar>
              <w:left w:type="dxa" w:w="54"/>
            </w:tcMar>
          </w:tcPr>
          <w:p w:rsidRDefault="00806032" w:rsidR="00EA7581" w:rsidRPr="0033314D">
            <w:pPr>
              <w:pStyle w:val="Sadrajitablice"/>
              <w:rPr>
                <w:rFonts w:cs="Times New Roman" w:hAnsi="Times New Roman" w:ascii="Times New Roman"/>
              </w:rPr>
            </w:pPr>
            <w:r w:rsidRPr="0033314D">
              <w:rPr>
                <w:rFonts w:cs="Times New Roman" w:hAnsi="Times New Roman" w:ascii="Times New Roman"/>
              </w:rPr>
              <w:t>2.</w:t>
            </w:r>
          </w:p>
        </w:tc>
        <w:tc>
          <w:tcPr>
            <w:tcW w:type="dxa" w:w="3915"/>
            <w:tcBorders>
              <w:left w:space="0" w:sz="2" w:color="000000" w:val="single"/>
              <w:bottom w:space="0" w:sz="2" w:color="000000" w:val="single"/>
            </w:tcBorders>
            <w:shd w:fill="auto" w:color="auto" w:val="clear"/>
            <w:tcMar>
              <w:left w:type="dxa" w:w="54"/>
            </w:tcMar>
          </w:tcPr>
          <w:p w:rsidRDefault="00806032" w:rsidR="00EA7581" w:rsidRPr="0033314D">
            <w:pPr>
              <w:jc w:val="both"/>
              <w:rPr>
                <w:rFonts w:cs="Times New Roman" w:hAnsi="Times New Roman" w:ascii="Times New Roman"/>
              </w:rPr>
            </w:pPr>
            <w:r w:rsidRPr="0033314D">
              <w:rPr>
                <w:rFonts w:cs="Times New Roman" w:hAnsi="Times New Roman" w:ascii="Times New Roman"/>
                <w:color w:themeTint="D9" w:themeColor="text1" w:val="262626"/>
                <w:sz w:val="24"/>
                <w:szCs w:val="24"/>
              </w:rPr>
              <w:t xml:space="preserve">nekretnina oznake </w:t>
            </w:r>
            <w:bookmarkStart w:name="__DdeLink__1810_656149038" w:id="1"/>
            <w:bookmarkEnd w:id="1"/>
            <w:r w:rsidRPr="0033314D">
              <w:rPr>
                <w:rFonts w:cs="Times New Roman" w:hAnsi="Times New Roman" w:ascii="Times New Roman"/>
                <w:color w:themeTint="D9" w:themeColor="text1" w:val="262626"/>
                <w:sz w:val="24"/>
                <w:szCs w:val="24"/>
              </w:rPr>
              <w:t>k.č. 1927 Ko. Šestine, upisanu u Z.k.ul. 10067 K.o. Šestine, u naravi kuća br. 72 Bijenik i dvorište površine 607 m2, u dijelu od 29/1000, a koji dio je povezan sa etažnim vlasništvom E-7, garaža oznake G1 u podrumu  ukupne površine 12,50 m2</w:t>
            </w:r>
          </w:p>
        </w:tc>
        <w:tc>
          <w:tcPr>
            <w:tcW w:type="dxa" w:w="2775"/>
            <w:tcBorders>
              <w:left w:space="0" w:sz="2" w:color="000000" w:val="single"/>
              <w:bottom w:space="0" w:sz="2" w:color="000000" w:val="single"/>
            </w:tcBorders>
            <w:shd w:fill="auto" w:color="auto" w:val="clear"/>
            <w:tcMar>
              <w:left w:type="dxa" w:w="54"/>
            </w:tcMar>
          </w:tcPr>
          <w:p w:rsidRDefault="00806032" w:rsidR="00EA7581" w:rsidRPr="0033314D">
            <w:pPr>
              <w:jc w:val="both"/>
              <w:rPr>
                <w:rFonts w:cs="Times New Roman" w:hAnsi="Times New Roman" w:ascii="Times New Roman"/>
              </w:rPr>
            </w:pPr>
            <w:r w:rsidRPr="0033314D">
              <w:rPr>
                <w:rFonts w:cs="Times New Roman" w:hAnsi="Times New Roman" w:ascii="Times New Roman"/>
                <w:color w:themeTint="D9" w:themeColor="text1" w:val="262626"/>
                <w:sz w:val="24"/>
                <w:szCs w:val="24"/>
              </w:rPr>
              <w:t>- zabilježba ovrhe Posl.br. Ovrj-1782/14 ovrhovoditelja Pohižek industrija d.o.o.</w:t>
            </w:r>
          </w:p>
        </w:tc>
        <w:tc>
          <w:tcPr>
            <w:tcW w:type="dxa" w:w="1875"/>
            <w:tcBorders>
              <w:left w:space="0" w:sz="2" w:color="000000" w:val="single"/>
              <w:bottom w:space="0" w:sz="2" w:color="000000" w:val="single"/>
              <w:right w:space="0" w:sz="2" w:color="000000" w:val="single"/>
            </w:tcBorders>
            <w:shd w:fill="auto" w:color="auto" w:val="clear"/>
            <w:tcMar>
              <w:left w:type="dxa" w:w="54"/>
            </w:tcMar>
          </w:tcPr>
          <w:p w:rsidRDefault="00806032" w:rsidR="00EA7581" w:rsidRPr="0033314D">
            <w:pPr>
              <w:pStyle w:val="Sadrajitablice"/>
              <w:rPr>
                <w:rFonts w:cs="Times New Roman" w:hAnsi="Times New Roman" w:ascii="Times New Roman"/>
              </w:rPr>
            </w:pPr>
            <w:r w:rsidRPr="0033314D">
              <w:rPr>
                <w:rFonts w:cs="Times New Roman" w:hAnsi="Times New Roman" w:ascii="Times New Roman"/>
              </w:rPr>
              <w:t>- nije iskazana</w:t>
            </w:r>
          </w:p>
        </w:tc>
      </w:tr>
    </w:tbl>
    <w:p w:rsidRDefault="00EA7581" w:rsidR="00EA7581" w:rsidRPr="0033314D">
      <w:pPr>
        <w:jc w:val="both"/>
        <w:rPr>
          <w:rFonts w:cs="Times New Roman" w:hAnsi="Times New Roman" w:ascii="Times New Roman"/>
          <w:color w:themeTint="D9" w:themeColor="text1" w:val="262626"/>
          <w:sz w:val="24"/>
          <w:szCs w:val="24"/>
        </w:rPr>
      </w:pPr>
    </w:p>
    <w:p w:rsidRDefault="00EA7581" w:rsidR="00EA7581" w:rsidRPr="0033314D">
      <w:pPr>
        <w:jc w:val="both"/>
        <w:rPr>
          <w:rFonts w:cs="Times New Roman" w:hAnsi="Times New Roman" w:ascii="Times New Roman"/>
          <w:color w:themeTint="D9" w:themeColor="text1" w:val="262626"/>
          <w:sz w:val="24"/>
          <w:szCs w:val="24"/>
        </w:rPr>
      </w:pPr>
    </w:p>
    <w:p w:rsidRDefault="00EA7581" w:rsidR="00EA7581" w:rsidRPr="0033314D">
      <w:pPr>
        <w:jc w:val="both"/>
        <w:rPr>
          <w:rFonts w:cs="Times New Roman" w:hAnsi="Times New Roman" w:ascii="Times New Roman"/>
          <w:color w:themeTint="D9" w:themeColor="text1" w:val="262626"/>
          <w:sz w:val="24"/>
          <w:szCs w:val="24"/>
        </w:rPr>
      </w:pPr>
    </w:p>
    <w:p w:rsidRDefault="00806032" w:rsidR="00EA7581" w:rsidRPr="00151FFE">
      <w:pPr>
        <w:jc w:val="both"/>
        <w:rPr>
          <w:rFonts w:cs="Times New Roman" w:hAnsi="Times New Roman" w:ascii="Times New Roman"/>
        </w:rPr>
      </w:pPr>
      <w:r w:rsidRPr="0033314D">
        <w:rPr>
          <w:rFonts w:cs="Times New Roman" w:eastAsia="Calibri" w:hAnsi="Times New Roman" w:ascii="Times New Roman"/>
          <w:b/>
          <w:bCs/>
          <w:i/>
          <w:color w:themeTint="D9" w:themeColor="text1" w:val="262626"/>
          <w:sz w:val="24"/>
          <w:szCs w:val="24"/>
        </w:rPr>
        <w:tab/>
      </w:r>
      <w:r w:rsidRPr="00151FFE">
        <w:rPr>
          <w:rFonts w:cs="Times New Roman" w:eastAsia="Calibri" w:hAnsi="Times New Roman" w:ascii="Times New Roman"/>
          <w:b/>
          <w:bCs/>
          <w:color w:themeTint="D9" w:themeColor="text1" w:val="262626"/>
          <w:sz w:val="24"/>
          <w:szCs w:val="24"/>
        </w:rPr>
        <w:t>3.3 IZGLEDI ZA NASTAVAK POSLOVANJA</w:t>
      </w:r>
    </w:p>
    <w:p w:rsidRDefault="00806032" w:rsidR="00EA7581">
      <w:pPr>
        <w:jc w:val="both"/>
        <w:rPr>
          <w:rFonts w:cs="Times New Roman" w:eastAsia="Calibri" w:hAnsi="Times New Roman" w:ascii="Times New Roman"/>
          <w:color w:themeTint="D9" w:themeColor="text1" w:val="262626"/>
          <w:sz w:val="24"/>
          <w:szCs w:val="24"/>
        </w:rPr>
      </w:pPr>
      <w:r w:rsidRPr="0033314D">
        <w:rPr>
          <w:rFonts w:cs="Times New Roman" w:eastAsia="Calibri" w:hAnsi="Times New Roman" w:ascii="Times New Roman"/>
          <w:color w:themeTint="D9" w:themeColor="text1" w:val="262626"/>
          <w:sz w:val="24"/>
          <w:szCs w:val="24"/>
        </w:rPr>
        <w:t xml:space="preserve">Djelatnost stečajnog dužnika Gradnja trgovina Lučić d.o.o. u stečaju je prestala prije 9 godina. Od tada društvo nema niti poslovni prostor niti zaposlenih djelatnika. Dakle, mogućnosti za nastavak poslovanja nema. </w:t>
      </w:r>
    </w:p>
    <w:p w:rsidRDefault="00D71035" w:rsidR="00D71035">
      <w:pPr>
        <w:jc w:val="both"/>
        <w:rPr>
          <w:rFonts w:cs="Times New Roman" w:hAnsi="Times New Roman" w:ascii="Times New Roman"/>
        </w:rPr>
      </w:pPr>
    </w:p>
    <w:p w:rsidRDefault="00D71035" w:rsidR="00D71035">
      <w:pPr>
        <w:jc w:val="both"/>
        <w:rPr>
          <w:rFonts w:cs="Times New Roman" w:hAnsi="Times New Roman" w:ascii="Times New Roman"/>
        </w:rPr>
      </w:pPr>
    </w:p>
    <w:p w:rsidRDefault="00D71035" w:rsidR="00D71035">
      <w:pPr>
        <w:jc w:val="both"/>
        <w:rPr>
          <w:rFonts w:cs="Times New Roman" w:hAnsi="Times New Roman" w:ascii="Times New Roman"/>
          <w:b/>
          <w:sz w:val="24"/>
          <w:szCs w:val="24"/>
        </w:rPr>
      </w:pPr>
      <w:r w:rsidRPr="00D71035">
        <w:rPr>
          <w:rFonts w:cs="Times New Roman" w:hAnsi="Times New Roman" w:ascii="Times New Roman"/>
          <w:b/>
          <w:sz w:val="24"/>
          <w:szCs w:val="24"/>
        </w:rPr>
        <w:t>3.4. OBVEZE STEČAJNOG DUŽNIKA</w:t>
      </w:r>
    </w:p>
    <w:p w:rsidRDefault="00D71035" w:rsidR="00D71035">
      <w:pPr>
        <w:jc w:val="both"/>
        <w:rPr>
          <w:rFonts w:cs="Times New Roman" w:hAnsi="Times New Roman" w:ascii="Times New Roman"/>
          <w:b/>
          <w:sz w:val="24"/>
          <w:szCs w:val="24"/>
        </w:rPr>
      </w:pPr>
    </w:p>
    <w:p w:rsidRDefault="00D71035" w:rsidP="00D71035" w:rsidR="00D71035">
      <w:pPr>
        <w:jc w:val="both"/>
        <w:rPr>
          <w:rFonts w:cs="Times New Roman" w:hAnsi="Times New Roman" w:ascii="Times New Roman"/>
          <w:color w:themeTint="D9" w:themeColor="text1" w:val="262626"/>
          <w:sz w:val="24"/>
          <w:szCs w:val="24"/>
        </w:rPr>
      </w:pPr>
      <w:r w:rsidRPr="00D71035">
        <w:rPr>
          <w:rFonts w:cs="Times New Roman" w:hAnsi="Times New Roman" w:ascii="Times New Roman"/>
          <w:sz w:val="24"/>
          <w:szCs w:val="24"/>
        </w:rPr>
        <w:t>Stečajni upravitelj ne raspolaže dokumentacijom kojom bi se utvrdile obveze stečajnog dužnika prije otvaranja stečajnog postupka</w:t>
      </w:r>
      <w:r>
        <w:rPr>
          <w:rFonts w:cs="Times New Roman" w:hAnsi="Times New Roman" w:ascii="Times New Roman"/>
          <w:sz w:val="24"/>
          <w:szCs w:val="24"/>
        </w:rPr>
        <w:t xml:space="preserve">, izuzev podatka dobivenog od FINA-e da je dužnik </w:t>
      </w:r>
      <w:r w:rsidRPr="0033314D">
        <w:rPr>
          <w:rFonts w:cs="Times New Roman" w:hAnsi="Times New Roman" w:ascii="Times New Roman"/>
          <w:color w:themeTint="D9" w:themeColor="text1" w:val="262626"/>
          <w:sz w:val="24"/>
          <w:szCs w:val="24"/>
        </w:rPr>
        <w:t xml:space="preserve">1987 dana </w:t>
      </w:r>
      <w:r>
        <w:rPr>
          <w:rFonts w:cs="Times New Roman" w:hAnsi="Times New Roman" w:ascii="Times New Roman"/>
          <w:color w:themeTint="D9" w:themeColor="text1" w:val="262626"/>
          <w:sz w:val="24"/>
          <w:szCs w:val="24"/>
        </w:rPr>
        <w:t xml:space="preserve">u blokadi </w:t>
      </w:r>
      <w:r w:rsidRPr="0033314D">
        <w:rPr>
          <w:rFonts w:cs="Times New Roman" w:hAnsi="Times New Roman" w:ascii="Times New Roman"/>
          <w:color w:themeTint="D9" w:themeColor="text1" w:val="262626"/>
          <w:sz w:val="24"/>
          <w:szCs w:val="24"/>
        </w:rPr>
        <w:t>uz evidentirane neizvršene osnove za plaćanje u ukupnom iznosu od 1.321.395,45 kn.</w:t>
      </w:r>
    </w:p>
    <w:p w:rsidRDefault="00D71035" w:rsidP="00D71035" w:rsidR="00D71035">
      <w:pPr>
        <w:jc w:val="both"/>
        <w:rPr>
          <w:rFonts w:cs="Times New Roman" w:hAnsi="Times New Roman" w:ascii="Times New Roman"/>
        </w:rPr>
      </w:pPr>
      <w:r>
        <w:rPr>
          <w:rFonts w:cs="Times New Roman" w:hAnsi="Times New Roman" w:ascii="Times New Roman"/>
        </w:rPr>
        <w:t>Kroz stečajni postupak utvrđeno je</w:t>
      </w:r>
      <w:r w:rsidR="00D41F86">
        <w:rPr>
          <w:rFonts w:cs="Times New Roman" w:hAnsi="Times New Roman" w:ascii="Times New Roman"/>
        </w:rPr>
        <w:t>:</w:t>
      </w:r>
    </w:p>
    <w:p w:rsidRDefault="00D41F86" w:rsidP="00D41F86" w:rsidR="00D41F86">
      <w:pPr>
        <w:pStyle w:val="Odlomakpopisa"/>
        <w:numPr>
          <w:ilvl w:val="0"/>
          <w:numId w:val="2"/>
        </w:numPr>
        <w:jc w:val="both"/>
        <w:rPr>
          <w:rFonts w:cs="Times New Roman" w:hAnsi="Times New Roman" w:ascii="Times New Roman"/>
        </w:rPr>
      </w:pPr>
      <w:r>
        <w:rPr>
          <w:rFonts w:cs="Times New Roman" w:hAnsi="Times New Roman" w:ascii="Times New Roman"/>
        </w:rPr>
        <w:t>Obveze u 1. Višem isplatnom redu  -  nema</w:t>
      </w:r>
    </w:p>
    <w:p w:rsidRDefault="00D41F86" w:rsidP="00D41F86" w:rsidR="00D41F86" w:rsidRPr="00D41F86">
      <w:pPr>
        <w:pStyle w:val="Odlomakpopisa"/>
        <w:numPr>
          <w:ilvl w:val="0"/>
          <w:numId w:val="2"/>
        </w:numPr>
        <w:jc w:val="both"/>
        <w:rPr>
          <w:rFonts w:cs="Times New Roman" w:hAnsi="Times New Roman" w:ascii="Times New Roman"/>
        </w:rPr>
      </w:pPr>
      <w:r>
        <w:rPr>
          <w:rFonts w:cs="Times New Roman" w:hAnsi="Times New Roman" w:ascii="Times New Roman"/>
        </w:rPr>
        <w:t xml:space="preserve">Obveze u 2. Višem isplatnom redu  - </w:t>
      </w:r>
      <w:r w:rsidRPr="006D3C87">
        <w:rPr>
          <w:rFonts w:hAnsi="Times New Roman" w:ascii="Times New Roman"/>
          <w:b/>
          <w:bCs/>
          <w:sz w:val="18"/>
          <w:szCs w:val="18"/>
        </w:rPr>
        <w:t>3</w:t>
      </w:r>
      <w:r>
        <w:rPr>
          <w:rFonts w:hAnsi="Times New Roman" w:ascii="Times New Roman"/>
          <w:b/>
          <w:bCs/>
          <w:sz w:val="18"/>
          <w:szCs w:val="18"/>
        </w:rPr>
        <w:t>.</w:t>
      </w:r>
      <w:r w:rsidRPr="006D3C87">
        <w:rPr>
          <w:rFonts w:hAnsi="Times New Roman" w:ascii="Times New Roman"/>
          <w:b/>
          <w:bCs/>
          <w:sz w:val="18"/>
          <w:szCs w:val="18"/>
        </w:rPr>
        <w:t>404</w:t>
      </w:r>
      <w:r>
        <w:rPr>
          <w:rFonts w:hAnsi="Times New Roman" w:ascii="Times New Roman"/>
          <w:b/>
          <w:bCs/>
          <w:sz w:val="18"/>
          <w:szCs w:val="18"/>
        </w:rPr>
        <w:t>.</w:t>
      </w:r>
      <w:r w:rsidRPr="006D3C87">
        <w:rPr>
          <w:rFonts w:hAnsi="Times New Roman" w:ascii="Times New Roman"/>
          <w:b/>
          <w:bCs/>
          <w:sz w:val="18"/>
          <w:szCs w:val="18"/>
        </w:rPr>
        <w:t>391,8</w:t>
      </w:r>
      <w:r>
        <w:rPr>
          <w:rFonts w:hAnsi="Times New Roman" w:ascii="Times New Roman"/>
          <w:b/>
          <w:bCs/>
          <w:sz w:val="18"/>
          <w:szCs w:val="18"/>
        </w:rPr>
        <w:t xml:space="preserve">0 </w:t>
      </w:r>
      <w:r w:rsidRPr="00A308F4">
        <w:rPr>
          <w:rFonts w:hAnsi="Times New Roman" w:ascii="Times New Roman"/>
          <w:b/>
          <w:bCs/>
          <w:sz w:val="18"/>
          <w:szCs w:val="18"/>
        </w:rPr>
        <w:t>kn</w:t>
      </w:r>
    </w:p>
    <w:p w:rsidRDefault="00D41F86" w:rsidP="00D41F86" w:rsidR="00D41F86" w:rsidRPr="00D41F86">
      <w:pPr>
        <w:pStyle w:val="Odlomakpopisa"/>
        <w:numPr>
          <w:ilvl w:val="0"/>
          <w:numId w:val="2"/>
        </w:numPr>
        <w:jc w:val="both"/>
        <w:rPr>
          <w:rFonts w:cs="Times New Roman" w:hAnsi="Times New Roman" w:ascii="Times New Roman"/>
        </w:rPr>
      </w:pPr>
      <w:r>
        <w:rPr>
          <w:rFonts w:cs="Times New Roman" w:hAnsi="Times New Roman" w:ascii="Times New Roman"/>
        </w:rPr>
        <w:t xml:space="preserve">Obveze s razlučnim pravom             -   </w:t>
      </w:r>
      <w:r w:rsidRPr="00D41F86">
        <w:rPr>
          <w:rFonts w:hAnsi="Times New Roman" w:ascii="Times New Roman"/>
          <w:b/>
          <w:color w:val="auto"/>
          <w:sz w:val="18"/>
          <w:szCs w:val="18"/>
        </w:rPr>
        <w:t>105.959,89 kn</w:t>
      </w:r>
    </w:p>
    <w:p w:rsidRDefault="00D71035" w:rsidR="00D71035" w:rsidRPr="00D71035">
      <w:pPr>
        <w:jc w:val="both"/>
        <w:rPr>
          <w:rFonts w:cs="Times New Roman" w:hAnsi="Times New Roman" w:ascii="Times New Roman"/>
          <w:sz w:val="24"/>
          <w:szCs w:val="24"/>
        </w:rPr>
      </w:pPr>
    </w:p>
    <w:p w:rsidRDefault="00EA7581" w:rsidR="00EA7581" w:rsidRPr="00D71035">
      <w:pPr>
        <w:jc w:val="both"/>
        <w:rPr>
          <w:rFonts w:cs="Times New Roman" w:hAnsi="Times New Roman" w:ascii="Times New Roman"/>
        </w:rPr>
      </w:pPr>
    </w:p>
    <w:p w:rsidRDefault="00806032" w:rsidR="00EA7581" w:rsidRPr="00151FFE">
      <w:pPr>
        <w:jc w:val="both"/>
        <w:rPr>
          <w:rFonts w:cs="Times New Roman" w:hAnsi="Times New Roman" w:ascii="Times New Roman"/>
        </w:rPr>
      </w:pPr>
      <w:r w:rsidRPr="00151FFE">
        <w:rPr>
          <w:rFonts w:cs="Times New Roman" w:hAnsi="Times New Roman" w:ascii="Times New Roman"/>
          <w:b/>
          <w:color w:themeTint="D9" w:themeColor="text1" w:val="262626"/>
          <w:sz w:val="24"/>
          <w:szCs w:val="24"/>
        </w:rPr>
        <w:t>4. PLANIRANE DALJNJE AKTIVNOSTI</w:t>
      </w:r>
    </w:p>
    <w:p w:rsidRDefault="00151FFE" w:rsidR="00EA7581" w:rsidRPr="0033314D">
      <w:pPr>
        <w:jc w:val="both"/>
        <w:rPr>
          <w:rFonts w:cs="Times New Roman" w:hAnsi="Times New Roman" w:ascii="Times New Roman"/>
        </w:rPr>
      </w:pPr>
      <w:r>
        <w:rPr>
          <w:rFonts w:cs="Times New Roman" w:hAnsi="Times New Roman" w:ascii="Times New Roman"/>
          <w:color w:themeTint="D9" w:themeColor="text1" w:val="262626"/>
          <w:sz w:val="24"/>
          <w:szCs w:val="24"/>
        </w:rPr>
        <w:t>Sukladno ranije (28. 04. 2017.) poslanom upitu Gradu Zagrebu za ponudu za kupnju odnosno otkup zemljišta kojeg u naravi čini put u Bijeniku od 147 m</w:t>
      </w:r>
      <w:r w:rsidR="00D23D0E">
        <w:rPr>
          <w:rFonts w:cs="Times New Roman" w:hAnsi="Times New Roman" w:ascii="Times New Roman"/>
          <w:color w:themeTint="D9" w:themeColor="text1" w:val="262626"/>
          <w:sz w:val="24"/>
          <w:szCs w:val="24"/>
        </w:rPr>
        <w:t>2, na z.k.č. 1928/2 k.o. Šestine, Grad Zagreb je dopisom od 16. 02. 2018. obavijestio stečajnog upravitelja kako je navedeno vlasništvo u neotuđivom vlasništvu lokalne samouprave, odnosno Grada Zagreba, te sukladno navedenom nisu u mogućnosti otkupiti predmetno zemljište.</w:t>
      </w:r>
    </w:p>
    <w:p w:rsidRDefault="00806032" w:rsidR="00EA7581" w:rsidRPr="0033314D">
      <w:pPr>
        <w:jc w:val="both"/>
        <w:rPr>
          <w:rFonts w:cs="Times New Roman" w:hAnsi="Times New Roman" w:ascii="Times New Roman"/>
        </w:rPr>
      </w:pPr>
      <w:r w:rsidRPr="0033314D">
        <w:rPr>
          <w:rFonts w:cs="Times New Roman" w:hAnsi="Times New Roman" w:ascii="Times New Roman"/>
          <w:color w:themeTint="D9" w:themeColor="text1" w:val="262626"/>
          <w:sz w:val="24"/>
          <w:szCs w:val="24"/>
        </w:rPr>
        <w:t xml:space="preserve">Za nekretninu pod brojem 2. </w:t>
      </w:r>
      <w:r w:rsidR="00D23D0E">
        <w:rPr>
          <w:rFonts w:cs="Times New Roman" w:hAnsi="Times New Roman" w:ascii="Times New Roman"/>
          <w:color w:themeTint="D9" w:themeColor="text1" w:val="262626"/>
          <w:sz w:val="24"/>
          <w:szCs w:val="24"/>
        </w:rPr>
        <w:t xml:space="preserve">prethodna </w:t>
      </w:r>
      <w:r w:rsidRPr="0033314D">
        <w:rPr>
          <w:rFonts w:cs="Times New Roman" w:hAnsi="Times New Roman" w:ascii="Times New Roman"/>
          <w:color w:themeTint="D9" w:themeColor="text1" w:val="262626"/>
          <w:sz w:val="24"/>
          <w:szCs w:val="24"/>
        </w:rPr>
        <w:t xml:space="preserve">stečajna upraviteljica </w:t>
      </w:r>
      <w:r w:rsidR="00D23D0E">
        <w:rPr>
          <w:rFonts w:cs="Times New Roman" w:hAnsi="Times New Roman" w:ascii="Times New Roman"/>
          <w:color w:themeTint="D9" w:themeColor="text1" w:val="262626"/>
          <w:sz w:val="24"/>
          <w:szCs w:val="24"/>
        </w:rPr>
        <w:t xml:space="preserve">je izvijestila stečajnog upravitelja da </w:t>
      </w:r>
      <w:r w:rsidRPr="0033314D">
        <w:rPr>
          <w:rFonts w:cs="Times New Roman" w:hAnsi="Times New Roman" w:ascii="Times New Roman"/>
          <w:color w:themeTint="D9" w:themeColor="text1" w:val="262626"/>
          <w:sz w:val="24"/>
          <w:szCs w:val="24"/>
        </w:rPr>
        <w:t>raspolaže podatkom da je ista prodana Vinku Paliću iz Zagreba koji je istu kupio zajedno sa stanom te za nju platio 15.000,00 EUR-a međutim  garaža se nije navodila u kupoprodajnom ugovoru te se isti nije stoga mogao upisati kao vlasnik predmetne garaže. Vinko Palić je ishodio Izjavu od prethodne odgovorne osobe stečajnog dužnika da je platio dogovorenu kupoprodajnu cijenu za predmetnu nekretninu te je isti spreman uplatiti po odluci skupštine vjerovnika iznos naknade za garažu, a u svrhu dobivanja tabularne isprave pod uvjetom da se skupština usuglasi sa nagodbom.</w:t>
      </w:r>
    </w:p>
    <w:p w:rsidRDefault="00806032" w:rsidR="00EA7581" w:rsidRPr="0033314D">
      <w:pPr>
        <w:jc w:val="both"/>
        <w:rPr>
          <w:rFonts w:cs="Times New Roman" w:hAnsi="Times New Roman" w:ascii="Times New Roman"/>
        </w:rPr>
      </w:pPr>
      <w:r w:rsidRPr="0033314D">
        <w:rPr>
          <w:rFonts w:cs="Times New Roman" w:hAnsi="Times New Roman" w:ascii="Times New Roman"/>
          <w:color w:themeTint="D9" w:themeColor="text1" w:val="262626"/>
          <w:sz w:val="24"/>
          <w:szCs w:val="24"/>
        </w:rPr>
        <w:t>Nekretnina je opterećena razlučnim pravom zabilježenim u vlasničkom listu pod Posl.br. Z-23999/14 temeljem Rješenja o ovrsi Posl.br. Ovrj-1782/14 ovrhovoditelja Pohižek industrija d.o.o. iz Sesveta.</w:t>
      </w:r>
    </w:p>
    <w:p w:rsidRDefault="00EA7581" w:rsidR="00EA7581" w:rsidRPr="0033314D">
      <w:pPr>
        <w:jc w:val="both"/>
        <w:rPr>
          <w:rFonts w:cs="Times New Roman" w:eastAsia="Calibri" w:hAnsi="Times New Roman" w:ascii="Times New Roman"/>
          <w:color w:themeTint="D9" w:themeColor="text1" w:val="262626"/>
          <w:sz w:val="24"/>
          <w:szCs w:val="24"/>
        </w:rPr>
      </w:pPr>
    </w:p>
    <w:p w:rsidRDefault="00806032" w:rsidR="00EA7581" w:rsidRPr="00D41F86">
      <w:pPr>
        <w:jc w:val="both"/>
        <w:rPr>
          <w:rFonts w:cs="Times New Roman" w:hAnsi="Times New Roman" w:ascii="Times New Roman"/>
        </w:rPr>
      </w:pPr>
      <w:r w:rsidRPr="00D41F86">
        <w:rPr>
          <w:rFonts w:cs="Times New Roman" w:hAnsi="Times New Roman" w:ascii="Times New Roman"/>
          <w:b/>
          <w:bCs/>
          <w:iCs/>
          <w:color w:themeTint="D9" w:themeColor="text1" w:val="262626"/>
          <w:sz w:val="24"/>
          <w:szCs w:val="24"/>
        </w:rPr>
        <w:t>5. SUDSKI POSTUPCI STEČAJNOG DUŽNIKA</w:t>
      </w:r>
    </w:p>
    <w:p w:rsidRDefault="00806032" w:rsidR="00EA7581" w:rsidRPr="0033314D">
      <w:pPr>
        <w:jc w:val="both"/>
        <w:rPr>
          <w:rFonts w:cs="Times New Roman" w:hAnsi="Times New Roman" w:ascii="Times New Roman"/>
        </w:rPr>
      </w:pPr>
      <w:r w:rsidRPr="0033314D">
        <w:rPr>
          <w:rFonts w:cs="Times New Roman" w:hAnsi="Times New Roman" w:ascii="Times New Roman"/>
          <w:color w:themeTint="D9" w:themeColor="text1" w:val="262626"/>
          <w:sz w:val="24"/>
          <w:szCs w:val="24"/>
        </w:rPr>
        <w:lastRenderedPageBreak/>
        <w:t xml:space="preserve">Stečajni dužnik je tuženik u postupku koji se vodi pred Općinskim građanskim sudom u Zagrebu pod Posl.br. P-3994/15, a u pravnoj stvari tužitelja Jadranke Čačić iz Zagreba i Plevko Branka iz Kanade,  a radi isplate. </w:t>
      </w:r>
    </w:p>
    <w:p w:rsidRDefault="00806032" w:rsidR="00EA7581" w:rsidRPr="0033314D">
      <w:pPr>
        <w:jc w:val="both"/>
        <w:rPr>
          <w:rFonts w:cs="Times New Roman" w:hAnsi="Times New Roman" w:ascii="Times New Roman"/>
        </w:rPr>
      </w:pPr>
      <w:r w:rsidRPr="0033314D">
        <w:rPr>
          <w:rFonts w:cs="Times New Roman" w:hAnsi="Times New Roman" w:ascii="Times New Roman"/>
          <w:color w:themeTint="D9" w:themeColor="text1" w:val="262626"/>
          <w:sz w:val="24"/>
          <w:szCs w:val="24"/>
        </w:rPr>
        <w:t>Dana 02. studenog 2017. godine u predmetnom postupku je doneseno Rješenje kojim se utvrđuje prekid postupka u odnosu na stečajnog dužnika radi nastupanja pravnih posljedica otvaranja stečajnog postupka.</w:t>
      </w:r>
    </w:p>
    <w:p w:rsidRDefault="00806032" w:rsidR="00EA7581" w:rsidRPr="0033314D">
      <w:pPr>
        <w:jc w:val="both"/>
        <w:rPr>
          <w:rFonts w:cs="Times New Roman" w:hAnsi="Times New Roman" w:ascii="Times New Roman"/>
        </w:rPr>
      </w:pPr>
      <w:r w:rsidRPr="0033314D">
        <w:rPr>
          <w:rFonts w:cs="Times New Roman" w:hAnsi="Times New Roman" w:ascii="Times New Roman"/>
          <w:color w:themeTint="D9" w:themeColor="text1" w:val="262626"/>
          <w:sz w:val="24"/>
          <w:szCs w:val="24"/>
        </w:rPr>
        <w:t>Stečajn</w:t>
      </w:r>
      <w:r w:rsidR="00D23D0E">
        <w:rPr>
          <w:rFonts w:cs="Times New Roman" w:hAnsi="Times New Roman" w:ascii="Times New Roman"/>
          <w:color w:themeTint="D9" w:themeColor="text1" w:val="262626"/>
          <w:sz w:val="24"/>
          <w:szCs w:val="24"/>
        </w:rPr>
        <w:t>i</w:t>
      </w:r>
      <w:r w:rsidRPr="0033314D">
        <w:rPr>
          <w:rFonts w:cs="Times New Roman" w:hAnsi="Times New Roman" w:ascii="Times New Roman"/>
          <w:color w:themeTint="D9" w:themeColor="text1" w:val="262626"/>
          <w:sz w:val="24"/>
          <w:szCs w:val="24"/>
        </w:rPr>
        <w:t xml:space="preserve"> upravitelj će po pozivu suda preuzeti parnični postupak.</w:t>
      </w:r>
    </w:p>
    <w:p w:rsidRDefault="00EA7581" w:rsidR="00EA7581" w:rsidRPr="0033314D">
      <w:pPr>
        <w:jc w:val="both"/>
        <w:rPr>
          <w:rFonts w:cs="Times New Roman" w:hAnsi="Times New Roman" w:ascii="Times New Roman"/>
        </w:rPr>
      </w:pPr>
    </w:p>
    <w:p w:rsidRDefault="00EA7581" w:rsidR="00EA7581" w:rsidRPr="0033314D">
      <w:pPr>
        <w:jc w:val="both"/>
        <w:rPr>
          <w:rFonts w:cs="Times New Roman" w:eastAsia="Calibri" w:hAnsi="Times New Roman" w:ascii="Times New Roman"/>
          <w:color w:themeTint="D9" w:themeColor="text1" w:val="262626"/>
          <w:sz w:val="24"/>
          <w:szCs w:val="24"/>
        </w:rPr>
      </w:pPr>
    </w:p>
    <w:p w:rsidRDefault="00806032" w:rsidR="00EA7581" w:rsidRPr="00D41F86">
      <w:pPr>
        <w:jc w:val="both"/>
        <w:rPr>
          <w:rFonts w:cs="Times New Roman" w:hAnsi="Times New Roman" w:ascii="Times New Roman"/>
        </w:rPr>
      </w:pPr>
      <w:r w:rsidRPr="00D41F86">
        <w:rPr>
          <w:rFonts w:cs="Times New Roman" w:hAnsi="Times New Roman" w:ascii="Times New Roman"/>
          <w:b/>
          <w:color w:themeTint="D9" w:themeColor="text1" w:val="262626"/>
          <w:sz w:val="24"/>
          <w:szCs w:val="24"/>
        </w:rPr>
        <w:t>6</w:t>
      </w:r>
      <w:bookmarkStart w:name="__DdeLink__1165_1996327861" w:id="2"/>
      <w:bookmarkEnd w:id="2"/>
      <w:r w:rsidRPr="00D41F86">
        <w:rPr>
          <w:rFonts w:cs="Times New Roman" w:hAnsi="Times New Roman" w:ascii="Times New Roman"/>
          <w:b/>
          <w:color w:themeTint="D9" w:themeColor="text1" w:val="262626"/>
          <w:sz w:val="24"/>
          <w:szCs w:val="24"/>
        </w:rPr>
        <w:t>. TROŠKOVI STEČAJNOG POSTUPKA</w:t>
      </w:r>
    </w:p>
    <w:p w:rsidRDefault="00D23D0E" w:rsidR="00EA7581" w:rsidRPr="0033314D">
      <w:pPr>
        <w:jc w:val="both"/>
        <w:rPr>
          <w:rFonts w:cs="Times New Roman" w:hAnsi="Times New Roman" w:ascii="Times New Roman"/>
        </w:rPr>
      </w:pPr>
      <w:r>
        <w:rPr>
          <w:rFonts w:cs="Times New Roman" w:hAnsi="Times New Roman" w:ascii="Times New Roman"/>
          <w:color w:themeTint="D9" w:themeColor="text1" w:val="262626"/>
          <w:sz w:val="24"/>
          <w:szCs w:val="24"/>
        </w:rPr>
        <w:t>Procijenjeni troškovi</w:t>
      </w:r>
      <w:r w:rsidR="00806032" w:rsidRPr="0033314D">
        <w:rPr>
          <w:rFonts w:cs="Times New Roman" w:hAnsi="Times New Roman" w:ascii="Times New Roman"/>
          <w:color w:themeTint="D9" w:themeColor="text1" w:val="262626"/>
          <w:sz w:val="24"/>
          <w:szCs w:val="24"/>
        </w:rPr>
        <w:t xml:space="preserve"> stečajnog postupka za </w:t>
      </w:r>
      <w:r>
        <w:rPr>
          <w:rFonts w:cs="Times New Roman" w:hAnsi="Times New Roman" w:ascii="Times New Roman"/>
          <w:color w:themeTint="D9" w:themeColor="text1" w:val="262626"/>
          <w:sz w:val="24"/>
          <w:szCs w:val="24"/>
        </w:rPr>
        <w:t>razdoblje</w:t>
      </w:r>
      <w:r w:rsidR="00806032" w:rsidRPr="0033314D">
        <w:rPr>
          <w:rFonts w:cs="Times New Roman" w:hAnsi="Times New Roman" w:ascii="Times New Roman"/>
          <w:color w:themeTint="D9" w:themeColor="text1" w:val="262626"/>
          <w:sz w:val="24"/>
          <w:szCs w:val="24"/>
        </w:rPr>
        <w:t xml:space="preserve"> od 1 godine</w:t>
      </w:r>
      <w:r>
        <w:rPr>
          <w:rFonts w:cs="Times New Roman" w:hAnsi="Times New Roman" w:ascii="Times New Roman"/>
          <w:color w:themeTint="D9" w:themeColor="text1" w:val="262626"/>
          <w:sz w:val="24"/>
          <w:szCs w:val="24"/>
        </w:rPr>
        <w:t xml:space="preserve"> iznose kako slijedi</w:t>
      </w:r>
      <w:r w:rsidR="00806032" w:rsidRPr="0033314D">
        <w:rPr>
          <w:rFonts w:cs="Times New Roman" w:hAnsi="Times New Roman" w:ascii="Times New Roman"/>
          <w:color w:themeTint="D9" w:themeColor="text1" w:val="262626"/>
          <w:sz w:val="24"/>
          <w:szCs w:val="24"/>
        </w:rPr>
        <w:t xml:space="preserve">: </w:t>
      </w:r>
    </w:p>
    <w:p w:rsidRDefault="00806032" w:rsidR="00EA7581" w:rsidRPr="0033314D">
      <w:pPr>
        <w:jc w:val="both"/>
        <w:rPr>
          <w:rFonts w:cs="Times New Roman" w:hAnsi="Times New Roman" w:ascii="Times New Roman"/>
        </w:rPr>
      </w:pPr>
      <w:r w:rsidRPr="0033314D">
        <w:rPr>
          <w:rFonts w:cs="Times New Roman" w:hAnsi="Times New Roman" w:ascii="Times New Roman"/>
          <w:color w:themeTint="D9" w:themeColor="text1" w:val="262626"/>
          <w:sz w:val="24"/>
          <w:szCs w:val="24"/>
        </w:rPr>
        <w:t xml:space="preserve">- </w:t>
      </w:r>
      <w:r w:rsidR="00D23D0E">
        <w:rPr>
          <w:rFonts w:cs="Times New Roman" w:hAnsi="Times New Roman" w:ascii="Times New Roman"/>
          <w:color w:themeTint="D9" w:themeColor="text1" w:val="262626"/>
          <w:sz w:val="24"/>
          <w:szCs w:val="24"/>
        </w:rPr>
        <w:t>Trošak k</w:t>
      </w:r>
      <w:r w:rsidRPr="0033314D">
        <w:rPr>
          <w:rFonts w:cs="Times New Roman" w:hAnsi="Times New Roman" w:ascii="Times New Roman"/>
          <w:color w:themeTint="D9" w:themeColor="text1" w:val="262626"/>
          <w:sz w:val="24"/>
          <w:szCs w:val="24"/>
        </w:rPr>
        <w:t>njigovodstv</w:t>
      </w:r>
      <w:r w:rsidR="00D23D0E">
        <w:rPr>
          <w:rFonts w:cs="Times New Roman" w:hAnsi="Times New Roman" w:ascii="Times New Roman"/>
          <w:color w:themeTint="D9" w:themeColor="text1" w:val="262626"/>
          <w:sz w:val="24"/>
          <w:szCs w:val="24"/>
        </w:rPr>
        <w:t>a</w:t>
      </w:r>
      <w:r w:rsidRPr="0033314D">
        <w:rPr>
          <w:rFonts w:cs="Times New Roman" w:hAnsi="Times New Roman" w:ascii="Times New Roman"/>
          <w:color w:themeTint="D9" w:themeColor="text1" w:val="262626"/>
          <w:sz w:val="24"/>
          <w:szCs w:val="24"/>
        </w:rPr>
        <w:t xml:space="preserve"> – </w:t>
      </w:r>
      <w:r w:rsidR="00D23D0E">
        <w:rPr>
          <w:rFonts w:cs="Times New Roman" w:hAnsi="Times New Roman" w:ascii="Times New Roman"/>
          <w:color w:themeTint="D9" w:themeColor="text1" w:val="262626"/>
          <w:sz w:val="24"/>
          <w:szCs w:val="24"/>
        </w:rPr>
        <w:t>1.000</w:t>
      </w:r>
      <w:r w:rsidRPr="0033314D">
        <w:rPr>
          <w:rFonts w:cs="Times New Roman" w:hAnsi="Times New Roman" w:ascii="Times New Roman"/>
          <w:color w:themeTint="D9" w:themeColor="text1" w:val="262626"/>
          <w:sz w:val="24"/>
          <w:szCs w:val="24"/>
        </w:rPr>
        <w:t xml:space="preserve">,00 kn/mj, odnosno </w:t>
      </w:r>
      <w:r w:rsidR="00D23D0E">
        <w:rPr>
          <w:rFonts w:cs="Times New Roman" w:hAnsi="Times New Roman" w:ascii="Times New Roman"/>
          <w:color w:themeTint="D9" w:themeColor="text1" w:val="262626"/>
          <w:sz w:val="24"/>
          <w:szCs w:val="24"/>
        </w:rPr>
        <w:t>12.000</w:t>
      </w:r>
      <w:r w:rsidRPr="0033314D">
        <w:rPr>
          <w:rFonts w:cs="Times New Roman" w:hAnsi="Times New Roman" w:ascii="Times New Roman"/>
          <w:color w:themeTint="D9" w:themeColor="text1" w:val="262626"/>
          <w:sz w:val="24"/>
          <w:szCs w:val="24"/>
        </w:rPr>
        <w:t>,00 kn/1 g</w:t>
      </w:r>
    </w:p>
    <w:p w:rsidRDefault="00806032" w:rsidP="00F11BDE" w:rsidR="00EA7581" w:rsidRPr="00F11BDE">
      <w:pPr>
        <w:jc w:val="both"/>
        <w:rPr>
          <w:rFonts w:cs="Times New Roman" w:hAnsi="Times New Roman" w:ascii="Times New Roman"/>
          <w:color w:themeTint="D9" w:themeColor="text1" w:val="262626"/>
          <w:sz w:val="24"/>
          <w:szCs w:val="24"/>
        </w:rPr>
      </w:pPr>
      <w:r w:rsidRPr="0033314D">
        <w:rPr>
          <w:rFonts w:cs="Times New Roman" w:hAnsi="Times New Roman" w:ascii="Times New Roman"/>
          <w:color w:themeTint="D9" w:themeColor="text1" w:val="262626"/>
          <w:sz w:val="24"/>
          <w:szCs w:val="24"/>
        </w:rPr>
        <w:t xml:space="preserve">- </w:t>
      </w:r>
      <w:r w:rsidR="00D23D0E">
        <w:rPr>
          <w:rFonts w:cs="Times New Roman" w:hAnsi="Times New Roman" w:ascii="Times New Roman"/>
          <w:color w:themeTint="D9" w:themeColor="text1" w:val="262626"/>
          <w:sz w:val="24"/>
          <w:szCs w:val="24"/>
        </w:rPr>
        <w:t>Trošak ureda (</w:t>
      </w:r>
      <w:r w:rsidRPr="0033314D">
        <w:rPr>
          <w:rFonts w:cs="Times New Roman" w:hAnsi="Times New Roman" w:ascii="Times New Roman"/>
          <w:color w:themeTint="D9" w:themeColor="text1" w:val="262626"/>
          <w:sz w:val="24"/>
          <w:szCs w:val="24"/>
        </w:rPr>
        <w:t xml:space="preserve">potrošni materijal </w:t>
      </w:r>
      <w:r w:rsidR="00D23D0E">
        <w:rPr>
          <w:rFonts w:cs="Times New Roman" w:hAnsi="Times New Roman" w:ascii="Times New Roman"/>
          <w:color w:themeTint="D9" w:themeColor="text1" w:val="262626"/>
          <w:sz w:val="24"/>
          <w:szCs w:val="24"/>
        </w:rPr>
        <w:t>,</w:t>
      </w:r>
      <w:r w:rsidR="00D41F86">
        <w:rPr>
          <w:rFonts w:cs="Times New Roman" w:hAnsi="Times New Roman" w:ascii="Times New Roman"/>
          <w:color w:themeTint="D9" w:themeColor="text1" w:val="262626"/>
          <w:sz w:val="24"/>
          <w:szCs w:val="24"/>
        </w:rPr>
        <w:t xml:space="preserve"> </w:t>
      </w:r>
      <w:r w:rsidR="00D23D0E">
        <w:rPr>
          <w:rFonts w:cs="Times New Roman" w:hAnsi="Times New Roman" w:ascii="Times New Roman"/>
          <w:color w:themeTint="D9" w:themeColor="text1" w:val="262626"/>
          <w:sz w:val="24"/>
          <w:szCs w:val="24"/>
        </w:rPr>
        <w:t>k</w:t>
      </w:r>
      <w:r w:rsidRPr="0033314D">
        <w:rPr>
          <w:rFonts w:cs="Times New Roman" w:hAnsi="Times New Roman" w:ascii="Times New Roman"/>
          <w:color w:themeTint="D9" w:themeColor="text1" w:val="262626"/>
          <w:sz w:val="24"/>
          <w:szCs w:val="24"/>
        </w:rPr>
        <w:t>ancelarijski pribor, prijevoz</w:t>
      </w:r>
      <w:r w:rsidR="00D23D0E">
        <w:rPr>
          <w:rFonts w:cs="Times New Roman" w:hAnsi="Times New Roman" w:ascii="Times New Roman"/>
          <w:color w:themeTint="D9" w:themeColor="text1" w:val="262626"/>
          <w:sz w:val="24"/>
          <w:szCs w:val="24"/>
        </w:rPr>
        <w:t>, trošak mobitela</w:t>
      </w:r>
      <w:r w:rsidRPr="0033314D">
        <w:rPr>
          <w:rFonts w:cs="Times New Roman" w:hAnsi="Times New Roman" w:ascii="Times New Roman"/>
          <w:color w:themeTint="D9" w:themeColor="text1" w:val="262626"/>
          <w:sz w:val="24"/>
          <w:szCs w:val="24"/>
        </w:rPr>
        <w:t>) – 1.000,00</w:t>
      </w:r>
      <w:r w:rsidR="00F11BDE">
        <w:rPr>
          <w:rFonts w:cs="Times New Roman" w:hAnsi="Times New Roman" w:ascii="Times New Roman"/>
          <w:color w:themeTint="D9" w:themeColor="text1" w:val="262626"/>
          <w:sz w:val="24"/>
          <w:szCs w:val="24"/>
        </w:rPr>
        <w:t xml:space="preserve"> </w:t>
      </w:r>
      <w:r w:rsidRPr="0033314D">
        <w:rPr>
          <w:rFonts w:cs="Times New Roman" w:hAnsi="Times New Roman" w:ascii="Times New Roman"/>
          <w:color w:themeTint="D9" w:themeColor="text1" w:val="262626"/>
          <w:sz w:val="24"/>
          <w:szCs w:val="24"/>
        </w:rPr>
        <w:t>kn/mj, odnosno 12.000,00 kn/1 g</w:t>
      </w:r>
    </w:p>
    <w:p w:rsidRDefault="00806032" w:rsidR="00EA7581" w:rsidRPr="0033314D">
      <w:pPr>
        <w:jc w:val="both"/>
        <w:rPr>
          <w:rFonts w:cs="Times New Roman" w:hAnsi="Times New Roman" w:ascii="Times New Roman"/>
        </w:rPr>
      </w:pPr>
      <w:r w:rsidRPr="0033314D">
        <w:rPr>
          <w:rFonts w:cs="Times New Roman" w:hAnsi="Times New Roman" w:ascii="Times New Roman"/>
          <w:color w:themeTint="D9" w:themeColor="text1" w:val="262626"/>
          <w:sz w:val="24"/>
          <w:szCs w:val="24"/>
        </w:rPr>
        <w:t>- Banka – 100,00 kn/mj, odnosno 1.200,00 kn/1 g</w:t>
      </w:r>
    </w:p>
    <w:p w:rsidRDefault="00806032" w:rsidR="00EA7581">
      <w:pPr>
        <w:jc w:val="both"/>
        <w:rPr>
          <w:rFonts w:cs="Times New Roman" w:hAnsi="Times New Roman" w:ascii="Times New Roman"/>
          <w:color w:themeTint="D9" w:themeColor="text1" w:val="262626"/>
          <w:sz w:val="24"/>
          <w:szCs w:val="24"/>
        </w:rPr>
      </w:pPr>
      <w:r w:rsidRPr="0033314D">
        <w:rPr>
          <w:rFonts w:cs="Times New Roman" w:hAnsi="Times New Roman" w:ascii="Times New Roman"/>
          <w:color w:themeTint="D9" w:themeColor="text1" w:val="262626"/>
          <w:sz w:val="24"/>
          <w:szCs w:val="24"/>
        </w:rPr>
        <w:t xml:space="preserve">- </w:t>
      </w:r>
      <w:r w:rsidR="00F11BDE">
        <w:rPr>
          <w:rFonts w:cs="Times New Roman" w:hAnsi="Times New Roman" w:ascii="Times New Roman"/>
          <w:color w:themeTint="D9" w:themeColor="text1" w:val="262626"/>
          <w:sz w:val="24"/>
          <w:szCs w:val="24"/>
        </w:rPr>
        <w:t>N</w:t>
      </w:r>
      <w:r w:rsidRPr="0033314D">
        <w:rPr>
          <w:rFonts w:cs="Times New Roman" w:hAnsi="Times New Roman" w:ascii="Times New Roman"/>
          <w:color w:themeTint="D9" w:themeColor="text1" w:val="262626"/>
          <w:sz w:val="24"/>
          <w:szCs w:val="24"/>
        </w:rPr>
        <w:t>epredvidivi troškovi 5.000,00 kn</w:t>
      </w:r>
    </w:p>
    <w:p w:rsidRDefault="00F11BDE" w:rsidR="00F11BDE" w:rsidRPr="00F11BDE">
      <w:pPr>
        <w:jc w:val="both"/>
        <w:rPr>
          <w:rFonts w:cs="Times New Roman" w:hAnsi="Times New Roman" w:ascii="Times New Roman"/>
          <w:sz w:val="24"/>
          <w:szCs w:val="24"/>
        </w:rPr>
      </w:pPr>
      <w:r>
        <w:rPr>
          <w:rFonts w:cs="Times New Roman" w:hAnsi="Times New Roman" w:ascii="Times New Roman"/>
        </w:rPr>
        <w:t xml:space="preserve">- </w:t>
      </w:r>
      <w:r w:rsidRPr="00F11BDE">
        <w:rPr>
          <w:rFonts w:cs="Times New Roman" w:hAnsi="Times New Roman" w:ascii="Times New Roman"/>
          <w:sz w:val="24"/>
          <w:szCs w:val="24"/>
        </w:rPr>
        <w:t>Procjena nekretnine</w:t>
      </w:r>
      <w:r>
        <w:rPr>
          <w:rFonts w:cs="Times New Roman" w:hAnsi="Times New Roman" w:ascii="Times New Roman"/>
        </w:rPr>
        <w:t xml:space="preserve">  </w:t>
      </w:r>
      <w:r w:rsidRPr="00F11BDE">
        <w:rPr>
          <w:rFonts w:cs="Times New Roman" w:hAnsi="Times New Roman" w:ascii="Times New Roman"/>
          <w:sz w:val="24"/>
          <w:szCs w:val="24"/>
        </w:rPr>
        <w:t>5.000,00 kn</w:t>
      </w:r>
    </w:p>
    <w:p w:rsidRDefault="00F11BDE" w:rsidP="00F11BDE" w:rsidR="00EA7581">
      <w:pPr>
        <w:jc w:val="both"/>
        <w:rPr>
          <w:rFonts w:cs="Times New Roman" w:hAnsi="Times New Roman" w:ascii="Times New Roman"/>
          <w:bCs/>
          <w:iCs/>
          <w:sz w:val="24"/>
          <w:szCs w:val="24"/>
        </w:rPr>
      </w:pPr>
      <w:r>
        <w:rPr>
          <w:rFonts w:cs="Times New Roman" w:hAnsi="Times New Roman" w:ascii="Times New Roman"/>
          <w:bCs/>
          <w:iCs/>
          <w:sz w:val="24"/>
          <w:szCs w:val="24"/>
        </w:rPr>
        <w:t xml:space="preserve">- </w:t>
      </w:r>
      <w:r w:rsidR="00806032" w:rsidRPr="00F11BDE">
        <w:rPr>
          <w:rFonts w:cs="Times New Roman" w:hAnsi="Times New Roman" w:ascii="Times New Roman"/>
          <w:bCs/>
          <w:iCs/>
          <w:sz w:val="24"/>
          <w:szCs w:val="24"/>
        </w:rPr>
        <w:t>Procjena nagrade stečajn</w:t>
      </w:r>
      <w:r w:rsidR="00D41F86" w:rsidRPr="00F11BDE">
        <w:rPr>
          <w:rFonts w:cs="Times New Roman" w:hAnsi="Times New Roman" w:ascii="Times New Roman"/>
          <w:bCs/>
          <w:iCs/>
          <w:sz w:val="24"/>
          <w:szCs w:val="24"/>
        </w:rPr>
        <w:t xml:space="preserve">om </w:t>
      </w:r>
      <w:r w:rsidR="00806032" w:rsidRPr="00F11BDE">
        <w:rPr>
          <w:rFonts w:cs="Times New Roman" w:hAnsi="Times New Roman" w:ascii="Times New Roman"/>
          <w:bCs/>
          <w:iCs/>
          <w:sz w:val="24"/>
          <w:szCs w:val="24"/>
        </w:rPr>
        <w:t xml:space="preserve"> upravitelj</w:t>
      </w:r>
      <w:r w:rsidR="00D41F86" w:rsidRPr="00F11BDE">
        <w:rPr>
          <w:rFonts w:cs="Times New Roman" w:hAnsi="Times New Roman" w:ascii="Times New Roman"/>
          <w:bCs/>
          <w:iCs/>
          <w:sz w:val="24"/>
          <w:szCs w:val="24"/>
        </w:rPr>
        <w:t>u</w:t>
      </w:r>
      <w:r w:rsidR="00806032" w:rsidRPr="00F11BDE">
        <w:rPr>
          <w:rFonts w:cs="Times New Roman" w:hAnsi="Times New Roman" w:ascii="Times New Roman"/>
          <w:bCs/>
          <w:iCs/>
          <w:sz w:val="24"/>
          <w:szCs w:val="24"/>
        </w:rPr>
        <w:t xml:space="preserve"> </w:t>
      </w:r>
      <w:r w:rsidR="00D41F86" w:rsidRPr="00F11BDE">
        <w:rPr>
          <w:rFonts w:cs="Times New Roman" w:hAnsi="Times New Roman" w:ascii="Times New Roman"/>
          <w:bCs/>
          <w:iCs/>
          <w:sz w:val="24"/>
          <w:szCs w:val="24"/>
        </w:rPr>
        <w:t xml:space="preserve">pod uvjetom da </w:t>
      </w:r>
      <w:r w:rsidR="00806032" w:rsidRPr="00F11BDE">
        <w:rPr>
          <w:rFonts w:cs="Times New Roman" w:hAnsi="Times New Roman" w:ascii="Times New Roman"/>
          <w:bCs/>
          <w:iCs/>
          <w:sz w:val="24"/>
          <w:szCs w:val="24"/>
        </w:rPr>
        <w:t xml:space="preserve"> im</w:t>
      </w:r>
      <w:r w:rsidR="00D41F86" w:rsidRPr="00F11BDE">
        <w:rPr>
          <w:rFonts w:cs="Times New Roman" w:hAnsi="Times New Roman" w:ascii="Times New Roman"/>
          <w:bCs/>
          <w:iCs/>
          <w:sz w:val="24"/>
          <w:szCs w:val="24"/>
        </w:rPr>
        <w:t>o</w:t>
      </w:r>
      <w:r w:rsidR="00806032" w:rsidRPr="00F11BDE">
        <w:rPr>
          <w:rFonts w:cs="Times New Roman" w:hAnsi="Times New Roman" w:ascii="Times New Roman"/>
          <w:bCs/>
          <w:iCs/>
          <w:sz w:val="24"/>
          <w:szCs w:val="24"/>
        </w:rPr>
        <w:t>vina vrijedi 150.000,00 kn je bruto 22.000,00 kn.</w:t>
      </w:r>
    </w:p>
    <w:p w:rsidRDefault="00F11BDE" w:rsidP="00F11BDE" w:rsidR="00F11BDE" w:rsidRPr="00F11BDE">
      <w:pPr>
        <w:jc w:val="both"/>
        <w:rPr>
          <w:rFonts w:cs="Times New Roman" w:hAnsi="Times New Roman" w:ascii="Times New Roman"/>
          <w:b/>
          <w:bCs/>
          <w:iCs/>
          <w:sz w:val="24"/>
          <w:szCs w:val="24"/>
        </w:rPr>
      </w:pPr>
      <w:r w:rsidRPr="00F11BDE">
        <w:rPr>
          <w:rFonts w:cs="Times New Roman" w:hAnsi="Times New Roman" w:ascii="Times New Roman"/>
          <w:b/>
          <w:bCs/>
          <w:iCs/>
          <w:sz w:val="24"/>
          <w:szCs w:val="24"/>
        </w:rPr>
        <w:t>Ukupni procijenjeni troškovi iznose 57.200,00 kn</w:t>
      </w:r>
    </w:p>
    <w:p w:rsidRDefault="00F11BDE" w:rsidP="00F11BDE" w:rsidR="00F11BDE" w:rsidRPr="00F11BDE">
      <w:pPr>
        <w:jc w:val="both"/>
        <w:rPr>
          <w:rFonts w:cs="Times New Roman" w:hAnsi="Times New Roman" w:ascii="Times New Roman"/>
          <w:bCs/>
          <w:iCs/>
          <w:sz w:val="24"/>
          <w:szCs w:val="24"/>
        </w:rPr>
      </w:pPr>
    </w:p>
    <w:p w:rsidRDefault="00EA7581" w:rsidR="00EA7581" w:rsidRPr="00D41F86">
      <w:pPr>
        <w:jc w:val="both"/>
        <w:rPr>
          <w:rFonts w:cs="Times New Roman" w:hAnsi="Times New Roman" w:ascii="Times New Roman"/>
          <w:b/>
          <w:bCs/>
          <w:iCs/>
          <w:sz w:val="24"/>
          <w:szCs w:val="24"/>
        </w:rPr>
      </w:pPr>
    </w:p>
    <w:p w:rsidRDefault="00806032" w:rsidR="00EA7581" w:rsidRPr="00D41F86">
      <w:pPr>
        <w:jc w:val="both"/>
        <w:rPr>
          <w:rFonts w:cs="Times New Roman" w:hAnsi="Times New Roman" w:ascii="Times New Roman"/>
          <w:b/>
          <w:bCs/>
          <w:iCs/>
          <w:sz w:val="24"/>
          <w:szCs w:val="24"/>
        </w:rPr>
      </w:pPr>
      <w:r w:rsidRPr="00D41F86">
        <w:rPr>
          <w:rFonts w:cs="Times New Roman" w:hAnsi="Times New Roman" w:ascii="Times New Roman"/>
          <w:b/>
          <w:bCs/>
          <w:iCs/>
          <w:sz w:val="24"/>
          <w:szCs w:val="24"/>
        </w:rPr>
        <w:t xml:space="preserve">7. </w:t>
      </w:r>
      <w:r w:rsidR="00D41F86" w:rsidRPr="00D41F86">
        <w:rPr>
          <w:rFonts w:cs="Times New Roman" w:hAnsi="Times New Roman" w:ascii="Times New Roman"/>
          <w:b/>
          <w:bCs/>
          <w:iCs/>
          <w:sz w:val="24"/>
          <w:szCs w:val="24"/>
        </w:rPr>
        <w:t>ZAKLJUČ</w:t>
      </w:r>
      <w:r w:rsidR="00D41F86">
        <w:rPr>
          <w:rFonts w:cs="Times New Roman" w:hAnsi="Times New Roman" w:ascii="Times New Roman"/>
          <w:b/>
          <w:bCs/>
          <w:iCs/>
          <w:sz w:val="24"/>
          <w:szCs w:val="24"/>
        </w:rPr>
        <w:t>CI I PRIJEDLOZI</w:t>
      </w:r>
    </w:p>
    <w:p w:rsidRDefault="00EA7581" w:rsidR="00EA7581" w:rsidRPr="0033314D">
      <w:pPr>
        <w:jc w:val="both"/>
        <w:rPr>
          <w:rFonts w:cs="Times New Roman" w:hAnsi="Times New Roman" w:ascii="Times New Roman"/>
          <w:sz w:val="24"/>
          <w:szCs w:val="24"/>
        </w:rPr>
      </w:pPr>
    </w:p>
    <w:p w:rsidRDefault="00806032" w:rsidR="00EA7581" w:rsidRPr="00D41F86">
      <w:pPr>
        <w:jc w:val="both"/>
        <w:rPr>
          <w:rFonts w:cs="Times New Roman" w:hAnsi="Times New Roman" w:ascii="Times New Roman"/>
          <w:b/>
          <w:bCs/>
          <w:iCs/>
          <w:sz w:val="24"/>
          <w:szCs w:val="24"/>
        </w:rPr>
      </w:pPr>
      <w:r w:rsidRPr="00D41F86">
        <w:rPr>
          <w:rFonts w:cs="Times New Roman" w:hAnsi="Times New Roman" w:ascii="Times New Roman"/>
          <w:b/>
          <w:bCs/>
          <w:iCs/>
          <w:sz w:val="24"/>
          <w:szCs w:val="24"/>
        </w:rPr>
        <w:t xml:space="preserve">Sukladno </w:t>
      </w:r>
      <w:r w:rsidR="00D41F86" w:rsidRPr="00D41F86">
        <w:rPr>
          <w:rFonts w:cs="Times New Roman" w:hAnsi="Times New Roman" w:ascii="Times New Roman"/>
          <w:b/>
          <w:bCs/>
          <w:iCs/>
          <w:sz w:val="24"/>
          <w:szCs w:val="24"/>
        </w:rPr>
        <w:t>naprijed navedenom</w:t>
      </w:r>
      <w:r w:rsidRPr="00D41F86">
        <w:rPr>
          <w:rFonts w:cs="Times New Roman" w:hAnsi="Times New Roman" w:ascii="Times New Roman"/>
          <w:b/>
          <w:bCs/>
          <w:iCs/>
          <w:sz w:val="24"/>
          <w:szCs w:val="24"/>
        </w:rPr>
        <w:t xml:space="preserve"> stečajn</w:t>
      </w:r>
      <w:r w:rsidR="00D41F86" w:rsidRPr="00D41F86">
        <w:rPr>
          <w:rFonts w:cs="Times New Roman" w:hAnsi="Times New Roman" w:ascii="Times New Roman"/>
          <w:b/>
          <w:bCs/>
          <w:iCs/>
          <w:sz w:val="24"/>
          <w:szCs w:val="24"/>
        </w:rPr>
        <w:t>i</w:t>
      </w:r>
      <w:r w:rsidRPr="00D41F86">
        <w:rPr>
          <w:rFonts w:cs="Times New Roman" w:hAnsi="Times New Roman" w:ascii="Times New Roman"/>
          <w:b/>
          <w:bCs/>
          <w:iCs/>
          <w:sz w:val="24"/>
          <w:szCs w:val="24"/>
        </w:rPr>
        <w:t xml:space="preserve"> upravitelj predlaže da </w:t>
      </w:r>
      <w:r w:rsidR="00D41F86" w:rsidRPr="00D41F86">
        <w:rPr>
          <w:rFonts w:cs="Times New Roman" w:hAnsi="Times New Roman" w:ascii="Times New Roman"/>
          <w:b/>
          <w:bCs/>
          <w:iCs/>
          <w:sz w:val="24"/>
          <w:szCs w:val="24"/>
        </w:rPr>
        <w:t xml:space="preserve">skupština </w:t>
      </w:r>
      <w:r w:rsidRPr="00D41F86">
        <w:rPr>
          <w:rFonts w:cs="Times New Roman" w:hAnsi="Times New Roman" w:ascii="Times New Roman"/>
          <w:b/>
          <w:bCs/>
          <w:iCs/>
          <w:sz w:val="24"/>
          <w:szCs w:val="24"/>
        </w:rPr>
        <w:t>vjerovni</w:t>
      </w:r>
      <w:r w:rsidR="00D41F86" w:rsidRPr="00D41F86">
        <w:rPr>
          <w:rFonts w:cs="Times New Roman" w:hAnsi="Times New Roman" w:ascii="Times New Roman"/>
          <w:b/>
          <w:bCs/>
          <w:iCs/>
          <w:sz w:val="24"/>
          <w:szCs w:val="24"/>
        </w:rPr>
        <w:t>ka</w:t>
      </w:r>
      <w:r w:rsidRPr="00D41F86">
        <w:rPr>
          <w:rFonts w:cs="Times New Roman" w:hAnsi="Times New Roman" w:ascii="Times New Roman"/>
          <w:b/>
          <w:bCs/>
          <w:iCs/>
          <w:sz w:val="24"/>
          <w:szCs w:val="24"/>
        </w:rPr>
        <w:t xml:space="preserve"> na ročištu zakazanom za dan 06. veljače 2018. godine donesu slijedeće odluke:</w:t>
      </w:r>
    </w:p>
    <w:p w:rsidRDefault="00806032" w:rsidR="00EA7581" w:rsidRPr="00D41F86">
      <w:pPr>
        <w:jc w:val="both"/>
        <w:rPr>
          <w:rFonts w:cs="Times New Roman" w:hAnsi="Times New Roman" w:ascii="Times New Roman"/>
          <w:b/>
          <w:bCs/>
          <w:iCs/>
          <w:sz w:val="24"/>
          <w:szCs w:val="24"/>
        </w:rPr>
      </w:pPr>
      <w:r w:rsidRPr="00D41F86">
        <w:rPr>
          <w:rFonts w:cs="Times New Roman" w:hAnsi="Times New Roman" w:ascii="Times New Roman"/>
          <w:b/>
          <w:bCs/>
          <w:iCs/>
          <w:sz w:val="24"/>
          <w:szCs w:val="24"/>
        </w:rPr>
        <w:t xml:space="preserve">1.) Prihvaća se </w:t>
      </w:r>
      <w:r w:rsidR="00D41F86">
        <w:rPr>
          <w:rFonts w:cs="Times New Roman" w:hAnsi="Times New Roman" w:ascii="Times New Roman"/>
          <w:b/>
          <w:bCs/>
          <w:iCs/>
          <w:sz w:val="24"/>
          <w:szCs w:val="24"/>
        </w:rPr>
        <w:t xml:space="preserve">u cijelosti </w:t>
      </w:r>
      <w:r w:rsidRPr="00D41F86">
        <w:rPr>
          <w:rFonts w:cs="Times New Roman" w:hAnsi="Times New Roman" w:ascii="Times New Roman"/>
          <w:b/>
          <w:bCs/>
          <w:iCs/>
          <w:sz w:val="24"/>
          <w:szCs w:val="24"/>
        </w:rPr>
        <w:t>izvješće stečajn</w:t>
      </w:r>
      <w:r w:rsidR="00D41F86">
        <w:rPr>
          <w:rFonts w:cs="Times New Roman" w:hAnsi="Times New Roman" w:ascii="Times New Roman"/>
          <w:b/>
          <w:bCs/>
          <w:iCs/>
          <w:sz w:val="24"/>
          <w:szCs w:val="24"/>
        </w:rPr>
        <w:t>og</w:t>
      </w:r>
      <w:r w:rsidRPr="00D41F86">
        <w:rPr>
          <w:rFonts w:cs="Times New Roman" w:hAnsi="Times New Roman" w:ascii="Times New Roman"/>
          <w:b/>
          <w:bCs/>
          <w:iCs/>
          <w:sz w:val="24"/>
          <w:szCs w:val="24"/>
        </w:rPr>
        <w:t xml:space="preserve"> upravitelj</w:t>
      </w:r>
      <w:r w:rsidR="00D41F86">
        <w:rPr>
          <w:rFonts w:cs="Times New Roman" w:hAnsi="Times New Roman" w:ascii="Times New Roman"/>
          <w:b/>
          <w:bCs/>
          <w:iCs/>
          <w:sz w:val="24"/>
          <w:szCs w:val="24"/>
        </w:rPr>
        <w:t>a</w:t>
      </w:r>
      <w:r w:rsidRPr="00D41F86">
        <w:rPr>
          <w:rFonts w:cs="Times New Roman" w:hAnsi="Times New Roman" w:ascii="Times New Roman"/>
          <w:b/>
          <w:bCs/>
          <w:iCs/>
          <w:sz w:val="24"/>
          <w:szCs w:val="24"/>
        </w:rPr>
        <w:t xml:space="preserve"> o gospodarskom položaju stečajnog dužnika i njegovim uzrocima.</w:t>
      </w:r>
    </w:p>
    <w:p w:rsidRDefault="00806032" w:rsidR="00EA7581" w:rsidRPr="00D41F86">
      <w:pPr>
        <w:jc w:val="both"/>
        <w:rPr>
          <w:rFonts w:cs="Times New Roman" w:hAnsi="Times New Roman" w:ascii="Times New Roman"/>
          <w:b/>
          <w:bCs/>
          <w:iCs/>
          <w:sz w:val="24"/>
          <w:szCs w:val="24"/>
        </w:rPr>
      </w:pPr>
      <w:r w:rsidRPr="00D41F86">
        <w:rPr>
          <w:rFonts w:cs="Times New Roman" w:hAnsi="Times New Roman" w:ascii="Times New Roman"/>
          <w:b/>
          <w:bCs/>
          <w:iCs/>
          <w:sz w:val="24"/>
          <w:szCs w:val="24"/>
        </w:rPr>
        <w:t>2.) Utvrđuje se da nema mogućnosti da se poslovanje stečajnog dužnika nastavi ili ponovno pokrene.</w:t>
      </w:r>
    </w:p>
    <w:p w:rsidRDefault="00806032" w:rsidR="00EA7581" w:rsidRPr="00D41F86">
      <w:pPr>
        <w:jc w:val="both"/>
        <w:rPr>
          <w:rFonts w:cs="Times New Roman" w:hAnsi="Times New Roman" w:ascii="Times New Roman"/>
          <w:b/>
          <w:bCs/>
          <w:iCs/>
          <w:sz w:val="24"/>
          <w:szCs w:val="24"/>
        </w:rPr>
      </w:pPr>
      <w:r w:rsidRPr="00D41F86">
        <w:rPr>
          <w:rFonts w:cs="Times New Roman" w:hAnsi="Times New Roman" w:ascii="Times New Roman"/>
          <w:b/>
          <w:bCs/>
          <w:iCs/>
          <w:sz w:val="24"/>
          <w:szCs w:val="24"/>
        </w:rPr>
        <w:t>3.) Prihvaćaju se do sada poduzete radnje stečajnog upravitelja.</w:t>
      </w:r>
    </w:p>
    <w:p w:rsidRDefault="00806032" w:rsidR="00EA7581" w:rsidRPr="00D41F86">
      <w:pPr>
        <w:jc w:val="both"/>
        <w:rPr>
          <w:rFonts w:cs="Times New Roman" w:hAnsi="Times New Roman" w:ascii="Times New Roman"/>
          <w:b/>
          <w:bCs/>
          <w:iCs/>
          <w:sz w:val="24"/>
          <w:szCs w:val="24"/>
        </w:rPr>
      </w:pPr>
      <w:r w:rsidRPr="00D41F86">
        <w:rPr>
          <w:rFonts w:cs="Times New Roman" w:hAnsi="Times New Roman" w:ascii="Times New Roman"/>
          <w:b/>
          <w:bCs/>
          <w:iCs/>
          <w:sz w:val="24"/>
          <w:szCs w:val="24"/>
        </w:rPr>
        <w:lastRenderedPageBreak/>
        <w:t>4.) Parnice i postupci u tijeku odnosno novi postupci nastaviti će se ili pokrenuti u korist stečajne mase ovisno o procjeni stečajnog upravitelja. U tu svrhu ovlašćuje se stečajni upravitelj izdati odvjetniku po svome izboru punomoć za zastupanje u tim postupcima.</w:t>
      </w:r>
    </w:p>
    <w:p w:rsidRDefault="00806032" w:rsidR="00EA7581" w:rsidRPr="00D41F86">
      <w:pPr>
        <w:jc w:val="both"/>
        <w:rPr>
          <w:rFonts w:cs="Times New Roman" w:hAnsi="Times New Roman" w:ascii="Times New Roman"/>
        </w:rPr>
      </w:pPr>
      <w:r w:rsidRPr="00D41F86">
        <w:rPr>
          <w:rFonts w:cs="Times New Roman" w:hAnsi="Times New Roman" w:ascii="Times New Roman"/>
          <w:b/>
          <w:bCs/>
          <w:iCs/>
          <w:color w:themeTint="D9" w:themeColor="text1" w:val="262626"/>
          <w:sz w:val="24"/>
          <w:szCs w:val="24"/>
        </w:rPr>
        <w:t>6.) Prihvaća se prijedlog stečajn</w:t>
      </w:r>
      <w:r w:rsidR="00D41F86">
        <w:rPr>
          <w:rFonts w:cs="Times New Roman" w:hAnsi="Times New Roman" w:ascii="Times New Roman"/>
          <w:b/>
          <w:bCs/>
          <w:iCs/>
          <w:color w:themeTint="D9" w:themeColor="text1" w:val="262626"/>
          <w:sz w:val="24"/>
          <w:szCs w:val="24"/>
        </w:rPr>
        <w:t>og</w:t>
      </w:r>
      <w:r w:rsidRPr="00D41F86">
        <w:rPr>
          <w:rFonts w:cs="Times New Roman" w:hAnsi="Times New Roman" w:ascii="Times New Roman"/>
          <w:b/>
          <w:bCs/>
          <w:iCs/>
          <w:color w:themeTint="D9" w:themeColor="text1" w:val="262626"/>
          <w:sz w:val="24"/>
          <w:szCs w:val="24"/>
        </w:rPr>
        <w:t xml:space="preserve"> upravitelj</w:t>
      </w:r>
      <w:r w:rsidR="00D41F86">
        <w:rPr>
          <w:rFonts w:cs="Times New Roman" w:hAnsi="Times New Roman" w:ascii="Times New Roman"/>
          <w:b/>
          <w:bCs/>
          <w:iCs/>
          <w:color w:themeTint="D9" w:themeColor="text1" w:val="262626"/>
          <w:sz w:val="24"/>
          <w:szCs w:val="24"/>
        </w:rPr>
        <w:t>a</w:t>
      </w:r>
      <w:r w:rsidRPr="00D41F86">
        <w:rPr>
          <w:rFonts w:cs="Times New Roman" w:hAnsi="Times New Roman" w:ascii="Times New Roman"/>
          <w:b/>
          <w:bCs/>
          <w:iCs/>
          <w:color w:themeTint="D9" w:themeColor="text1" w:val="262626"/>
          <w:sz w:val="24"/>
          <w:szCs w:val="24"/>
        </w:rPr>
        <w:t xml:space="preserve"> da se nekretnina oznake k.č. 1927 Ko. Šestine, upisanu u Z.k.ul. 10067 K.o. Šestine, u naravi kuća br. 72 Bijenik i dvorište površine 607 m2, u dijelu od 29/1000, a koji dio je povezan sa etažnim vlasništvom E-7, garaža oznake G1 u podrumu  ukupne površine 12,50 m2 proda putem FINE.</w:t>
      </w:r>
    </w:p>
    <w:p w:rsidRDefault="00EA7581" w:rsidR="00EA7581">
      <w:pPr>
        <w:jc w:val="both"/>
        <w:rPr>
          <w:rFonts w:cs="Times New Roman" w:hAnsi="Times New Roman" w:ascii="Times New Roman"/>
          <w:sz w:val="24"/>
          <w:szCs w:val="24"/>
        </w:rPr>
      </w:pPr>
    </w:p>
    <w:p w:rsidRDefault="00F11BDE" w:rsidR="00F11BDE">
      <w:pPr>
        <w:jc w:val="both"/>
        <w:rPr>
          <w:rFonts w:cs="Times New Roman" w:hAnsi="Times New Roman" w:ascii="Times New Roman"/>
          <w:sz w:val="24"/>
          <w:szCs w:val="24"/>
        </w:rPr>
      </w:pPr>
    </w:p>
    <w:p w:rsidRDefault="00F11BDE" w:rsidR="00F11BDE">
      <w:pPr>
        <w:jc w:val="both"/>
        <w:rPr>
          <w:rFonts w:cs="Times New Roman" w:hAnsi="Times New Roman" w:ascii="Times New Roman"/>
          <w:sz w:val="24"/>
          <w:szCs w:val="24"/>
        </w:rPr>
      </w:pPr>
    </w:p>
    <w:p w:rsidRDefault="00F11BDE" w:rsidR="00F11BDE">
      <w:pPr>
        <w:jc w:val="both"/>
        <w:rPr>
          <w:rFonts w:cs="Times New Roman" w:hAnsi="Times New Roman" w:ascii="Times New Roman"/>
          <w:sz w:val="24"/>
          <w:szCs w:val="24"/>
        </w:rPr>
      </w:pPr>
    </w:p>
    <w:p w:rsidRDefault="00F11BDE" w:rsidR="00F11BDE">
      <w:pPr>
        <w:jc w:val="both"/>
        <w:rPr>
          <w:rFonts w:cs="Times New Roman" w:hAnsi="Times New Roman" w:ascii="Times New Roman"/>
          <w:sz w:val="24"/>
          <w:szCs w:val="24"/>
        </w:rPr>
      </w:pPr>
    </w:p>
    <w:p w:rsidRDefault="00F11BDE" w:rsidR="00F11BDE">
      <w:pPr>
        <w:jc w:val="both"/>
        <w:rPr>
          <w:rFonts w:cs="Times New Roman" w:hAnsi="Times New Roman" w:ascii="Times New Roman"/>
          <w:sz w:val="24"/>
          <w:szCs w:val="24"/>
        </w:rPr>
      </w:pPr>
    </w:p>
    <w:p w:rsidRDefault="00F11BDE" w:rsidR="00F11BDE">
      <w:pPr>
        <w:jc w:val="both"/>
        <w:rPr>
          <w:rFonts w:cs="Times New Roman" w:hAnsi="Times New Roman" w:ascii="Times New Roman"/>
          <w:sz w:val="24"/>
          <w:szCs w:val="24"/>
        </w:rPr>
      </w:pPr>
    </w:p>
    <w:p w:rsidRDefault="00F11BDE" w:rsidR="00F11BDE" w:rsidRPr="00D41F86">
      <w:pPr>
        <w:jc w:val="both"/>
        <w:rPr>
          <w:rFonts w:cs="Times New Roman" w:hAnsi="Times New Roman" w:ascii="Times New Roman"/>
          <w:sz w:val="24"/>
          <w:szCs w:val="24"/>
        </w:rPr>
      </w:pPr>
    </w:p>
    <w:p w:rsidRDefault="00EA7581" w:rsidR="00EA7581" w:rsidRPr="00D41F86">
      <w:pPr>
        <w:jc w:val="both"/>
        <w:rPr>
          <w:rFonts w:cs="Times New Roman" w:hAnsi="Times New Roman" w:ascii="Times New Roman"/>
        </w:rPr>
      </w:pPr>
    </w:p>
    <w:p w:rsidRDefault="00806032" w:rsidR="00EA7581">
      <w:pPr>
        <w:jc w:val="right"/>
        <w:rPr>
          <w:rFonts w:cs="Times New Roman" w:hAnsi="Times New Roman" w:ascii="Times New Roman"/>
          <w:sz w:val="24"/>
          <w:szCs w:val="24"/>
        </w:rPr>
      </w:pPr>
      <w:r w:rsidRPr="00D41F86">
        <w:rPr>
          <w:rFonts w:cs="Times New Roman" w:hAnsi="Times New Roman" w:ascii="Times New Roman"/>
          <w:sz w:val="24"/>
          <w:szCs w:val="24"/>
        </w:rPr>
        <w:t>Stečajn</w:t>
      </w:r>
      <w:r w:rsidR="00F11BDE">
        <w:rPr>
          <w:rFonts w:cs="Times New Roman" w:hAnsi="Times New Roman" w:ascii="Times New Roman"/>
          <w:sz w:val="24"/>
          <w:szCs w:val="24"/>
        </w:rPr>
        <w:t>i</w:t>
      </w:r>
      <w:r w:rsidRPr="00D41F86">
        <w:rPr>
          <w:rFonts w:cs="Times New Roman" w:hAnsi="Times New Roman" w:ascii="Times New Roman"/>
          <w:sz w:val="24"/>
          <w:szCs w:val="24"/>
        </w:rPr>
        <w:t xml:space="preserve"> upravitelj</w:t>
      </w:r>
    </w:p>
    <w:p w:rsidRDefault="00F11BDE" w:rsidR="00F11BDE" w:rsidRPr="00D41F86">
      <w:pPr>
        <w:jc w:val="right"/>
        <w:rPr>
          <w:rFonts w:cs="Times New Roman" w:hAnsi="Times New Roman" w:ascii="Times New Roman"/>
        </w:rPr>
      </w:pPr>
    </w:p>
    <w:p w:rsidRDefault="00F11BDE" w:rsidR="00EA7581" w:rsidRPr="00D41F86">
      <w:pPr>
        <w:jc w:val="right"/>
        <w:rPr>
          <w:rFonts w:cs="Times New Roman" w:hAnsi="Times New Roman" w:ascii="Times New Roman"/>
        </w:rPr>
      </w:pPr>
      <w:r>
        <w:rPr>
          <w:rFonts w:cs="Times New Roman" w:hAnsi="Times New Roman" w:ascii="Times New Roman"/>
          <w:sz w:val="24"/>
          <w:szCs w:val="24"/>
        </w:rPr>
        <w:t>Zoran Mihajlović</w:t>
      </w:r>
    </w:p>
    <w:p w:rsidRDefault="00806032" w:rsidR="00EA7581" w:rsidRPr="00D41F86">
      <w:pPr>
        <w:jc w:val="both"/>
        <w:rPr>
          <w:rFonts w:cs="Times New Roman" w:hAnsi="Times New Roman" w:ascii="Times New Roman"/>
        </w:rPr>
      </w:pPr>
      <w:r w:rsidRPr="00D41F86">
        <w:rPr>
          <w:rFonts w:cs="Times New Roman" w:hAnsi="Times New Roman" w:ascii="Times New Roman"/>
          <w:sz w:val="24"/>
          <w:szCs w:val="24"/>
        </w:rPr>
        <w:t xml:space="preserve">  </w:t>
      </w:r>
    </w:p>
    <w:p w:rsidRDefault="00EA7581" w:rsidR="00EA7581" w:rsidRPr="0033314D">
      <w:pPr>
        <w:jc w:val="both"/>
        <w:rPr>
          <w:rFonts w:cs="Times New Roman" w:hAnsi="Times New Roman" w:ascii="Times New Roman"/>
          <w:sz w:val="24"/>
          <w:szCs w:val="24"/>
        </w:rPr>
      </w:pPr>
    </w:p>
    <w:p w:rsidRDefault="00EA7581" w:rsidR="00EA7581">
      <w:pPr>
        <w:jc w:val="both"/>
        <w:rPr>
          <w:sz w:val="24"/>
          <w:szCs w:val="24"/>
        </w:rPr>
      </w:pPr>
    </w:p>
    <w:p w:rsidRDefault="00EA7581" w:rsidR="00EA7581">
      <w:pPr>
        <w:jc w:val="both"/>
        <w:rPr>
          <w:sz w:val="24"/>
          <w:szCs w:val="24"/>
        </w:rPr>
      </w:pPr>
    </w:p>
    <w:p w:rsidRDefault="00EA7581" w:rsidR="00EA7581">
      <w:pPr>
        <w:jc w:val="both"/>
        <w:rPr>
          <w:sz w:val="24"/>
          <w:szCs w:val="24"/>
        </w:rPr>
      </w:pPr>
    </w:p>
    <w:p w:rsidRDefault="00EA7581" w:rsidR="00EA7581" w:rsidRPr="0033314D">
      <w:pPr>
        <w:jc w:val="both"/>
        <w:rPr>
          <w:rFonts w:cs="Times New Roman" w:hAnsi="Times New Roman" w:ascii="Times New Roman"/>
          <w:sz w:val="24"/>
          <w:szCs w:val="24"/>
        </w:rPr>
      </w:pPr>
    </w:p>
    <w:p w:rsidRDefault="00EA7581" w:rsidR="00EA7581">
      <w:pPr>
        <w:jc w:val="both"/>
      </w:pPr>
    </w:p>
    <w:sectPr w:rsidR="00EA7581">
      <w:footerReference w:type="default" r:id="rId10"/>
      <w:pgSz w:h="16838" w:w="11906"/>
      <w:pgMar w:gutter="0" w:footer="708" w:header="0" w:left="1417" w:bottom="1417" w:right="1417" w:top="1417"/>
      <w:pgNumType w:start="0"/>
      <w:cols w:space="720"/>
      <w:formProt w:val="false"/>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6396" w:rsidR="00D56396">
      <w:pPr>
        <w:spacing w:lineRule="auto" w:line="240" w:after="0"/>
      </w:pPr>
      <w:r>
        <w:separator/>
      </w:r>
    </w:p>
  </w:endnote>
  <w:endnote w:id="0" w:type="continuationSeparator">
    <w:p w:rsidRDefault="00D56396" w:rsidR="00D5639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Liberation Sans">
    <w:altName w:val="Arial"/>
    <w:charset w:val="EE"/>
    <w:family w:val="roman"/>
    <w:pitch w:val="variable"/>
  </w:font>
  <w:font w:name="Microsoft YaHei">
    <w:panose1 w:val="020B0503020204020204"/>
    <w:charset w:val="86"/>
    <w:family w:val="swiss"/>
    <w:pitch w:val="variable"/>
    <w:sig w:csb1="00000000" w:csb0="0004001F" w:usb3="00000000" w:usb2="00000016" w:usb1="280F3C52" w:usb0="80000287"/>
  </w:font>
  <w:font w:name="Mangal">
    <w:panose1 w:val="02040503050203030202"/>
    <w:charset w:val="01"/>
    <w:family w:val="roman"/>
    <w:notTrueType/>
    <w:pitch w:val="variable"/>
    <w:sig w:csb1="00000000" w:csb0="00000000" w:usb3="00000000" w:usb2="00000000" w:usb1="00000000" w:usb0="00002000"/>
  </w:font>
  <w:font w:name="Liberation Serif">
    <w:altName w:val="Times New Roman"/>
    <w:charset w:val="00"/>
    <w:family w:val="roman"/>
    <w:pitch w:val="variable"/>
  </w:font>
  <w:font w:name="SimSun">
    <w:altName w:val="宋体"/>
    <w:panose1 w:val="02010600030101010101"/>
    <w:charset w:val="86"/>
    <w:family w:val="auto"/>
    <w:notTrueType/>
    <w:pitch w:val="variable"/>
    <w:sig w:csb1="00000000" w:csb0="00040000" w:usb3="00000000" w:usb2="00000010" w:usb1="080E0000" w:usb0="00000001"/>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33591818"/>
      <w:docPartObj>
        <w:docPartGallery w:val="Page Numbers (Bottom of Page)"/>
        <w:docPartUnique/>
      </w:docPartObj>
    </w:sdtPr>
    <w:sdtEndPr/>
    <w:sdtContent>
      <w:p w:rsidRDefault="00806032" w:rsidR="00EA7581">
        <w:pPr>
          <w:pStyle w:val="Podnoje"/>
          <w:jc w:val="center"/>
        </w:pPr>
        <w:r>
          <w:fldChar w:fldCharType="begin"/>
        </w:r>
        <w:r>
          <w:instrText>PAGE</w:instrText>
        </w:r>
        <w:r>
          <w:fldChar w:fldCharType="separate"/>
        </w:r>
        <w:r w:rsidR="008F284D">
          <w:rPr>
            <w:noProof/>
          </w:rPr>
          <w:t>11</w:t>
        </w:r>
        <w:r>
          <w:fldChar w:fldCharType="end"/>
        </w:r>
      </w:p>
    </w:sdtContent>
  </w:sdt>
  <w:p w:rsidRDefault="00EA7581" w:rsidR="00EA75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6396" w:rsidR="00D56396">
      <w:pPr>
        <w:spacing w:lineRule="auto" w:line="240" w:after="0"/>
      </w:pPr>
      <w:r>
        <w:separator/>
      </w:r>
    </w:p>
  </w:footnote>
  <w:footnote w:id="0" w:type="continuationSeparator">
    <w:p w:rsidRDefault="00D56396" w:rsidR="00D56396">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A449ED"/>
    <w:multiLevelType w:val="hybridMultilevel"/>
    <w:tmpl w:val="5238BC0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B131607"/>
    <w:multiLevelType w:val="hybridMultilevel"/>
    <w:tmpl w:val="78A85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B0020F5"/>
    <w:multiLevelType w:val="hybridMultilevel"/>
    <w:tmpl w:val="C34CD80A"/>
    <w:lvl w:tplc="169E1AC2"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6"/>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A7581"/>
    <w:rsid w:val="00151FFE"/>
    <w:rsid w:val="0033314D"/>
    <w:rsid w:val="00360425"/>
    <w:rsid w:val="0040290C"/>
    <w:rsid w:val="00536672"/>
    <w:rsid w:val="00806032"/>
    <w:rsid w:val="008F284D"/>
    <w:rsid w:val="00913857"/>
    <w:rsid w:val="00B45910"/>
    <w:rsid w:val="00BA5694"/>
    <w:rsid w:val="00C10ED8"/>
    <w:rsid w:val="00D23D0E"/>
    <w:rsid w:val="00D41F86"/>
    <w:rsid w:val="00D56396"/>
    <w:rsid w:val="00D71035"/>
    <w:rsid w:val="00DB4182"/>
    <w:rsid w:val="00EA7581"/>
    <w:rsid w:val="00F11BDE"/>
  </w:rsids>
  <m:mathPr>
    <m:mathFont m:val="Cambria Math"/>
    <m:brkBin m:val="before"/>
    <m:brkBinSub m:val="--"/>
    <m:smallFrac m:val="0"/>
    <m:dispDef/>
    <m:lMargin m:val="0"/>
    <m:rMargin m:val="0"/>
    <m:defJc m:val="centerGroup"/>
    <m:wrapIndent m:val="1440"/>
    <m:intLim m:val="subSup"/>
    <m:naryLim m:val="undOvr"/>
  </m:mathPr>
  <w:themeFontLang w:bidi="" w:eastAsia=""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A4584"/>
    <w:pPr>
      <w:suppressAutoHyphens/>
      <w:spacing w:lineRule="auto" w:line="276" w:after="200"/>
    </w:pPr>
    <w:rPr>
      <w:color w:val="00000A"/>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Internetskapoveznica" w:type="character">
    <w:name w:val="Internetska poveznica"/>
    <w:basedOn w:val="Zadanifontodlomka"/>
    <w:uiPriority w:val="99"/>
    <w:unhideWhenUsed/>
    <w:rsid w:val="0086061A"/>
    <w:rPr>
      <w:color w:themeColor="hyperlink" w:val="0000FF"/>
      <w:u w:val="single"/>
    </w:rPr>
  </w:style>
  <w:style w:customStyle="true" w:styleId="ZaglavljeChar" w:type="character">
    <w:name w:val="Zaglavlje Char"/>
    <w:basedOn w:val="Zadanifontodlomka"/>
    <w:link w:val="Zaglavlje"/>
    <w:uiPriority w:val="99"/>
    <w:semiHidden/>
    <w:qFormat/>
    <w:rsid w:val="008942E0"/>
  </w:style>
  <w:style w:customStyle="true" w:styleId="PodnojeChar" w:type="character">
    <w:name w:val="Podnožje Char"/>
    <w:basedOn w:val="Zadanifontodlomka"/>
    <w:link w:val="Podnoje"/>
    <w:uiPriority w:val="99"/>
    <w:qFormat/>
    <w:rsid w:val="008942E0"/>
  </w:style>
  <w:style w:customStyle="true" w:styleId="Stilnaslova" w:type="paragraph">
    <w:name w:val="Stil naslova"/>
    <w:basedOn w:val="Normal"/>
    <w:next w:val="Tijeloteksta"/>
    <w:qFormat/>
    <w:pPr>
      <w:keepNext/>
      <w:spacing w:after="120" w:before="240"/>
    </w:pPr>
    <w:rPr>
      <w:rFonts w:cs="Mangal" w:eastAsia="Microsoft YaHei" w:hAnsi="Liberation Sans" w:ascii="Liberation Sans"/>
      <w:sz w:val="28"/>
      <w:szCs w:val="28"/>
    </w:rPr>
  </w:style>
  <w:style w:styleId="Tijeloteksta" w:type="paragraph">
    <w:name w:val="Body Text"/>
    <w:basedOn w:val="Normal"/>
    <w:pPr>
      <w:spacing w:lineRule="auto" w:line="288" w:after="140"/>
    </w:pPr>
  </w:style>
  <w:style w:styleId="Popis" w:type="paragraph">
    <w:name w:val="List"/>
    <w:basedOn w:val="Tijeloteksta"/>
    <w:rPr>
      <w:rFonts w:cs="Mangal"/>
    </w:rPr>
  </w:style>
  <w:style w:styleId="Opisslike" w:type="paragraph">
    <w:name w:val="caption"/>
    <w:basedOn w:val="Normal"/>
    <w:qFormat/>
    <w:pPr>
      <w:suppressLineNumbers/>
      <w:spacing w:after="120" w:before="120"/>
    </w:pPr>
    <w:rPr>
      <w:rFonts w:cs="Mangal"/>
      <w:i/>
      <w:iCs/>
      <w:sz w:val="24"/>
      <w:szCs w:val="24"/>
    </w:rPr>
  </w:style>
  <w:style w:customStyle="true" w:styleId="Indeks" w:type="paragraph">
    <w:name w:val="Indeks"/>
    <w:basedOn w:val="Normal"/>
    <w:qFormat/>
    <w:pPr>
      <w:suppressLineNumbers/>
    </w:pPr>
    <w:rPr>
      <w:rFonts w:cs="Mangal"/>
    </w:rPr>
  </w:style>
  <w:style w:styleId="Zaglavlje" w:type="paragraph">
    <w:name w:val="header"/>
    <w:basedOn w:val="Normal"/>
    <w:link w:val="ZaglavljeChar"/>
    <w:uiPriority w:val="99"/>
    <w:semiHidden/>
    <w:unhideWhenUsed/>
    <w:rsid w:val="008942E0"/>
    <w:pPr>
      <w:tabs>
        <w:tab w:pos="4536" w:val="center"/>
        <w:tab w:pos="9072" w:val="right"/>
      </w:tabs>
      <w:spacing w:lineRule="auto" w:line="240" w:after="0"/>
    </w:pPr>
  </w:style>
  <w:style w:styleId="Podnoje" w:type="paragraph">
    <w:name w:val="footer"/>
    <w:basedOn w:val="Normal"/>
    <w:link w:val="PodnojeChar"/>
    <w:uiPriority w:val="99"/>
    <w:unhideWhenUsed/>
    <w:rsid w:val="008942E0"/>
    <w:pPr>
      <w:tabs>
        <w:tab w:pos="4536" w:val="center"/>
        <w:tab w:pos="9072" w:val="right"/>
      </w:tabs>
      <w:spacing w:lineRule="auto" w:line="240" w:after="0"/>
    </w:pPr>
  </w:style>
  <w:style w:customStyle="true" w:styleId="Sadrajitablice" w:type="paragraph">
    <w:name w:val="Sadržaji tablice"/>
    <w:basedOn w:val="Normal"/>
    <w:qFormat/>
  </w:style>
  <w:style w:customStyle="true" w:styleId="Naslovtablice" w:type="paragraph">
    <w:name w:val="Naslov tablice"/>
    <w:basedOn w:val="Sadrajitablice"/>
    <w:qFormat/>
  </w:style>
  <w:style w:styleId="Reetkatablice" w:type="table">
    <w:name w:val="Table Grid"/>
    <w:basedOn w:val="Obinatablica"/>
    <w:uiPriority w:val="59"/>
    <w:rsid w:val="00DF054C"/>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Standard" w:type="paragraph">
    <w:name w:val="Standard"/>
    <w:rsid w:val="00B45910"/>
    <w:pPr>
      <w:widowControl w:val="false"/>
      <w:suppressAutoHyphens/>
      <w:autoSpaceDN w:val="false"/>
      <w:textAlignment w:val="baseline"/>
    </w:pPr>
    <w:rPr>
      <w:rFonts w:cs="Arial" w:eastAsia="SimSun" w:hAnsi="Liberation Serif" w:ascii="Liberation Serif"/>
      <w:kern w:val="3"/>
      <w:sz w:val="24"/>
      <w:szCs w:val="24"/>
      <w:lang w:bidi="hi-IN" w:eastAsia="zh-CN"/>
    </w:rPr>
  </w:style>
  <w:style w:styleId="Odlomakpopisa" w:type="paragraph">
    <w:name w:val="List Paragraph"/>
    <w:basedOn w:val="Normal"/>
    <w:uiPriority w:val="34"/>
    <w:qFormat/>
    <w:rsid w:val="00D71035"/>
    <w:pPr>
      <w:ind w:left="720"/>
      <w:contextualSpacing/>
    </w:pPr>
  </w:style>
  <w:style w:styleId="Tekstrezerviranogmjesta" w:type="character">
    <w:name w:val="Placeholder Text"/>
    <w:basedOn w:val="Zadanifontodlomka"/>
    <w:uiPriority w:val="99"/>
    <w:semiHidden/>
    <w:rsid w:val="008F284D"/>
    <w:rPr>
      <w:color w:val="808080"/>
      <w:bdr w:space="0" w:sz="0" w:color="auto" w:val="none"/>
      <w:shd w:fill="auto" w:color="auto" w:val="clear"/>
    </w:rPr>
  </w:style>
  <w:style w:customStyle="true" w:styleId="eSPISCCParagraphDefaultFont" w:type="character">
    <w:name w:val="eSPIS_CC_Paragraph Default Font"/>
    <w:basedOn w:val="Zadanifontodlomka"/>
    <w:rsid w:val="008F284D"/>
    <w:rPr>
      <w:rFonts w:cs="Times New Roman" w:hAnsi="Times New Roman" w:ascii="Times New Roman"/>
      <w:b/>
      <w:sz w:val="24"/>
      <w:szCs w:val="28"/>
      <w:bdr w:space="0" w:sz="0" w:color="auto" w:val="none"/>
      <w:shd w:fill="auto" w:color="auto" w:val="clear"/>
      <w:lang w:val="hr-HR"/>
    </w:rPr>
  </w:style>
  <w:style w:customStyle="true" w:styleId="PozadinaSvijetloZuta" w:type="character">
    <w:name w:val="Pozadina_SvijetloZuta"/>
    <w:basedOn w:val="Zadanifontodlomka"/>
    <w:rsid w:val="008F284D"/>
    <w:rPr>
      <w:rFonts w:cs="Times New Roman" w:hAnsi="Times New Roman" w:ascii="Times New Roman"/>
      <w:b/>
      <w:sz w:val="28"/>
      <w:szCs w:val="28"/>
      <w:bdr w:space="0" w:sz="0" w:color="auto" w:val="none"/>
      <w:shd w:fill="FFFFCC" w:color="auto" w:val="clear"/>
      <w:lang w:val="hr-HR"/>
    </w:rPr>
  </w:style>
  <w:style w:customStyle="true" w:styleId="PozadinaSvijetloCrvena" w:type="character">
    <w:name w:val="Pozadina_SvijetloCrvena"/>
    <w:basedOn w:val="eSPISCCParagraphDefaultFont"/>
    <w:rsid w:val="008F284D"/>
    <w:rPr>
      <w:rFonts w:cs="Times New Roman" w:hAnsi="Times New Roman" w:ascii="Times New Roman"/>
      <w:b w:val="false"/>
      <w:sz w:val="28"/>
      <w:szCs w:val="28"/>
      <w:bdr w:space="0" w:sz="0" w:color="auto" w:val="none"/>
      <w:shd w:fill="FFCCCC" w:color="auto" w:val="clear"/>
      <w:lang w:val="hr-HR"/>
    </w:rPr>
  </w:style>
  <w:style w:customStyle="true" w:styleId="PozadinaSvijetloZelena" w:type="character">
    <w:name w:val="Pozadina_SvijetloZelena"/>
    <w:basedOn w:val="eSPISCCParagraphDefaultFont"/>
    <w:rsid w:val="008F284D"/>
    <w:rPr>
      <w:rFonts w:cs="Times New Roman" w:hAnsi="Times New Roman" w:ascii="Times New Roman"/>
      <w:b w:val="false"/>
      <w:sz w:val="28"/>
      <w:szCs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A4584"/>
    <w:pPr>
      <w:suppressAutoHyphens/>
      <w:spacing w:after="200" w:line="276" w:lineRule="auto"/>
    </w:pPr>
    <w:rPr>
      <w:color w:val="00000A"/>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Internetskapoveznica" w:type="character">
    <w:name w:val="Internetska poveznica"/>
    <w:basedOn w:val="Zadanifontodlomka"/>
    <w:uiPriority w:val="99"/>
    <w:unhideWhenUsed/>
    <w:rsid w:val="0086061A"/>
    <w:rPr>
      <w:color w:themeColor="hyperlink" w:val="0000FF"/>
      <w:u w:val="single"/>
    </w:rPr>
  </w:style>
  <w:style w:customStyle="1" w:styleId="ZaglavljeChar" w:type="character">
    <w:name w:val="Zaglavlje Char"/>
    <w:basedOn w:val="Zadanifontodlomka"/>
    <w:link w:val="Zaglavlje"/>
    <w:uiPriority w:val="99"/>
    <w:semiHidden/>
    <w:qFormat/>
    <w:rsid w:val="008942E0"/>
  </w:style>
  <w:style w:customStyle="1" w:styleId="PodnojeChar" w:type="character">
    <w:name w:val="Podnožje Char"/>
    <w:basedOn w:val="Zadanifontodlomka"/>
    <w:link w:val="Podnoje"/>
    <w:uiPriority w:val="99"/>
    <w:qFormat/>
    <w:rsid w:val="008942E0"/>
  </w:style>
  <w:style w:customStyle="1" w:styleId="Stilnaslova" w:type="paragraph">
    <w:name w:val="Stil naslova"/>
    <w:basedOn w:val="Normal"/>
    <w:next w:val="Tijeloteksta"/>
    <w:qFormat/>
    <w:pPr>
      <w:keepNext/>
      <w:spacing w:after="120" w:before="240"/>
    </w:pPr>
    <w:rPr>
      <w:rFonts w:ascii="Liberation Sans" w:cs="Mangal" w:eastAsia="Microsoft YaHei" w:hAnsi="Liberation Sans"/>
      <w:sz w:val="28"/>
      <w:szCs w:val="28"/>
    </w:rPr>
  </w:style>
  <w:style w:styleId="Tijeloteksta" w:type="paragraph">
    <w:name w:val="Body Text"/>
    <w:basedOn w:val="Normal"/>
    <w:pPr>
      <w:spacing w:after="140" w:line="288" w:lineRule="auto"/>
    </w:pPr>
  </w:style>
  <w:style w:styleId="Popis" w:type="paragraph">
    <w:name w:val="List"/>
    <w:basedOn w:val="Tijeloteksta"/>
    <w:rPr>
      <w:rFonts w:cs="Mangal"/>
    </w:rPr>
  </w:style>
  <w:style w:styleId="Opisslike" w:type="paragraph">
    <w:name w:val="caption"/>
    <w:basedOn w:val="Normal"/>
    <w:qFormat/>
    <w:pPr>
      <w:suppressLineNumbers/>
      <w:spacing w:after="120" w:before="120"/>
    </w:pPr>
    <w:rPr>
      <w:rFonts w:cs="Mangal"/>
      <w:i/>
      <w:iCs/>
      <w:sz w:val="24"/>
      <w:szCs w:val="24"/>
    </w:rPr>
  </w:style>
  <w:style w:customStyle="1" w:styleId="Indeks" w:type="paragraph">
    <w:name w:val="Indeks"/>
    <w:basedOn w:val="Normal"/>
    <w:qFormat/>
    <w:pPr>
      <w:suppressLineNumbers/>
    </w:pPr>
    <w:rPr>
      <w:rFonts w:cs="Mangal"/>
    </w:rPr>
  </w:style>
  <w:style w:styleId="Zaglavlje" w:type="paragraph">
    <w:name w:val="header"/>
    <w:basedOn w:val="Normal"/>
    <w:link w:val="ZaglavljeChar"/>
    <w:uiPriority w:val="99"/>
    <w:semiHidden/>
    <w:unhideWhenUsed/>
    <w:rsid w:val="008942E0"/>
    <w:pPr>
      <w:tabs>
        <w:tab w:pos="4536" w:val="center"/>
        <w:tab w:pos="9072" w:val="right"/>
      </w:tabs>
      <w:spacing w:after="0" w:line="240" w:lineRule="auto"/>
    </w:pPr>
  </w:style>
  <w:style w:styleId="Podnoje" w:type="paragraph">
    <w:name w:val="footer"/>
    <w:basedOn w:val="Normal"/>
    <w:link w:val="PodnojeChar"/>
    <w:uiPriority w:val="99"/>
    <w:unhideWhenUsed/>
    <w:rsid w:val="008942E0"/>
    <w:pPr>
      <w:tabs>
        <w:tab w:pos="4536" w:val="center"/>
        <w:tab w:pos="9072" w:val="right"/>
      </w:tabs>
      <w:spacing w:after="0" w:line="240" w:lineRule="auto"/>
    </w:pPr>
  </w:style>
  <w:style w:customStyle="1" w:styleId="Sadrajitablice" w:type="paragraph">
    <w:name w:val="Sadržaji tablice"/>
    <w:basedOn w:val="Normal"/>
    <w:qFormat/>
  </w:style>
  <w:style w:customStyle="1" w:styleId="Naslovtablice" w:type="paragraph">
    <w:name w:val="Naslov tablice"/>
    <w:basedOn w:val="Sadrajitablice"/>
    <w:qFormat/>
  </w:style>
  <w:style w:styleId="Reetkatablice" w:type="table">
    <w:name w:val="Table Grid"/>
    <w:basedOn w:val="Obinatablica"/>
    <w:uiPriority w:val="59"/>
    <w:rsid w:val="00DF054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Standard" w:type="paragraph">
    <w:name w:val="Standard"/>
    <w:rsid w:val="00B45910"/>
    <w:pPr>
      <w:widowControl w:val="0"/>
      <w:suppressAutoHyphens/>
      <w:autoSpaceDN w:val="0"/>
      <w:textAlignment w:val="baseline"/>
    </w:pPr>
    <w:rPr>
      <w:rFonts w:ascii="Liberation Serif" w:cs="Arial" w:eastAsia="SimSun" w:hAnsi="Liberation Serif"/>
      <w:kern w:val="3"/>
      <w:sz w:val="24"/>
      <w:szCs w:val="24"/>
      <w:lang w:bidi="hi-IN" w:eastAsia="zh-CN"/>
    </w:rPr>
  </w:style>
  <w:style w:styleId="Odlomakpopisa" w:type="paragraph">
    <w:name w:val="List Paragraph"/>
    <w:basedOn w:val="Normal"/>
    <w:uiPriority w:val="34"/>
    <w:qFormat/>
    <w:rsid w:val="00D71035"/>
    <w:pPr>
      <w:ind w:left="720"/>
      <w:contextualSpacing/>
    </w:pPr>
  </w:style>
  <w:style w:styleId="Tekstrezerviranogmjesta" w:type="character">
    <w:name w:val="Placeholder Text"/>
    <w:basedOn w:val="Zadanifontodlomka"/>
    <w:uiPriority w:val="99"/>
    <w:semiHidden/>
    <w:rsid w:val="008F284D"/>
    <w:rPr>
      <w:color w:val="808080"/>
      <w:bdr w:color="auto" w:space="0" w:sz="0" w:val="none"/>
      <w:shd w:color="auto" w:fill="auto" w:val="clear"/>
    </w:rPr>
  </w:style>
  <w:style w:customStyle="1" w:styleId="eSPISCCParagraphDefaultFont" w:type="character">
    <w:name w:val="eSPIS_CC_Paragraph Default Font"/>
    <w:basedOn w:val="Zadanifontodlomka"/>
    <w:rsid w:val="008F284D"/>
    <w:rPr>
      <w:rFonts w:ascii="Times New Roman" w:cs="Times New Roman" w:hAnsi="Times New Roman"/>
      <w:b/>
      <w:sz w:val="24"/>
      <w:szCs w:val="28"/>
      <w:bdr w:color="auto" w:space="0" w:sz="0" w:val="none"/>
      <w:shd w:color="auto" w:fill="auto" w:val="clear"/>
      <w:lang w:val="hr-HR"/>
    </w:rPr>
  </w:style>
  <w:style w:customStyle="1" w:styleId="PozadinaSvijetloZuta" w:type="character">
    <w:name w:val="Pozadina_SvijetloZuta"/>
    <w:basedOn w:val="Zadanifontodlomka"/>
    <w:rsid w:val="008F284D"/>
    <w:rPr>
      <w:rFonts w:ascii="Times New Roman" w:cs="Times New Roman" w:hAnsi="Times New Roman"/>
      <w:b/>
      <w:sz w:val="28"/>
      <w:szCs w:val="28"/>
      <w:bdr w:color="auto" w:space="0" w:sz="0" w:val="none"/>
      <w:shd w:color="auto" w:fill="FFFFCC" w:val="clear"/>
      <w:lang w:val="hr-HR"/>
    </w:rPr>
  </w:style>
  <w:style w:customStyle="1" w:styleId="PozadinaSvijetloCrvena" w:type="character">
    <w:name w:val="Pozadina_SvijetloCrvena"/>
    <w:basedOn w:val="eSPISCCParagraphDefaultFont"/>
    <w:rsid w:val="008F284D"/>
    <w:rPr>
      <w:rFonts w:ascii="Times New Roman" w:cs="Times New Roman" w:hAnsi="Times New Roman"/>
      <w:b w:val="0"/>
      <w:sz w:val="28"/>
      <w:szCs w:val="28"/>
      <w:bdr w:color="auto" w:space="0" w:sz="0" w:val="none"/>
      <w:shd w:color="auto" w:fill="FFCCCC" w:val="clear"/>
      <w:lang w:val="hr-HR"/>
    </w:rPr>
  </w:style>
  <w:style w:customStyle="1" w:styleId="PozadinaSvijetloZelena" w:type="character">
    <w:name w:val="Pozadina_SvijetloZelena"/>
    <w:basedOn w:val="eSPISCCParagraphDefaultFont"/>
    <w:rsid w:val="008F284D"/>
    <w:rPr>
      <w:rFonts w:ascii="Times New Roman" w:cs="Times New Roman" w:hAnsi="Times New Roman"/>
      <w:b w:val="0"/>
      <w:sz w:val="28"/>
      <w:szCs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FE3ADC-1CA2-40CE-9CBB-B1D07D1B89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12</properties:Pages>
  <properties:Words>2658</properties:Words>
  <properties:Characters>15542</properties:Characters>
  <properties:Lines>522</properties:Lines>
  <properties:Paragraphs>254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18058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2018-03-21T01:17:00Z</dcterms:created>
  <dc:creator>Ana</dc:creator>
  <dc:description/>
  <dc:language>hr-HR</dc:language>
  <cp:lastModifiedBy>Monika Grbac</cp:lastModifiedBy>
  <cp:lastPrinted>2018-01-08T17:59:00Z</cp:lastPrinted>
  <dcterms:modified xmlns:xsi="http://www.w3.org/2001/XMLSchema-instance" xsi:type="dcterms:W3CDTF">2018-03-22T09:06:00Z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St-5904/2016-55 / Podnesak - Izvješće stečajnog upravitelja (Izvještaj ispitno i izvještajno ročište.docx)</vt:lpwstr>
  </prop:property>
  <prop:property name="CC_coloring" pid="4" fmtid="{D5CDD505-2E9C-101B-9397-08002B2CF9AE}">
    <vt:bool>false</vt:bool>
  </prop:property>
  <prop:property name="BrojStranica" pid="5" fmtid="{D5CDD505-2E9C-101B-9397-08002B2CF9AE}">
    <vt:i4>12</vt:i4>
  </prop:property>
</prop:Properties>
</file>