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9F482C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E103A">
              <w:rPr>
                <w:noProof/>
              </w:rPr>
              <w:t>7</w:t>
            </w:r>
            <w:r w:rsidR="00C0739A">
              <w:rPr>
                <w:noProof/>
              </w:rPr>
              <w:t>6</w:t>
            </w:r>
            <w:r w:rsidR="009F482C">
              <w:rPr>
                <w:noProof/>
              </w:rPr>
              <w:t>2</w:t>
            </w:r>
            <w:r w:rsidR="00B650CE">
              <w:rPr>
                <w:noProof/>
              </w:rPr>
              <w:t>/2018-</w:t>
            </w:r>
            <w:r w:rsidR="009F482C">
              <w:rPr>
                <w:noProof/>
              </w:rPr>
              <w:t>7</w:t>
            </w:r>
          </w:p>
        </w:tc>
      </w:tr>
    </w:tbl>
    <w:p w14:textId="f18cd93" w14:paraId="f18cd93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9F482C">
        <w:t>TEHNOSPOJ-INTERIJERI d.o.o., OIB: 05106844766, Split, Solinska 45</w:t>
      </w:r>
      <w:r w:rsidR="004E103A">
        <w:t>,</w:t>
      </w:r>
      <w:r w:rsidR="0048697F" w:rsidRPr="0048697F">
        <w:t xml:space="preserve"> </w:t>
      </w:r>
      <w:r w:rsidR="00B650CE">
        <w:t>1</w:t>
      </w:r>
      <w:r w:rsidR="00C44100">
        <w:t>3</w:t>
      </w:r>
      <w:r w:rsidR="00B650CE">
        <w:t>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9F482C" w:rsidRPr="009F482C">
        <w:t>TEHNOSPOJ-INTERIJERI d.o.o., OIB: 05106844766, Split, Solinska 45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C0739A">
        <w:rPr>
          <w:rFonts w:cstheme="minorBidi" w:eastAsiaTheme="minorHAnsi"/>
          <w:szCs w:val="22"/>
          <w:lang w:eastAsia="en-US"/>
        </w:rPr>
        <w:t xml:space="preserve">u </w:t>
      </w:r>
      <w:r w:rsidR="009F482C">
        <w:rPr>
          <w:rFonts w:cstheme="minorBidi" w:eastAsiaTheme="minorHAnsi"/>
          <w:szCs w:val="22"/>
          <w:lang w:eastAsia="en-US"/>
        </w:rPr>
        <w:t>09:3</w:t>
      </w:r>
      <w:r w:rsidR="004E103A">
        <w:rPr>
          <w:rFonts w:cstheme="minorBidi" w:eastAsiaTheme="minorHAnsi"/>
          <w:szCs w:val="22"/>
          <w:lang w:eastAsia="en-US"/>
        </w:rPr>
        <w:t>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9F482C">
        <w:t>- zastupnici</w:t>
      </w:r>
      <w:r w:rsidRPr="00934396">
        <w:t xml:space="preserve"> po zakonu </w:t>
      </w:r>
      <w:r w:rsidR="0048697F">
        <w:t xml:space="preserve">dužnika </w:t>
      </w:r>
      <w:r w:rsidR="009F482C">
        <w:t>Ivica Stjepić i Damir Stjepić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 w:rsidR="009F482C">
        <w:rPr>
          <w:rFonts w:cstheme="minorBidi" w:eastAsiaTheme="minorHAnsi"/>
          <w:szCs w:val="22"/>
          <w:lang w:eastAsia="en-US"/>
        </w:rPr>
        <w:t>. Nalaže se zastupnicima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9F482C">
        <w:rPr>
          <w:rFonts w:cstheme="minorBidi" w:eastAsiaTheme="minorHAnsi"/>
          <w:szCs w:val="22"/>
          <w:lang w:eastAsia="en-US"/>
        </w:rPr>
        <w:t>Ivici Stjepiću i Damiru Stjepiću</w:t>
      </w:r>
      <w:r w:rsidR="00F60DAA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 w:rsidR="009F482C">
        <w:rPr>
          <w:rFonts w:cstheme="minorBidi" w:eastAsiaTheme="minorHAnsi"/>
          <w:szCs w:val="22"/>
          <w:lang w:eastAsia="en-US"/>
        </w:rPr>
        <w:t>e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="009F482C">
        <w:rPr>
          <w:rFonts w:cstheme="minorBidi" w:eastAsiaTheme="minorHAnsi"/>
          <w:szCs w:val="22"/>
          <w:lang w:eastAsia="en-US"/>
        </w:rPr>
        <w:t xml:space="preserve">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9F482C" w:rsidR="009F482C" w:rsidRPr="00165B16">
      <w:pPr>
        <w:spacing w:before="4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 xml:space="preserve">r Split podnijela je ovom sudu </w:t>
      </w:r>
      <w:r w:rsidR="009F482C">
        <w:rPr>
          <w:rFonts w:cstheme="minorBidi" w:eastAsiaTheme="minorHAnsi"/>
          <w:lang w:eastAsia="en-US"/>
        </w:rPr>
        <w:t>1</w:t>
      </w:r>
      <w:r w:rsidR="00F60DAA">
        <w:rPr>
          <w:rFonts w:cstheme="minorBidi" w:eastAsiaTheme="minorHAnsi"/>
          <w:lang w:eastAsia="en-US"/>
        </w:rPr>
        <w:t>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9F482C" w:rsidRPr="009F482C">
        <w:rPr>
          <w:rFonts w:cstheme="minorBidi" w:eastAsiaTheme="minorHAnsi"/>
          <w:lang w:eastAsia="en-US"/>
        </w:rPr>
        <w:t>TEHNOSPOJ-INTERIJERI d.o.o., OIB: 05106844766, Split, Solinska 45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sukladno odredbi </w:t>
      </w:r>
      <w:r w:rsidR="009F482C">
        <w:rPr>
          <w:rFonts w:cstheme="minorBidi" w:eastAsiaTheme="minorHAnsi"/>
          <w:szCs w:val="22"/>
          <w:lang w:eastAsia="en-US"/>
        </w:rPr>
        <w:t>članka 27. stavka 5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. Zakona </w:t>
      </w:r>
      <w:r w:rsidR="009F482C" w:rsidRPr="00165B16">
        <w:rPr>
          <w:rFonts w:eastAsiaTheme="minorHAnsi"/>
          <w:lang w:eastAsia="en-US"/>
        </w:rPr>
        <w:t>o financijskom poslovanju i predstečajnoj nagodbi (˝Narodne novine˝ broj 108/12, 144/12 i 81/13; dalje ZFPPN).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 U prijedlogu se navodi da je rješenjem FINA-e Klasa: UP-I/110/07/1</w:t>
      </w:r>
      <w:r w:rsidR="009F482C">
        <w:rPr>
          <w:rFonts w:cstheme="minorBidi" w:eastAsiaTheme="minorHAnsi"/>
          <w:szCs w:val="22"/>
          <w:lang w:eastAsia="en-US"/>
        </w:rPr>
        <w:t>3</w:t>
      </w:r>
      <w:r w:rsidR="009F482C" w:rsidRPr="00165B16">
        <w:rPr>
          <w:rFonts w:cstheme="minorBidi" w:eastAsiaTheme="minorHAnsi"/>
          <w:szCs w:val="22"/>
          <w:lang w:eastAsia="en-US"/>
        </w:rPr>
        <w:t>-01/</w:t>
      </w:r>
      <w:r w:rsidR="009F482C">
        <w:rPr>
          <w:rFonts w:cstheme="minorBidi" w:eastAsiaTheme="minorHAnsi"/>
          <w:szCs w:val="22"/>
          <w:lang w:eastAsia="en-US"/>
        </w:rPr>
        <w:t>4800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, Ur. broj: </w:t>
      </w:r>
      <w:r w:rsidR="009F482C">
        <w:rPr>
          <w:rFonts w:cstheme="minorBidi" w:eastAsiaTheme="minorHAnsi"/>
          <w:szCs w:val="22"/>
          <w:lang w:eastAsia="en-US"/>
        </w:rPr>
        <w:t>07-02-18</w:t>
      </w:r>
      <w:r w:rsidR="009F482C" w:rsidRPr="00165B16">
        <w:rPr>
          <w:rFonts w:cstheme="minorBidi" w:eastAsiaTheme="minorHAnsi"/>
          <w:szCs w:val="22"/>
          <w:lang w:eastAsia="en-US"/>
        </w:rPr>
        <w:t>-</w:t>
      </w:r>
      <w:r w:rsidR="009F482C">
        <w:rPr>
          <w:rFonts w:cstheme="minorBidi" w:eastAsiaTheme="minorHAnsi"/>
          <w:szCs w:val="22"/>
          <w:lang w:eastAsia="en-US"/>
        </w:rPr>
        <w:t xml:space="preserve">4800-166 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od </w:t>
      </w:r>
      <w:r w:rsidR="009F482C">
        <w:rPr>
          <w:rFonts w:cstheme="minorBidi" w:eastAsiaTheme="minorHAnsi"/>
          <w:szCs w:val="22"/>
          <w:lang w:eastAsia="en-US"/>
        </w:rPr>
        <w:t>13. rujna 2018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. </w:t>
      </w:r>
      <w:r w:rsidR="009F482C">
        <w:rPr>
          <w:rFonts w:cstheme="minorBidi" w:eastAsiaTheme="minorHAnsi"/>
          <w:szCs w:val="22"/>
          <w:lang w:eastAsia="en-US"/>
        </w:rPr>
        <w:t>obustavljen postupak</w:t>
      </w:r>
      <w:r w:rsidR="009F482C" w:rsidRPr="00165B16">
        <w:rPr>
          <w:rFonts w:cstheme="minorBidi" w:eastAsiaTheme="minorHAnsi"/>
          <w:szCs w:val="22"/>
          <w:lang w:eastAsia="en-US"/>
        </w:rPr>
        <w:t xml:space="preserve"> predstečajne nagodbe, kao i to da postoje razlozi za otvaranje stečajnog postupka, budući dužnik u razdoblju dužem od 60 dana ima evidentirane neizvršene osnove za plaćanje. </w:t>
      </w:r>
    </w:p>
    <w:p w:rsidRDefault="009F482C" w:rsidP="009F482C" w:rsidR="009F482C" w:rsidRPr="00165B16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165B16">
        <w:rPr>
          <w:rFonts w:cstheme="minorBidi" w:eastAsiaTheme="minorHAnsi"/>
          <w:szCs w:val="22"/>
          <w:lang w:eastAsia="en-US"/>
        </w:rPr>
        <w:t>U privitku prijedloga predlagatelj dostavl</w:t>
      </w:r>
      <w:r>
        <w:rPr>
          <w:rFonts w:cstheme="minorBidi" w:eastAsiaTheme="minorHAnsi"/>
          <w:szCs w:val="22"/>
          <w:lang w:eastAsia="en-US"/>
        </w:rPr>
        <w:t xml:space="preserve">ja potvrdu u smislu odredbe članka </w:t>
      </w:r>
      <w:r w:rsidRPr="00165B16">
        <w:rPr>
          <w:rFonts w:cstheme="minorBidi" w:eastAsiaTheme="minorHAnsi"/>
          <w:szCs w:val="22"/>
          <w:lang w:eastAsia="en-US"/>
        </w:rPr>
        <w:t>6. s</w:t>
      </w:r>
      <w:r>
        <w:rPr>
          <w:rFonts w:cstheme="minorBidi" w:eastAsiaTheme="minorHAnsi"/>
          <w:szCs w:val="22"/>
          <w:lang w:eastAsia="en-US"/>
        </w:rPr>
        <w:t>tavka</w:t>
      </w:r>
      <w:r w:rsidRPr="00165B16">
        <w:rPr>
          <w:rFonts w:cstheme="minorBidi" w:eastAsiaTheme="minorHAnsi"/>
          <w:szCs w:val="22"/>
          <w:lang w:eastAsia="en-US"/>
        </w:rPr>
        <w:t xml:space="preserve"> 4. SZ-a (</w:t>
      </w:r>
      <w:r>
        <w:rPr>
          <w:rFonts w:cstheme="minorBidi" w:eastAsiaTheme="minorHAnsi"/>
          <w:szCs w:val="22"/>
          <w:lang w:eastAsia="en-US"/>
        </w:rPr>
        <w:t>list 5 spisa) te rješenje FINA-e o obustavi postupka</w:t>
      </w:r>
      <w:r w:rsidRPr="00165B16">
        <w:rPr>
          <w:rFonts w:cstheme="minorBidi" w:eastAsiaTheme="minorHAnsi"/>
          <w:szCs w:val="22"/>
          <w:lang w:eastAsia="en-US"/>
        </w:rPr>
        <w:t xml:space="preserve"> predstečajne nagodbe nad dužnikom </w:t>
      </w:r>
      <w:r>
        <w:rPr>
          <w:rFonts w:cstheme="minorBidi" w:eastAsiaTheme="minorHAnsi"/>
          <w:szCs w:val="22"/>
          <w:lang w:eastAsia="en-US"/>
        </w:rPr>
        <w:t>od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13. rujna 2018.</w:t>
      </w:r>
      <w:r w:rsidRPr="00165B16">
        <w:rPr>
          <w:rFonts w:cstheme="minorBidi" w:eastAsiaTheme="minorHAnsi"/>
          <w:szCs w:val="22"/>
          <w:lang w:eastAsia="en-US"/>
        </w:rPr>
        <w:t xml:space="preserve"> sa potvrdom izvršnosti (lis</w:t>
      </w:r>
      <w:r>
        <w:rPr>
          <w:rFonts w:cstheme="minorBidi" w:eastAsiaTheme="minorHAnsi"/>
          <w:szCs w:val="22"/>
          <w:lang w:eastAsia="en-US"/>
        </w:rPr>
        <w:t>tovi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3-4</w:t>
      </w:r>
      <w:r w:rsidRPr="00165B16">
        <w:rPr>
          <w:rFonts w:cstheme="minorBidi" w:eastAsiaTheme="minorHAnsi"/>
          <w:szCs w:val="22"/>
          <w:lang w:eastAsia="en-US"/>
        </w:rPr>
        <w:t xml:space="preserve"> spisa).</w:t>
      </w:r>
    </w:p>
    <w:p w:rsidRDefault="009F482C" w:rsidP="009F482C" w:rsidR="009F482C" w:rsidRPr="00165B16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Odredbom članka 442. stavka</w:t>
      </w:r>
      <w:r w:rsidRPr="00165B16">
        <w:rPr>
          <w:rFonts w:cstheme="minorBidi" w:eastAsiaTheme="minorHAnsi"/>
          <w:szCs w:val="22"/>
          <w:lang w:eastAsia="en-US"/>
        </w:rPr>
        <w:t xml:space="preserve"> 1. SZ-a propisano je da će se postupci predstečajne nagodbe pokrenuti na temelju Zakona o financijskom poslovanju i predstečajnoj nagodbi dovršiti prema odredbama tog Zakona.</w:t>
      </w:r>
    </w:p>
    <w:p w:rsidRDefault="009F482C" w:rsidP="009F482C" w:rsidR="00C44100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Odredbom članka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C44100">
        <w:rPr>
          <w:rFonts w:cstheme="minorBidi" w:eastAsiaTheme="minorHAnsi"/>
          <w:szCs w:val="22"/>
          <w:lang w:eastAsia="en-US"/>
        </w:rPr>
        <w:t>27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C44100">
        <w:rPr>
          <w:rFonts w:cstheme="minorBidi" w:eastAsiaTheme="minorHAnsi"/>
          <w:szCs w:val="22"/>
          <w:lang w:eastAsia="en-US"/>
        </w:rPr>
        <w:t xml:space="preserve">stavka 5. ZFPPN-a propisano je da će FINA, </w:t>
      </w:r>
      <w:r w:rsidR="00C44100" w:rsidRPr="00C44100">
        <w:rPr>
          <w:rFonts w:cstheme="minorBidi" w:eastAsiaTheme="minorHAnsi"/>
          <w:szCs w:val="22"/>
          <w:lang w:eastAsia="en-US"/>
        </w:rPr>
        <w:t xml:space="preserve">odnosno </w:t>
      </w:r>
      <w:r w:rsidR="00C44100">
        <w:rPr>
          <w:rFonts w:cstheme="minorBidi" w:eastAsiaTheme="minorHAnsi"/>
          <w:szCs w:val="22"/>
          <w:lang w:eastAsia="en-US"/>
        </w:rPr>
        <w:t>nagodbeno vijeće, ako je postupak predstečajne nagodbe obustavljen, a postoje razlozi za otvaranje stečajnog postupka, podnijeti prijedlog za pokretanje stečajnog postupka nad dužnikom u roku od 8 dana nakon izvršnosti rješenja o obustavi.</w:t>
      </w:r>
    </w:p>
    <w:p w:rsidRDefault="009F482C" w:rsidP="009F482C" w:rsidR="009F482C" w:rsidRPr="00165B16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Odredbom članka 115. stavka</w:t>
      </w:r>
      <w:r w:rsidRPr="00165B16">
        <w:rPr>
          <w:rFonts w:cstheme="minorBidi" w:eastAsiaTheme="minorHAnsi"/>
          <w:szCs w:val="22"/>
          <w:lang w:eastAsia="en-US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</w:t>
      </w:r>
    </w:p>
    <w:p w:rsidRDefault="009F482C" w:rsidP="009F482C" w:rsidR="009F482C" w:rsidRPr="00165B16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Budući je FINA u konkret</w:t>
      </w:r>
      <w:r>
        <w:rPr>
          <w:rFonts w:cstheme="minorBidi" w:eastAsiaTheme="minorHAnsi"/>
          <w:lang w:eastAsia="en-US"/>
        </w:rPr>
        <w:t xml:space="preserve">nom slučaju u smislu odredbe članka </w:t>
      </w:r>
      <w:r w:rsidR="00C44100">
        <w:rPr>
          <w:rFonts w:cstheme="minorBidi" w:eastAsiaTheme="minorHAnsi"/>
          <w:lang w:eastAsia="en-US"/>
        </w:rPr>
        <w:t>27</w:t>
      </w:r>
      <w:r>
        <w:rPr>
          <w:rFonts w:cstheme="minorBidi" w:eastAsiaTheme="minorHAnsi"/>
          <w:lang w:eastAsia="en-US"/>
        </w:rPr>
        <w:t>. stavka</w:t>
      </w:r>
      <w:r w:rsidR="00C44100">
        <w:rPr>
          <w:rFonts w:cstheme="minorBidi" w:eastAsiaTheme="minorHAnsi"/>
          <w:lang w:eastAsia="en-US"/>
        </w:rPr>
        <w:t xml:space="preserve"> 5</w:t>
      </w:r>
      <w:r w:rsidRPr="00165B16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ZFPPN-a  u vezi s odredbama članka</w:t>
      </w:r>
      <w:r w:rsidRPr="00165B16">
        <w:rPr>
          <w:rFonts w:cstheme="minorBidi" w:eastAsiaTheme="minorHAnsi"/>
          <w:lang w:eastAsia="en-US"/>
        </w:rPr>
        <w:t xml:space="preserve"> 442. st</w:t>
      </w:r>
      <w:r>
        <w:rPr>
          <w:rFonts w:cstheme="minorBidi" w:eastAsiaTheme="minorHAnsi"/>
          <w:lang w:eastAsia="en-US"/>
        </w:rPr>
        <w:t>avka</w:t>
      </w:r>
      <w:r w:rsidRPr="00165B16">
        <w:rPr>
          <w:rFonts w:cstheme="minorBidi" w:eastAsiaTheme="minorHAnsi"/>
          <w:lang w:eastAsia="en-US"/>
        </w:rPr>
        <w:t xml:space="preserve"> 1. SZ-a ovlašteni predlagatelj za podnošenje prijedloga za otvaranje stečaja te budući iz podnesenog prijedloga proizlazi da dužnik u Očevidniku redoslijeda osnova za plaćanje ima evidentirane neizvršene osnove za plaćanje u razdoblju dužem od 60 dana, ovaj sud je pokrenuo prethodni postupak radi utvrđenja postoje li uvjeti za otvaranje i provođenje stečajnog </w:t>
      </w:r>
      <w:r>
        <w:rPr>
          <w:rFonts w:cstheme="minorBidi" w:eastAsiaTheme="minorHAnsi"/>
          <w:lang w:eastAsia="en-US"/>
        </w:rPr>
        <w:t>postupka u skladu s odredbom članka 115. stavka</w:t>
      </w:r>
      <w:r w:rsidRPr="00165B16">
        <w:rPr>
          <w:rFonts w:cstheme="minorBidi" w:eastAsiaTheme="minorHAnsi"/>
          <w:lang w:eastAsia="en-US"/>
        </w:rPr>
        <w:t xml:space="preserve"> 1.</w:t>
      </w:r>
      <w:r>
        <w:rPr>
          <w:rFonts w:cstheme="minorBidi" w:eastAsiaTheme="minorHAnsi"/>
          <w:lang w:eastAsia="en-US"/>
        </w:rPr>
        <w:t xml:space="preserve"> SZ-a te je temeljem odredbe članka 123. stavka</w:t>
      </w:r>
      <w:r w:rsidRPr="00165B16">
        <w:rPr>
          <w:rFonts w:cstheme="minorBidi" w:eastAsiaTheme="minorHAnsi"/>
          <w:lang w:eastAsia="en-US"/>
        </w:rPr>
        <w:t xml:space="preserve"> 1. SZ-a zakazano ročište radi očitovanja o podnesenom prijedlogu za otvaranje stečajnog postupka. </w:t>
      </w:r>
      <w:r>
        <w:rPr>
          <w:rFonts w:cstheme="minorBidi" w:eastAsiaTheme="minorHAnsi"/>
          <w:lang w:eastAsia="en-US"/>
        </w:rPr>
        <w:t xml:space="preserve">Nadalje, a sukladno odredbama članka 117. te članka 16. stavaka 2. i 3. i članka </w:t>
      </w:r>
      <w:r w:rsidRPr="00165B16">
        <w:rPr>
          <w:rFonts w:cstheme="minorBidi" w:eastAsiaTheme="minorHAnsi"/>
          <w:lang w:eastAsia="en-US"/>
        </w:rPr>
        <w:t xml:space="preserve">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9F482C" w:rsidP="009F482C" w:rsidR="009F482C" w:rsidRPr="00165B16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Slijedom n</w:t>
      </w:r>
      <w:r>
        <w:rPr>
          <w:rFonts w:cstheme="minorBidi" w:eastAsiaTheme="minorHAnsi"/>
          <w:lang w:eastAsia="en-US"/>
        </w:rPr>
        <w:t>avede</w:t>
      </w:r>
      <w:r w:rsidR="00C44100">
        <w:rPr>
          <w:rFonts w:cstheme="minorBidi" w:eastAsiaTheme="minorHAnsi"/>
          <w:lang w:eastAsia="en-US"/>
        </w:rPr>
        <w:t>nog, a temeljem odredbe članka 27</w:t>
      </w:r>
      <w:r>
        <w:rPr>
          <w:rFonts w:cstheme="minorBidi" w:eastAsiaTheme="minorHAnsi"/>
          <w:lang w:eastAsia="en-US"/>
        </w:rPr>
        <w:t>. stavka</w:t>
      </w:r>
      <w:r w:rsidRPr="00165B16">
        <w:rPr>
          <w:rFonts w:cstheme="minorBidi" w:eastAsiaTheme="minorHAnsi"/>
          <w:lang w:eastAsia="en-US"/>
        </w:rPr>
        <w:t xml:space="preserve"> </w:t>
      </w:r>
      <w:r w:rsidR="00C44100">
        <w:rPr>
          <w:rFonts w:cstheme="minorBidi" w:eastAsiaTheme="minorHAnsi"/>
          <w:lang w:eastAsia="en-US"/>
        </w:rPr>
        <w:t>5</w:t>
      </w:r>
      <w:r w:rsidRPr="00165B16">
        <w:rPr>
          <w:rFonts w:cstheme="minorBidi" w:eastAsiaTheme="minorHAnsi"/>
          <w:lang w:eastAsia="en-US"/>
        </w:rPr>
        <w:t>. ZFPPN-a u vezi</w:t>
      </w:r>
      <w:r>
        <w:rPr>
          <w:rFonts w:cstheme="minorBidi" w:eastAsiaTheme="minorHAnsi"/>
          <w:lang w:eastAsia="en-US"/>
        </w:rPr>
        <w:t xml:space="preserve"> s odredbama članka 442. stavka 1. SZ-a te članaka</w:t>
      </w:r>
      <w:r w:rsidRPr="00165B16">
        <w:rPr>
          <w:rFonts w:cstheme="minorBidi" w:eastAsiaTheme="minorHAnsi"/>
          <w:lang w:eastAsia="en-US"/>
        </w:rPr>
        <w:t xml:space="preserve"> 115., 117. i 123. SZ-a, odlučeno je kao u izreci ovog rješenja.</w:t>
      </w:r>
    </w:p>
    <w:p w:rsidRDefault="00B650CE" w:rsidP="00B650CE" w:rsidR="00B650CE" w:rsidRPr="00564E07">
      <w:pPr>
        <w:spacing w:before="220"/>
        <w:jc w:val="center"/>
      </w:pPr>
      <w:r>
        <w:t>U Splitu 1</w:t>
      </w:r>
      <w:r w:rsidR="00C44100">
        <w:t>3</w:t>
      </w:r>
      <w:r>
        <w:t>. veljače 2019.</w:t>
      </w:r>
    </w:p>
    <w:p w:rsidRDefault="00B650CE" w:rsidP="00B650CE" w:rsidR="00B650CE" w:rsidRPr="00564E07">
      <w:pPr>
        <w:spacing w:before="220"/>
        <w:ind w:left="6373"/>
        <w:jc w:val="center"/>
      </w:pPr>
      <w:r w:rsidRPr="00564E07">
        <w:t>Sutkinja</w:t>
      </w:r>
    </w:p>
    <w:p w:rsidRDefault="00B650CE" w:rsidP="0094096C" w:rsidR="00A86879">
      <w:pPr>
        <w:ind w:left="6372"/>
        <w:jc w:val="center"/>
      </w:pPr>
      <w:r w:rsidRPr="00564E07">
        <w:t>Ana Golub Gruić</w:t>
      </w:r>
      <w:r w:rsidR="00A86879">
        <w:t>, v.r.</w:t>
      </w:r>
    </w:p>
    <w:p w:rsidRDefault="00A86879" w:rsidP="008832A6" w:rsidR="00A86879">
      <w:pPr>
        <w:jc w:val="right"/>
      </w:pPr>
      <w:r>
        <w:t>za točnost otpravka – ovlašteni službenik</w:t>
      </w:r>
    </w:p>
    <w:p w:rsidRDefault="00A86879" w:rsidP="008832A6" w:rsidR="00A86879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p w:rsidRDefault="00B650CE" w:rsidP="00B650CE" w:rsidR="00B650CE"/>
    <w:p w:rsidRDefault="00797EA4" w:rsidP="00B650CE" w:rsidR="00797EA4" w:rsidRPr="00C40B81">
      <w:pPr>
        <w:spacing w:before="200"/>
        <w:ind w:firstLine="709"/>
        <w:jc w:val="both"/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86879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C0739A">
      <w:t>7</w:t>
    </w:r>
    <w:r w:rsidR="004E103A">
      <w:t>6</w:t>
    </w:r>
    <w:r w:rsidR="009F482C">
      <w:t>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97E43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103A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82C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86879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0739A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44100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St-762/2018</izvorni_sadrzaj>
    <derivirana_varijabla naziv="DomainObject.Predmet.OznakaBroj_1">St-762/2018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postupak predstečajne nagodbe</izvorni_sadrzaj>
    <derivirana_varijabla naziv="DomainObject.Predmet.PrimjedbaSuca_1">Obustavljen postupak predstečajne nagodbe</derivirana_varijabla>
  </DomainObject.Predmet.PrimjedbaSuca>
  <DomainObject.Predmet.ProtustrankaFormated>
    <izvorni_sadrzaj>  TEHNOSPOJ-INTERIJERI d.o.o. za proizvodnju namještaja</izvorni_sadrzaj>
    <derivirana_varijabla naziv="DomainObject.Predmet.ProtustrankaFormated_1">  TEHNOSPOJ-INTERIJERI d.o.o. za proizvodnju namještaja</derivirana_varijabla>
  </DomainObject.Predmet.ProtustrankaFormated>
  <DomainObject.Predmet.ProtustrankaFormatedOIB>
    <izvorni_sadrzaj>  TEHNOSPOJ-INTERIJERI d.o.o. za proizvodnju namještaja, OIB 05106844766</izvorni_sadrzaj>
    <derivirana_varijabla naziv="DomainObject.Predmet.ProtustrankaFormatedOIB_1">  TEHNOSPOJ-INTERIJERI d.o.o. za proizvodnju namještaja, OIB 05106844766</derivirana_varijabla>
  </DomainObject.Predmet.ProtustrankaFormatedOIB>
  <DomainObject.Predmet.ProtustrankaFormatedWithAdress>
    <izvorni_sadrzaj> TEHNOSPOJ-INTERIJERI d.o.o. za proizvodnju namještaja, Solinska 45, 21000 Split</izvorni_sadrzaj>
    <derivirana_varijabla naziv="DomainObject.Predmet.ProtustrankaFormatedWithAdress_1"> TEHNOSPOJ-INTERIJERI d.o.o. za proizvodnju namještaja, Solinska 45, 21000 Split</derivirana_varijabla>
  </DomainObject.Predmet.ProtustrankaFormatedWithAdress>
  <DomainObject.Predmet.ProtustrankaFormatedWithAdressOIB>
    <izvorni_sadrzaj> TEHNOSPOJ-INTERIJERI d.o.o. za proizvodnju namještaja, OIB 05106844766, Solinska 45, 21000 Split</izvorni_sadrzaj>
    <derivirana_varijabla naziv="DomainObject.Predmet.ProtustrankaFormatedWithAdressOIB_1"> TEHNOSPOJ-INTERIJERI d.o.o. za proizvodnju namještaja, OIB 05106844766, Solinska 45, 21000 Split</derivirana_varijabla>
  </DomainObject.Predmet.ProtustrankaFormatedWithAdressOIB>
  <DomainObject.Predmet.ProtustrankaWithAdress>
    <izvorni_sadrzaj>TEHNOSPOJ-INTERIJERI d.o.o. za proizvodnju namještaja Solinska 45, 21000 Split</izvorni_sadrzaj>
    <derivirana_varijabla naziv="DomainObject.Predmet.ProtustrankaWithAdress_1">TEHNOSPOJ-INTERIJERI d.o.o. za proizvodnju namještaja Solinska 45, 21000 Split</derivirana_varijabla>
  </DomainObject.Predmet.ProtustrankaWithAdress>
  <DomainObject.Predmet.ProtustrankaWithAdressOIB>
    <izvorni_sadrzaj>TEHNOSPOJ-INTERIJERI d.o.o. za proizvodnju namještaja, OIB 05106844766, Solinska 45, 21000 Split</izvorni_sadrzaj>
    <derivirana_varijabla naziv="DomainObject.Predmet.ProtustrankaWithAdressOIB_1">TEHNOSPOJ-INTERIJERI d.o.o. za proizvodnju namještaja, OIB 05106844766, Solinska 45, 21000 Split</derivirana_varijabla>
  </DomainObject.Predmet.ProtustrankaWithAdressOIB>
  <DomainObject.Predmet.ProtustrankaNazivFormated>
    <izvorni_sadrzaj>TEHNOSPOJ-INTERIJERI d.o.o. za proizvodnju namještaja</izvorni_sadrzaj>
    <derivirana_varijabla naziv="DomainObject.Predmet.ProtustrankaNazivFormated_1">TEHNOSPOJ-INTERIJERI d.o.o. za proizvodnju namještaja</derivirana_varijabla>
  </DomainObject.Predmet.ProtustrankaNazivFormated>
  <DomainObject.Predmet.ProtustrankaNazivFormatedOIB>
    <izvorni_sadrzaj>TEHNOSPOJ-INTERIJERI d.o.o. za proizvodnju namještaja, OIB 05106844766</izvorni_sadrzaj>
    <derivirana_varijabla naziv="DomainObject.Predmet.ProtustrankaNazivFormatedOIB_1">TEHNOSPOJ-INTERIJERI d.o.o. za proizvodnju namještaja, OIB 05106844766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Koturaška 43, 10000 Zagreb</izvorni_sadrzaj>
    <derivirana_varijabla naziv="DomainObject.Predmet.StrankaFormatedWithAdress_1"> FINANCIJSKA AGENCIJA, RC SPLIT, Koturaška 43, 10000 Zagreb</derivirana_varijabla>
  </DomainObject.Predmet.StrankaFormatedWithAdress>
  <DomainObject.Predmet.StrankaFormatedWithAdressOIB>
    <izvorni_sadrzaj> FINANCIJSKA AGENCIJA, RC SPLIT, OIB 85821130368, Koturaška 43, 10000 Zagreb</izvorni_sadrzaj>
    <derivirana_varijabla naziv="DomainObject.Predmet.StrankaFormatedWithAdressOIB_1"> FINANCIJSKA AGENCIJA, RC SPLIT, OIB 85821130368, Koturaška 43, 10000 Zagreb</derivirana_varijabla>
  </DomainObject.Predmet.StrankaFormatedWithAdressOIB>
  <DomainObject.Predmet.StrankaWithAdress>
    <izvorni_sadrzaj>FINANCIJSKA AGENCIJA, RC SPLIT Koturaška 43,10000 Zagreb</izvorni_sadrzaj>
    <derivirana_varijabla naziv="DomainObject.Predmet.StrankaWithAdress_1">FINANCIJSKA AGENCIJA, RC SPLIT Koturaška 43,10000 Zagreb</derivirana_varijabla>
  </DomainObject.Predmet.StrankaWithAdress>
  <DomainObject.Predmet.StrankaWithAdressOIB>
    <izvorni_sadrzaj>FINANCIJSKA AGENCIJA, RC SPLIT, OIB 85821130368, Koturaška 43,10000 Zagreb</izvorni_sadrzaj>
    <derivirana_varijabla naziv="DomainObject.Predmet.StrankaWithAdressOIB_1">FINANCIJSKA AGENCIJA, RC SPLIT, OIB 85821130368, Koturaška 43,10000 Zagreb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Koturaška 43, 10000 Zagreb</item>
    </izvorni_sadrzaj>
    <derivirana_varijabla naziv="DomainObject.Predmet.StrankaListFormatedWithAdress_1">
      <item>FINANCIJSKA AGENCIJA, RC SPLIT, Koturaška 43, 10000 Zagreb</item>
    </derivirana_varijabla>
  </DomainObject.Predmet.StrankaListFormatedWithAdress>
  <DomainObject.Predmet.StrankaListFormatedWithAdressOIB>
    <izvorni_sadrzaj>
      <item>FINANCIJSKA AGENCIJA, RC SPLIT, OIB 85821130368, Koturaška 43, 10000 Zagreb</item>
    </izvorni_sadrzaj>
    <derivirana_varijabla naziv="DomainObject.Predmet.StrankaListFormatedWithAdressOIB_1">
      <item>FINANCIJSKA AGENCIJA, RC SPLIT, OIB 85821130368, Koturaška 43, 10000 Zagreb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TEHNOSPOJ-INTERIJERI d.o.o. za proizvodnju namještaja</item>
    </izvorni_sadrzaj>
    <derivirana_varijabla naziv="DomainObject.Predmet.ProtuStrankaListFormated_1">
      <item>TEHNOSPOJ-INTERIJERI d.o.o. za proizvodnju namještaja</item>
    </derivirana_varijabla>
  </DomainObject.Predmet.ProtuStrankaListFormated>
  <DomainObject.Predmet.ProtuStrankaListFormatedOIB>
    <izvorni_sadrzaj>
      <item>TEHNOSPOJ-INTERIJERI d.o.o. za proizvodnju namještaja, OIB 05106844766</item>
    </izvorni_sadrzaj>
    <derivirana_varijabla naziv="DomainObject.Predmet.ProtuStrankaListFormatedOIB_1">
      <item>TEHNOSPOJ-INTERIJERI d.o.o. za proizvodnju namještaja, OIB 05106844766</item>
    </derivirana_varijabla>
  </DomainObject.Predmet.ProtuStrankaListFormatedOIB>
  <DomainObject.Predmet.ProtuStrankaListFormatedWithAdress>
    <izvorni_sadrzaj>
      <item>TEHNOSPOJ-INTERIJERI d.o.o. za proizvodnju namještaja, Solinska 45, 21000 Split</item>
    </izvorni_sadrzaj>
    <derivirana_varijabla naziv="DomainObject.Predmet.ProtuStrankaListFormatedWithAdress_1">
      <item>TEHNOSPOJ-INTERIJERI d.o.o. za proizvodnju namještaja, Solinska 45, 21000 Split</item>
    </derivirana_varijabla>
  </DomainObject.Predmet.ProtuStrankaListFormatedWithAdress>
  <DomainObject.Predmet.ProtuStrankaListFormatedWithAdressOIB>
    <izvorni_sadrzaj>
      <item>TEHNOSPOJ-INTERIJERI d.o.o. za proizvodnju namještaja, OIB 05106844766, Solinska 45, 21000 Split</item>
    </izvorni_sadrzaj>
    <derivirana_varijabla naziv="DomainObject.Predmet.ProtuStrankaListFormatedWithAdressOIB_1">
      <item>TEHNOSPOJ-INTERIJERI d.o.o. za proizvodnju namještaja, OIB 05106844766, Solinska 45, 21000 Split</item>
    </derivirana_varijabla>
  </DomainObject.Predmet.ProtuStrankaListFormatedWithAdressOIB>
  <DomainObject.Predmet.ProtuStrankaListNazivFormated>
    <izvorni_sadrzaj>
      <item>TEHNOSPOJ-INTERIJERI d.o.o. za proizvodnju namještaja</item>
    </izvorni_sadrzaj>
    <derivirana_varijabla naziv="DomainObject.Predmet.ProtuStrankaListNazivFormated_1">
      <item>TEHNOSPOJ-INTERIJERI d.o.o. za proizvodnju namještaja</item>
    </derivirana_varijabla>
  </DomainObject.Predmet.ProtuStrankaListNazivFormated>
  <DomainObject.Predmet.ProtuStrankaListNazivFormatedOIB>
    <izvorni_sadrzaj>
      <item>TEHNOSPOJ-INTERIJERI d.o.o. za proizvodnju namještaja, OIB 05106844766</item>
    </izvorni_sadrzaj>
    <derivirana_varijabla naziv="DomainObject.Predmet.ProtuStrankaListNazivFormatedOIB_1">
      <item>TEHNOSPOJ-INTERIJERI d.o.o. za proizvodnju namještaja, OIB 05106844766</item>
    </derivirana_varijabla>
  </DomainObject.Predmet.ProtuStrankaListNazivFormatedOIB>
  <DomainObject.Predmet.OstaliListFormated>
    <izvorni_sadrzaj>
      <item>Ivica Stjepić</item>
      <item>Damir Stjepić</item>
    </izvorni_sadrzaj>
    <derivirana_varijabla naziv="DomainObject.Predmet.OstaliListFormated_1">
      <item>Ivica Stjepić</item>
      <item>Damir Stjepić</item>
    </derivirana_varijabla>
  </DomainObject.Predmet.OstaliListFormated>
  <DomainObject.Predmet.OstaliListFormatedOIB>
    <izvorni_sadrzaj>
      <item>Ivica Stjepić, OIB 56724932836</item>
      <item>Damir Stjepić, OIB 42027903466</item>
    </izvorni_sadrzaj>
    <derivirana_varijabla naziv="DomainObject.Predmet.OstaliListFormatedOIB_1">
      <item>Ivica Stjepić, OIB 56724932836</item>
      <item>Damir Stjepić, OIB 42027903466</item>
    </derivirana_varijabla>
  </DomainObject.Predmet.OstaliListFormatedOIB>
  <DomainObject.Predmet.OstaliListFormatedWithAdress>
    <izvorni_sadrzaj>
      <item>Ivica Stjepić, Domovinskog Rata 29a, 21000 Split</item>
      <item>Damir Stjepić, Domovinskog Rata 29, 21000 Split</item>
    </izvorni_sadrzaj>
    <derivirana_varijabla naziv="DomainObject.Predmet.OstaliListFormatedWithAdress_1">
      <item>Ivica Stjepić, Domovinskog Rata 29a, 21000 Split</item>
      <item>Damir Stjepić, Domovinskog Rata 29, 21000 Split</item>
    </derivirana_varijabla>
  </DomainObject.Predmet.OstaliListFormatedWithAdress>
  <DomainObject.Predmet.OstaliListFormatedWithAdressOIB>
    <izvorni_sadrzaj>
      <item>Ivica Stjepić, OIB 56724932836, Domovinskog Rata 29a, 21000 Split</item>
      <item>Damir Stjepić, OIB 42027903466, Domovinskog Rata 29, 21000 Split</item>
    </izvorni_sadrzaj>
    <derivirana_varijabla naziv="DomainObject.Predmet.OstaliListFormatedWithAdressOIB_1">
      <item>Ivica Stjepić, OIB 56724932836, Domovinskog Rata 29a, 21000 Split</item>
      <item>Damir Stjepić, OIB 42027903466, Domovinskog Rata 29, 21000 Split</item>
    </derivirana_varijabla>
  </DomainObject.Predmet.OstaliListFormatedWithAdressOIB>
  <DomainObject.Predmet.OstaliListNazivFormated>
    <izvorni_sadrzaj>
      <item>Ivica Stjepić</item>
      <item>Damir Stjepić</item>
    </izvorni_sadrzaj>
    <derivirana_varijabla naziv="DomainObject.Predmet.OstaliListNazivFormated_1">
      <item>Ivica Stjepić</item>
      <item>Damir Stjepić</item>
    </derivirana_varijabla>
  </DomainObject.Predmet.OstaliListNazivFormated>
  <DomainObject.Predmet.OstaliListNazivFormatedOIB>
    <izvorni_sadrzaj>
      <item>Ivica Stjepić, OIB 56724932836</item>
      <item>Damir Stjepić, OIB 42027903466</item>
    </izvorni_sadrzaj>
    <derivirana_varijabla naziv="DomainObject.Predmet.OstaliListNazivFormatedOIB_1">
      <item>Ivica Stjepić, OIB 56724932836</item>
      <item>Damir Stjepić, OIB 42027903466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TEHNOSPOJ-INTERIJERI d.o.o. za proizvodnju namještaja</izvorni_sadrzaj>
    <derivirana_varijabla naziv="DomainObject.Predmet.ProtustrankaIDrugi_1">TEHNOSPOJ-INTERIJERI d.o.o. za proizvodnju namještaja</derivirana_varijabla>
  </DomainObject.Predmet.ProtustrankaIDrugi>
  <DomainObject.Predmet.StrankaIDrugiAdressOIB>
    <izvorni_sadrzaj>FINANCIJSKA AGENCIJA, RC SPLIT, OIB 85821130368, Koturaška 43, 10000 Zagreb</izvorni_sadrzaj>
    <derivirana_varijabla naziv="DomainObject.Predmet.StrankaIDrugiAdressOIB_1">FINANCIJSKA AGENCIJA, RC SPLIT, OIB 85821130368, Koturaška 43, 10000 Zagreb</derivirana_varijabla>
  </DomainObject.Predmet.StrankaIDrugiAdressOIB>
  <DomainObject.Predmet.ProtustrankaIDrugiAdressOIB>
    <izvorni_sadrzaj>TEHNOSPOJ-INTERIJERI d.o.o. za proizvodnju namještaja, OIB 05106844766, Solinska 45, 21000 Split</izvorni_sadrzaj>
    <derivirana_varijabla naziv="DomainObject.Predmet.ProtustrankaIDrugiAdressOIB_1">TEHNOSPOJ-INTERIJERI d.o.o. za proizvodnju namještaja, OIB 05106844766, Solinska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TEHNOSPOJ-INTERIJERI d.o.o. za proizvodnju namještaja</item>
      <item>FINANCIJSKA AGENCIJA, RC SPLIT</item>
      <item>Ivica Stjepić</item>
      <item>Damir Stjepić</item>
    </izvorni_sadrzaj>
    <derivirana_varijabla naziv="DomainObject.Predmet.SudioniciListNaziv_1">
      <item>TEHNOSPOJ-INTERIJERI d.o.o. za proizvodnju namještaja</item>
      <item>FINANCIJSKA AGENCIJA, RC SPLIT</item>
      <item>Ivica Stjepić</item>
      <item>Damir Stjepić</item>
    </derivirana_varijabla>
  </DomainObject.Predmet.SudioniciListNaziv>
  <DomainObject.Predmet.SudioniciListAdressOIB>
    <izvorni_sadrzaj>
      <item>TEHNOSPOJ-INTERIJERI d.o.o. za proizvodnju namještaja, OIB 05106844766, Solinska 45,21000 Split</item>
      <item>FINANCIJSKA AGENCIJA, RC SPLIT, OIB 85821130368, Koturaška 43,10000 Zagreb</item>
      <item>Ivica Stjepić, OIB 56724932836, Domovinskog Rata 29a,21000 Split</item>
      <item>Damir Stjepić, OIB 42027903466, Domovinskog Rata 29,21000 Split</item>
    </izvorni_sadrzaj>
    <derivirana_varijabla naziv="DomainObject.Predmet.SudioniciListAdressOIB_1">
      <item>TEHNOSPOJ-INTERIJERI d.o.o. za proizvodnju namještaja, OIB 05106844766, Solinska 45,21000 Split</item>
      <item>FINANCIJSKA AGENCIJA, RC SPLIT, OIB 85821130368, Koturaška 43,10000 Zagreb</item>
      <item>Ivica Stjepić, OIB 56724932836, Domovinskog Rata 29a,21000 Split</item>
      <item>Damir Stjepić, OIB 42027903466, Domovinskog Rata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05106844766</item>
      <item>, OIB 85821130368</item>
      <item>, OIB 56724932836</item>
      <item>, OIB 42027903466</item>
    </izvorni_sadrzaj>
    <derivirana_varijabla naziv="DomainObject.Predmet.SudioniciListNazivOIB_1">
      <item>, OIB 05106844766</item>
      <item>, OIB 85821130368</item>
      <item>, OIB 56724932836</item>
      <item>, OIB 42027903466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2C2F6-1A84-4A18-B3C2-2E251207B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908</properties:Words>
  <properties:Characters>5039</properties:Characters>
  <properties:Lines>107</properties:Lines>
  <properties:Paragraphs>45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2019-02-13T09:16:00Z</cp:lastPrinted>
  <dcterms:modified xmlns:xsi="http://www.w3.org/2001/XMLSchema-instance" xsi:type="dcterms:W3CDTF">2019-02-13T09:16:00Z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(St-762-2018 rješenje-prethodni postupak - nakon predstečajne obustave.docx)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