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98eb" w14:paraId="7ae98e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2F59" w:rsidP="007A2F59" w:rsidR="007A2F59" w:rsidRPr="007A2F59">
      <w:pPr>
        <w:overflowPunct w:val="false"/>
        <w:autoSpaceDE w:val="false"/>
        <w:autoSpaceDN w:val="false"/>
        <w:adjustRightInd w:val="false"/>
        <w:spacing w:after="0"/>
        <w:ind w:firstLine="5103"/>
        <w:rPr>
          <w:rFonts w:cs="Times New Roman" w:eastAsia="Times New Roman"/>
          <w:lang w:eastAsia="hr-HR"/>
        </w:rPr>
      </w:pPr>
      <w:r w:rsidRPr="007A2F59">
        <w:rPr>
          <w:rFonts w:cs="Times New Roman" w:eastAsia="Times New Roman"/>
          <w:lang w:eastAsia="hr-HR"/>
        </w:rPr>
        <w:t xml:space="preserve">              5. St-268/2017-17</w:t>
      </w:r>
    </w:p>
    <w:p w:rsidRDefault="007A2F59" w:rsidP="007A2F59" w:rsidR="007A2F59" w:rsidRPr="007A2F59">
      <w:pPr>
        <w:overflowPunct w:val="false"/>
        <w:autoSpaceDE w:val="false"/>
        <w:autoSpaceDN w:val="false"/>
        <w:adjustRightInd w:val="false"/>
        <w:spacing w:after="0"/>
        <w:ind w:firstLine="5103"/>
        <w:rPr>
          <w:rFonts w:cs="Times New Roman" w:eastAsia="Times New Roman"/>
          <w:lang w:eastAsia="hr-HR"/>
        </w:rPr>
      </w:pPr>
    </w:p>
    <w:p w:rsidRDefault="007A2F59" w:rsidP="007A2F59" w:rsidR="007A2F59" w:rsidRPr="007A2F59">
      <w:pPr>
        <w:overflowPunct w:val="false"/>
        <w:autoSpaceDE w:val="false"/>
        <w:autoSpaceDN w:val="false"/>
        <w:adjustRightInd w:val="false"/>
        <w:spacing w:after="0"/>
        <w:ind w:firstLine="5103"/>
        <w:rPr>
          <w:rFonts w:cs="Times New Roman" w:eastAsia="Times New Roman"/>
          <w:noProof/>
          <w:lang w:eastAsia="hr-HR"/>
        </w:rPr>
      </w:pPr>
    </w:p>
    <w:p w:rsidRDefault="007A2F59" w:rsidP="007A2F59" w:rsidR="007A2F59">
      <w:pPr>
        <w:overflowPunct w:val="false"/>
        <w:autoSpaceDE w:val="false"/>
        <w:autoSpaceDN w:val="false"/>
        <w:adjustRightInd w:val="false"/>
        <w:spacing w:after="0"/>
        <w:ind w:firstLine="5103"/>
        <w:rPr>
          <w:rFonts w:cs="Times New Roman" w:eastAsia="Times New Roman"/>
          <w:noProof/>
          <w:lang w:eastAsia="hr-HR"/>
        </w:rPr>
      </w:pPr>
    </w:p>
    <w:p w:rsidRDefault="007A2F59" w:rsidP="007A2F59" w:rsidR="007A2F59" w:rsidRPr="007A2F59">
      <w:pPr>
        <w:overflowPunct w:val="false"/>
        <w:autoSpaceDE w:val="false"/>
        <w:autoSpaceDN w:val="false"/>
        <w:adjustRightInd w:val="false"/>
        <w:spacing w:after="0"/>
        <w:ind w:firstLine="5103"/>
        <w:rPr>
          <w:rFonts w:cs="Times New Roman" w:eastAsia="Times New Roman"/>
          <w:noProof/>
          <w:lang w:eastAsia="hr-HR"/>
        </w:rPr>
      </w:pPr>
    </w:p>
    <w:p w:rsidRDefault="007A2F59" w:rsidP="007A2F59" w:rsidR="007A2F59">
      <w:pPr>
        <w:overflowPunct w:val="false"/>
        <w:autoSpaceDE w:val="false"/>
        <w:autoSpaceDN w:val="false"/>
        <w:adjustRightInd w:val="false"/>
        <w:spacing w:after="0"/>
        <w:ind w:firstLine="5103"/>
        <w:rPr>
          <w:rFonts w:cs="Times New Roman" w:eastAsia="Times New Roman"/>
          <w:noProof/>
          <w:lang w:eastAsia="hr-HR"/>
        </w:rPr>
      </w:pPr>
    </w:p>
    <w:p w:rsidRDefault="007A2F59" w:rsidP="007A2F59" w:rsidR="007A2F59" w:rsidRPr="007A2F59">
      <w:pPr>
        <w:overflowPunct w:val="false"/>
        <w:autoSpaceDE w:val="false"/>
        <w:autoSpaceDN w:val="false"/>
        <w:adjustRightInd w:val="false"/>
        <w:spacing w:after="0"/>
        <w:ind w:firstLine="5103"/>
        <w:rPr>
          <w:rFonts w:cs="Times New Roman" w:eastAsia="Times New Roman"/>
          <w:noProof/>
          <w:lang w:eastAsia="hr-HR"/>
        </w:rPr>
      </w:pPr>
      <w:bookmarkStart w:name="_GoBack" w:id="0"/>
      <w:bookmarkEnd w:id="0"/>
    </w:p>
    <w:p w:rsidRDefault="007A2F59" w:rsidP="007A2F59" w:rsidR="007A2F59" w:rsidRPr="007A2F59">
      <w:pPr>
        <w:overflowPunct w:val="false"/>
        <w:autoSpaceDE w:val="false"/>
        <w:autoSpaceDN w:val="false"/>
        <w:adjustRightInd w:val="false"/>
        <w:spacing w:after="0"/>
        <w:rPr>
          <w:rFonts w:cs="Times New Roman" w:eastAsia="Times New Roman"/>
          <w:noProof/>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noProof/>
          <w:lang w:eastAsia="hr-HR"/>
        </w:rPr>
      </w:pPr>
      <w:r w:rsidRPr="007A2F59">
        <w:rPr>
          <w:rFonts w:cs="Times New Roman" w:eastAsia="Times New Roman"/>
          <w:noProof/>
          <w:lang w:eastAsia="hr-HR"/>
        </w:rPr>
        <w:t>U  I M E  R E P U B L I K E   H R V A T S K E</w:t>
      </w:r>
    </w:p>
    <w:p w:rsidRDefault="007A2F59" w:rsidP="007A2F59" w:rsidR="007A2F59" w:rsidRPr="007A2F59">
      <w:pPr>
        <w:overflowPunct w:val="false"/>
        <w:autoSpaceDE w:val="false"/>
        <w:autoSpaceDN w:val="false"/>
        <w:adjustRightInd w:val="false"/>
        <w:spacing w:after="0"/>
        <w:jc w:val="right"/>
        <w:rPr>
          <w:rFonts w:cs="Times New Roman" w:eastAsia="Times New Roman"/>
          <w:b/>
          <w:noProof/>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noProof/>
          <w:lang w:eastAsia="hr-HR"/>
        </w:rPr>
      </w:pPr>
      <w:r w:rsidRPr="007A2F59">
        <w:rPr>
          <w:rFonts w:cs="Times New Roman" w:eastAsia="Times New Roman"/>
          <w:noProof/>
          <w:lang w:eastAsia="hr-HR"/>
        </w:rPr>
        <w:t>R J E Š E N J E</w:t>
      </w:r>
    </w:p>
    <w:p w:rsidRDefault="007A2F59" w:rsidP="007A2F59" w:rsidR="007A2F59" w:rsidRPr="007A2F59">
      <w:pPr>
        <w:overflowPunct w:val="false"/>
        <w:autoSpaceDE w:val="false"/>
        <w:autoSpaceDN w:val="false"/>
        <w:adjustRightInd w:val="false"/>
        <w:spacing w:after="0"/>
        <w:jc w:val="center"/>
        <w:rPr>
          <w:rFonts w:cs="Times New Roman" w:eastAsia="Times New Roman"/>
          <w:noProof/>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noProof/>
          <w:lang w:eastAsia="hr-HR"/>
        </w:rPr>
      </w:pPr>
    </w:p>
    <w:p w:rsidRDefault="007A2F59" w:rsidP="007A2F59" w:rsidR="007A2F59" w:rsidRPr="007A2F59">
      <w:pPr>
        <w:overflowPunct w:val="false"/>
        <w:autoSpaceDE w:val="false"/>
        <w:autoSpaceDN w:val="false"/>
        <w:adjustRightInd w:val="false"/>
        <w:spacing w:after="0"/>
        <w:ind w:firstLine="708"/>
        <w:jc w:val="both"/>
        <w:rPr>
          <w:rFonts w:cs="Times New Roman" w:eastAsia="Times New Roman"/>
          <w:lang w:eastAsia="hr-HR"/>
        </w:rPr>
      </w:pPr>
      <w:r w:rsidRPr="007A2F59">
        <w:rPr>
          <w:rFonts w:cs="Times New Roman" w:eastAsia="Times New Roman"/>
          <w:noProof/>
          <w:szCs w:val="20"/>
          <w:lang w:eastAsia="hr-HR"/>
        </w:rPr>
        <w:t xml:space="preserve">TRGOVAČKI SUD U BJELOVARU, po sucu pojedincu Mariji Petrina Kubica, u </w:t>
      </w:r>
      <w:proofErr w:type="spellStart"/>
      <w:r w:rsidRPr="007A2F59">
        <w:rPr>
          <w:rFonts w:cs="Times New Roman" w:eastAsia="Times New Roman"/>
          <w:lang w:eastAsia="hr-HR"/>
        </w:rPr>
        <w:t>predstečajnom</w:t>
      </w:r>
      <w:proofErr w:type="spellEnd"/>
      <w:r w:rsidRPr="007A2F59">
        <w:rPr>
          <w:rFonts w:cs="Times New Roman" w:eastAsia="Times New Roman"/>
          <w:lang w:eastAsia="hr-HR"/>
        </w:rPr>
        <w:t xml:space="preserve"> postupku nad dužnikom HIDROKULTURA d.o.o. za proizvodnju, trgovinu i usluge, Slatina, Mlinska 2, OIB: 47560815542, MBS: 010100104, kojeg zastupa punomoćnik Ozren </w:t>
      </w:r>
      <w:proofErr w:type="spellStart"/>
      <w:r w:rsidRPr="007A2F59">
        <w:rPr>
          <w:rFonts w:cs="Times New Roman" w:eastAsia="Times New Roman"/>
          <w:lang w:eastAsia="hr-HR"/>
        </w:rPr>
        <w:t>Korušec</w:t>
      </w:r>
      <w:proofErr w:type="spellEnd"/>
      <w:r w:rsidRPr="007A2F59">
        <w:rPr>
          <w:rFonts w:cs="Times New Roman" w:eastAsia="Times New Roman"/>
          <w:lang w:eastAsia="hr-HR"/>
        </w:rPr>
        <w:t>, odvjetnik u Bjelovaru, 25. kolovoza 2017.</w:t>
      </w:r>
    </w:p>
    <w:p w:rsidRDefault="007A2F59" w:rsidP="007A2F59" w:rsidR="007A2F59" w:rsidRPr="007A2F59">
      <w:pPr>
        <w:overflowPunct w:val="false"/>
        <w:autoSpaceDE w:val="false"/>
        <w:autoSpaceDN w:val="false"/>
        <w:adjustRightInd w:val="false"/>
        <w:spacing w:after="0"/>
        <w:ind w:firstLine="708"/>
        <w:jc w:val="both"/>
        <w:rPr>
          <w:rFonts w:cs="Times New Roman" w:eastAsia="Times New Roman"/>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lang w:eastAsia="hr-HR"/>
        </w:rPr>
      </w:pPr>
      <w:r w:rsidRPr="007A2F59">
        <w:rPr>
          <w:rFonts w:cs="Times New Roman" w:eastAsia="Times New Roman"/>
          <w:lang w:eastAsia="hr-HR"/>
        </w:rPr>
        <w:t>r i j e š i o  j e</w:t>
      </w:r>
    </w:p>
    <w:p w:rsidRDefault="007A2F59" w:rsidP="007A2F59" w:rsidR="007A2F59" w:rsidRPr="007A2F59">
      <w:pPr>
        <w:overflowPunct w:val="false"/>
        <w:autoSpaceDE w:val="false"/>
        <w:autoSpaceDN w:val="false"/>
        <w:adjustRightInd w:val="false"/>
        <w:spacing w:after="0"/>
        <w:jc w:val="center"/>
        <w:rPr>
          <w:rFonts w:cs="Times New Roman" w:eastAsia="Times New Roman"/>
          <w:lang w:eastAsia="hr-HR"/>
        </w:rPr>
      </w:pPr>
    </w:p>
    <w:p w:rsidRDefault="007A2F59" w:rsidP="007A2F59" w:rsidR="007A2F59" w:rsidRPr="007A2F59">
      <w:pPr>
        <w:overflowPunct w:val="false"/>
        <w:autoSpaceDE w:val="false"/>
        <w:autoSpaceDN w:val="false"/>
        <w:adjustRightInd w:val="false"/>
        <w:spacing w:after="0"/>
        <w:rPr>
          <w:rFonts w:cs="Times New Roman" w:eastAsia="Times New Roman"/>
          <w:lang w:eastAsia="hr-HR"/>
        </w:rPr>
      </w:pP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r w:rsidRPr="007A2F59">
        <w:rPr>
          <w:rFonts w:cs="Times New Roman" w:eastAsia="Times New Roman"/>
          <w:szCs w:val="20"/>
          <w:lang w:eastAsia="hr-HR"/>
        </w:rPr>
        <w:t xml:space="preserve">I. </w:t>
      </w:r>
      <w:proofErr w:type="spellStart"/>
      <w:r w:rsidRPr="007A2F59">
        <w:rPr>
          <w:rFonts w:cs="Times New Roman" w:eastAsia="Times New Roman"/>
          <w:szCs w:val="20"/>
          <w:lang w:eastAsia="hr-HR"/>
        </w:rPr>
        <w:t>Predstečajni</w:t>
      </w:r>
      <w:proofErr w:type="spellEnd"/>
      <w:r w:rsidRPr="007A2F59">
        <w:rPr>
          <w:rFonts w:cs="Times New Roman" w:eastAsia="Times New Roman"/>
          <w:szCs w:val="20"/>
          <w:lang w:eastAsia="hr-HR"/>
        </w:rPr>
        <w:t xml:space="preserve"> postupak se obustavlja. </w:t>
      </w: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r w:rsidRPr="007A2F59">
        <w:rPr>
          <w:rFonts w:cs="Times New Roman" w:eastAsia="Times New Roman"/>
          <w:szCs w:val="20"/>
          <w:lang w:eastAsia="hr-HR"/>
        </w:rPr>
        <w:t xml:space="preserve">II. Nakon pravomoćnosti ovog rješenja sud će po službenoj dužnosti nastaviti postupak kao da je podnesen prijedlog za otvaranje stečajnog postupka nad dužnikom, osim ako utvrdi da je dužnik sposoban za plaćanje i da je ispunio sve obveze prema vjerovnicima. </w:t>
      </w: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szCs w:val="20"/>
          <w:lang w:eastAsia="hr-HR"/>
        </w:rPr>
      </w:pPr>
      <w:r w:rsidRPr="007A2F59">
        <w:rPr>
          <w:rFonts w:cs="Times New Roman" w:eastAsia="Times New Roman"/>
          <w:szCs w:val="20"/>
          <w:lang w:eastAsia="hr-HR"/>
        </w:rPr>
        <w:t>Obrazloženje</w:t>
      </w:r>
    </w:p>
    <w:p w:rsidRDefault="007A2F59" w:rsidP="007A2F59" w:rsidR="007A2F59" w:rsidRPr="007A2F59">
      <w:pPr>
        <w:overflowPunct w:val="false"/>
        <w:autoSpaceDE w:val="false"/>
        <w:autoSpaceDN w:val="false"/>
        <w:adjustRightInd w:val="false"/>
        <w:spacing w:after="0"/>
        <w:jc w:val="center"/>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r w:rsidRPr="007A2F59">
        <w:rPr>
          <w:rFonts w:cs="Times New Roman" w:eastAsia="Times New Roman"/>
          <w:szCs w:val="20"/>
          <w:lang w:eastAsia="hr-HR"/>
        </w:rPr>
        <w:t xml:space="preserve">Dužnik je podnio ovome sudu prijedlog za otvaranje </w:t>
      </w:r>
      <w:proofErr w:type="spellStart"/>
      <w:r w:rsidRPr="007A2F59">
        <w:rPr>
          <w:rFonts w:cs="Times New Roman" w:eastAsia="Times New Roman"/>
          <w:szCs w:val="20"/>
          <w:lang w:eastAsia="hr-HR"/>
        </w:rPr>
        <w:t>predstečajnog</w:t>
      </w:r>
      <w:proofErr w:type="spellEnd"/>
      <w:r w:rsidRPr="007A2F59">
        <w:rPr>
          <w:rFonts w:cs="Times New Roman" w:eastAsia="Times New Roman"/>
          <w:szCs w:val="20"/>
          <w:lang w:eastAsia="hr-HR"/>
        </w:rPr>
        <w:t xml:space="preserve"> postupka, na temelju odredbe čl.25. st.1. Stečajnog zakona </w:t>
      </w:r>
      <w:r w:rsidRPr="007A2F59">
        <w:rPr>
          <w:rFonts w:cs="Times New Roman" w:eastAsia="Times New Roman"/>
          <w:noProof/>
          <w:szCs w:val="20"/>
          <w:lang w:eastAsia="hr-HR"/>
        </w:rPr>
        <w:t xml:space="preserve">("Narodne novine" broj 71/15, dalje: SZ), nakon čega je ovaj sud 9. svibnja 2017. donio rješenje o otvaranju </w:t>
      </w:r>
      <w:proofErr w:type="spellStart"/>
      <w:r w:rsidRPr="007A2F59">
        <w:rPr>
          <w:rFonts w:cs="Times New Roman" w:eastAsia="Times New Roman"/>
          <w:szCs w:val="20"/>
          <w:lang w:eastAsia="hr-HR"/>
        </w:rPr>
        <w:t>predstečajnog</w:t>
      </w:r>
      <w:proofErr w:type="spellEnd"/>
      <w:r w:rsidRPr="007A2F59">
        <w:rPr>
          <w:rFonts w:cs="Times New Roman" w:eastAsia="Times New Roman"/>
          <w:szCs w:val="20"/>
          <w:lang w:eastAsia="hr-HR"/>
        </w:rPr>
        <w:t xml:space="preserve"> postupka.</w:t>
      </w: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r w:rsidRPr="007A2F59">
        <w:rPr>
          <w:rFonts w:cs="Times New Roman" w:eastAsia="Times New Roman"/>
          <w:szCs w:val="20"/>
          <w:lang w:eastAsia="hr-HR"/>
        </w:rPr>
        <w:t xml:space="preserve">Podneskom od 23. kolovoza 2017. povjerenik </w:t>
      </w:r>
      <w:proofErr w:type="spellStart"/>
      <w:r w:rsidRPr="007A2F59">
        <w:rPr>
          <w:rFonts w:cs="Times New Roman" w:eastAsia="Times New Roman"/>
          <w:szCs w:val="20"/>
          <w:lang w:eastAsia="hr-HR"/>
        </w:rPr>
        <w:t>predstečajne</w:t>
      </w:r>
      <w:proofErr w:type="spellEnd"/>
      <w:r w:rsidRPr="007A2F59">
        <w:rPr>
          <w:rFonts w:cs="Times New Roman" w:eastAsia="Times New Roman"/>
          <w:szCs w:val="20"/>
          <w:lang w:eastAsia="hr-HR"/>
        </w:rPr>
        <w:t xml:space="preserve"> nagodbe Vanda Kovačević </w:t>
      </w:r>
      <w:proofErr w:type="spellStart"/>
      <w:r w:rsidRPr="007A2F59">
        <w:rPr>
          <w:rFonts w:cs="Times New Roman" w:eastAsia="Times New Roman"/>
          <w:szCs w:val="20"/>
          <w:lang w:eastAsia="hr-HR"/>
        </w:rPr>
        <w:t>Gelenčer</w:t>
      </w:r>
      <w:proofErr w:type="spellEnd"/>
      <w:r w:rsidRPr="007A2F59">
        <w:rPr>
          <w:rFonts w:cs="Times New Roman" w:eastAsia="Times New Roman"/>
          <w:szCs w:val="20"/>
          <w:lang w:eastAsia="hr-HR"/>
        </w:rPr>
        <w:t xml:space="preserve"> je navela da dužnik ima jednog zaposlenika kojem u tijeku </w:t>
      </w:r>
      <w:proofErr w:type="spellStart"/>
      <w:r w:rsidRPr="007A2F59">
        <w:rPr>
          <w:rFonts w:cs="Times New Roman" w:eastAsia="Times New Roman"/>
          <w:szCs w:val="20"/>
          <w:lang w:eastAsia="hr-HR"/>
        </w:rPr>
        <w:t>predstečajnog</w:t>
      </w:r>
      <w:proofErr w:type="spellEnd"/>
      <w:r w:rsidRPr="007A2F59">
        <w:rPr>
          <w:rFonts w:cs="Times New Roman" w:eastAsia="Times New Roman"/>
          <w:szCs w:val="20"/>
          <w:lang w:eastAsia="hr-HR"/>
        </w:rPr>
        <w:t xml:space="preserve"> postupka isplatio samo jednu plaću, za travanj 2017., dok plaće za svibanj i lipanj, sa pripadajućim doprinosima, nisu isplaćene. Plaću za svibanj dužnik je bio u obvezi isplatiti najkasnije do 30. lipnja 2017., a plaću za lipanj do 31. srpnja 2017.</w:t>
      </w: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ind w:firstLine="851"/>
        <w:jc w:val="both"/>
        <w:rPr>
          <w:rFonts w:cs="Times New Roman" w:eastAsia="Times New Roman"/>
          <w:szCs w:val="20"/>
          <w:lang w:eastAsia="hr-HR"/>
        </w:rPr>
      </w:pPr>
      <w:r w:rsidRPr="007A2F59">
        <w:rPr>
          <w:rFonts w:cs="Times New Roman" w:eastAsia="Times New Roman"/>
          <w:szCs w:val="20"/>
          <w:lang w:eastAsia="hr-HR"/>
        </w:rPr>
        <w:lastRenderedPageBreak/>
        <w:t xml:space="preserve">Kako je iz navoda povjerenika </w:t>
      </w:r>
      <w:proofErr w:type="spellStart"/>
      <w:r w:rsidRPr="007A2F59">
        <w:rPr>
          <w:rFonts w:cs="Times New Roman" w:eastAsia="Times New Roman"/>
          <w:szCs w:val="20"/>
          <w:lang w:eastAsia="hr-HR"/>
        </w:rPr>
        <w:t>predstečajne</w:t>
      </w:r>
      <w:proofErr w:type="spellEnd"/>
      <w:r w:rsidRPr="007A2F59">
        <w:rPr>
          <w:rFonts w:cs="Times New Roman" w:eastAsia="Times New Roman"/>
          <w:szCs w:val="20"/>
          <w:lang w:eastAsia="hr-HR"/>
        </w:rPr>
        <w:t xml:space="preserve"> nagodbe razvidno da dužnik u tijeku </w:t>
      </w:r>
      <w:proofErr w:type="spellStart"/>
      <w:r w:rsidRPr="007A2F59">
        <w:rPr>
          <w:rFonts w:cs="Times New Roman" w:eastAsia="Times New Roman"/>
          <w:szCs w:val="20"/>
          <w:lang w:eastAsia="hr-HR"/>
        </w:rPr>
        <w:t>predstečajnog</w:t>
      </w:r>
      <w:proofErr w:type="spellEnd"/>
      <w:r w:rsidRPr="007A2F59">
        <w:rPr>
          <w:rFonts w:cs="Times New Roman" w:eastAsia="Times New Roman"/>
          <w:szCs w:val="20"/>
          <w:lang w:eastAsia="hr-HR"/>
        </w:rPr>
        <w:t xml:space="preserve"> postupka više od 30 dana kasni s isplatom plaće, sud je temeljem odredbe čl.64. st.1. t.6. i st.2. SZ-a riješio kao u izreci. </w:t>
      </w: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center"/>
        <w:rPr>
          <w:rFonts w:cs="Times New Roman" w:eastAsia="Times New Roman"/>
          <w:b/>
          <w:szCs w:val="20"/>
          <w:lang w:eastAsia="hr-HR"/>
        </w:rPr>
      </w:pPr>
      <w:r w:rsidRPr="007A2F59">
        <w:rPr>
          <w:rFonts w:cs="Times New Roman" w:eastAsia="Times New Roman"/>
          <w:szCs w:val="20"/>
          <w:lang w:eastAsia="hr-HR"/>
        </w:rPr>
        <w:t xml:space="preserve">U Bjelovaru, 25. kolovoza 2017. </w:t>
      </w: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ind w:firstLine="708" w:left="4956"/>
        <w:jc w:val="both"/>
        <w:rPr>
          <w:rFonts w:cs="Times New Roman" w:eastAsia="Times New Roman"/>
          <w:szCs w:val="20"/>
          <w:lang w:eastAsia="hr-HR"/>
        </w:rPr>
      </w:pPr>
      <w:r w:rsidRPr="007A2F59">
        <w:rPr>
          <w:rFonts w:cs="Times New Roman" w:eastAsia="Times New Roman"/>
          <w:szCs w:val="20"/>
          <w:lang w:eastAsia="hr-HR"/>
        </w:rPr>
        <w:t>SUDAC</w:t>
      </w:r>
    </w:p>
    <w:p w:rsidRDefault="007A2F59" w:rsidP="007A2F59" w:rsidR="007A2F59" w:rsidRPr="007A2F59">
      <w:pPr>
        <w:overflowPunct w:val="false"/>
        <w:autoSpaceDE w:val="false"/>
        <w:autoSpaceDN w:val="false"/>
        <w:adjustRightInd w:val="false"/>
        <w:spacing w:after="0"/>
        <w:rPr>
          <w:rFonts w:cs="Times New Roman" w:eastAsia="Times New Roman"/>
          <w:szCs w:val="20"/>
          <w:lang w:eastAsia="hr-HR"/>
        </w:rPr>
      </w:pPr>
      <w:r w:rsidRPr="007A2F59">
        <w:rPr>
          <w:rFonts w:cs="Times New Roman" w:eastAsia="Times New Roman"/>
          <w:szCs w:val="20"/>
          <w:lang w:eastAsia="hr-HR"/>
        </w:rPr>
        <w:t xml:space="preserve">                                                                              MARIJA PETRINA KUBICA v.r.</w:t>
      </w:r>
    </w:p>
    <w:p w:rsidRDefault="007A2F59" w:rsidP="007A2F59" w:rsidR="007A2F59" w:rsidRPr="007A2F59">
      <w:pPr>
        <w:overflowPunct w:val="false"/>
        <w:autoSpaceDE w:val="false"/>
        <w:autoSpaceDN w:val="false"/>
        <w:adjustRightInd w:val="false"/>
        <w:spacing w:after="0"/>
        <w:rPr>
          <w:rFonts w:cs="Times New Roman" w:eastAsia="Times New Roman"/>
          <w:szCs w:val="20"/>
          <w:lang w:eastAsia="hr-HR"/>
        </w:rPr>
      </w:pPr>
    </w:p>
    <w:p w:rsidRDefault="007A2F59" w:rsidP="007A2F59" w:rsidR="007A2F59" w:rsidRPr="007A2F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A2F59">
        <w:rPr>
          <w:rFonts w:cs="Times New Roman" w:eastAsia="Times New Roman"/>
          <w:noProof/>
          <w:szCs w:val="20"/>
          <w:lang w:eastAsia="hr-HR"/>
        </w:rPr>
        <w:t>Za točnost otpravka-</w:t>
      </w:r>
    </w:p>
    <w:p w:rsidRDefault="007A2F59" w:rsidP="007A2F59" w:rsidR="007A2F59" w:rsidRPr="007A2F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A2F59">
        <w:rPr>
          <w:rFonts w:cs="Times New Roman" w:eastAsia="Times New Roman"/>
          <w:noProof/>
          <w:szCs w:val="20"/>
          <w:lang w:eastAsia="hr-HR"/>
        </w:rPr>
        <w:t>ovlašteni službenik</w:t>
      </w:r>
    </w:p>
    <w:p w:rsidRDefault="007A2F59" w:rsidP="007A2F59" w:rsidR="007A2F59" w:rsidRPr="007A2F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A2F59">
        <w:rPr>
          <w:rFonts w:cs="Times New Roman" w:eastAsia="Times New Roman"/>
          <w:noProof/>
          <w:szCs w:val="20"/>
          <w:lang w:eastAsia="hr-HR"/>
        </w:rPr>
        <w:t xml:space="preserve">     Željka Vitez</w:t>
      </w:r>
    </w:p>
    <w:p w:rsidRDefault="007A2F59" w:rsidP="007A2F59" w:rsidR="007A2F59" w:rsidRPr="007A2F59">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7A2F59" w:rsidP="007A2F59" w:rsidR="007A2F59" w:rsidRPr="007A2F59">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r w:rsidRPr="007A2F59">
        <w:rPr>
          <w:rFonts w:cs="Times New Roman" w:eastAsia="Times New Roman" w:hAnsi="Tahoma" w:ascii="Tahoma"/>
          <w:b/>
          <w:color w:val="0000FF"/>
          <w:szCs w:val="20"/>
          <w:lang w:eastAsia="hr-HR"/>
        </w:rPr>
        <w:tab/>
      </w: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r w:rsidRPr="007A2F5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7A2F59" w:rsidP="007A2F59" w:rsidR="007A2F59" w:rsidRPr="007A2F5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A2F59" w:rsidR="00AE649C" w:rsidRPr="00B76F3C">
      <w:headerReference w:type="default" r:id="rId11"/>
      <w:pgSz w:code="9" w:h="16839" w:w="11907"/>
      <w:pgMar w:gutter="0" w:footer="1134" w:header="1134" w:left="1417" w:bottom="212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2F59"/>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71440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St-268/2017-17</izvorni_sadrzaj>
    <derivirana_varijabla naziv="DomainObject.Oznaka_1">St-268/2017-17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HIDROKULTURA d.o.o. za proizvodnju, trgovinu i usluge</izvorni_sadrzaj>
    <derivirana_varijabla naziv="DomainObject.Predmet.StrankaFormated_1">  HIDROKULTURA d.o.o. za proizvodnju, trgovinu i usluge</derivirana_varijabla>
  </DomainObject.Predmet.StrankaFormated>
  <DomainObject.Predmet.StrankaFormatedOIB>
    <izvorni_sadrzaj>  HIDROKULTURA d.o.o. za proizvodnju, trgovinu i usluge, OIB 47560815542</izvorni_sadrzaj>
    <derivirana_varijabla naziv="DomainObject.Predmet.StrankaFormatedOIB_1">  HIDROKULTURA d.o.o. za proizvodnju, trgovinu i usluge, OIB 47560815542</derivirana_varijabla>
  </DomainObject.Predmet.StrankaFormatedOIB>
  <DomainObject.Predmet.StrankaFormatedWithAdress>
    <izvorni_sadrzaj> HIDROKULTURA d.o.o. za proizvodnju, trgovinu i usluge, Mlinska 2, 33520 Slatina</izvorni_sadrzaj>
    <derivirana_varijabla naziv="DomainObject.Predmet.StrankaFormatedWithAdress_1"> HIDROKULTURA d.o.o. za proizvodnju, trgovinu i usluge, Mlinska 2, 33520 Slatina</derivirana_varijabla>
  </DomainObject.Predmet.StrankaFormatedWithAdress>
  <DomainObject.Predmet.StrankaFormatedWithAdressOIB>
    <izvorni_sadrzaj> HIDROKULTURA d.o.o. za proizvodnju, trgovinu i usluge, OIB 47560815542, Mlinska 2, 33520 Slatina</izvorni_sadrzaj>
    <derivirana_varijabla naziv="DomainObject.Predmet.StrankaFormatedWithAdressOIB_1"> HIDROKULTURA d.o.o. za proizvodnju, trgovinu i usluge, OIB 47560815542, Mlinska 2, 33520 Slatina</derivirana_varijabla>
  </DomainObject.Predmet.StrankaFormatedWithAdressOIB>
  <DomainObject.Predmet.StrankaWithAdress>
    <izvorni_sadrzaj>HIDROKULTURA d.o.o. za proizvodnju, trgovinu i usluge Mlinska 2,33520 Slatina</izvorni_sadrzaj>
    <derivirana_varijabla naziv="DomainObject.Predmet.StrankaWithAdress_1">HIDROKULTURA d.o.o. za proizvodnju, trgovinu i usluge Mlinska 2,33520 Slatina</derivirana_varijabla>
  </DomainObject.Predmet.StrankaWithAdress>
  <DomainObject.Predmet.StrankaWithAdressOIB>
    <izvorni_sadrzaj>HIDROKULTURA d.o.o. za proizvodnju, trgovinu i usluge, OIB 47560815542, Mlinska 2,33520 Slatina</izvorni_sadrzaj>
    <derivirana_varijabla naziv="DomainObject.Predmet.StrankaWithAdressOIB_1">HIDROKULTURA d.o.o. za proizvodnju, trgovinu i usluge, OIB 47560815542, Mlinska 2,33520 Slatina</derivirana_varijabla>
  </DomainObject.Predmet.StrankaWithAdressOIB>
  <DomainObject.Predmet.StrankaNazivFormated>
    <izvorni_sadrzaj>HIDROKULTURA d.o.o. za proizvodnju, trgovinu i usluge</izvorni_sadrzaj>
    <derivirana_varijabla naziv="DomainObject.Predmet.StrankaNazivFormated_1">HIDROKULTURA d.o.o. za proizvodnju, trgovinu i usluge</derivirana_varijabla>
  </DomainObject.Predmet.StrankaNazivFormated>
  <DomainObject.Predmet.StrankaNazivFormatedOIB>
    <izvorni_sadrzaj>HIDROKULTURA d.o.o. za proizvodnju, trgovinu i usluge, OIB 47560815542</izvorni_sadrzaj>
    <derivirana_varijabla naziv="DomainObject.Predmet.StrankaNazivFormatedOIB_1">HIDROKULTURA d.o.o. za proizvodnju, trgovinu i usluge, OIB 47560815542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HIDROKULTURA d.o.o. za proizvodnju, trgovinu i usluge</item>
    </izvorni_sadrzaj>
    <derivirana_varijabla naziv="DomainObject.Predmet.StrankaListFormated_1">
      <item>HIDROKULTURA d.o.o. za proizvodnju, trgovinu i usluge</item>
    </derivirana_varijabla>
  </DomainObject.Predmet.StrankaListFormated>
  <DomainObject.Predmet.StrankaListFormatedOIB>
    <izvorni_sadrzaj>
      <item>HIDROKULTURA d.o.o. za proizvodnju, trgovinu i usluge, OIB 47560815542</item>
    </izvorni_sadrzaj>
    <derivirana_varijabla naziv="DomainObject.Predmet.StrankaListFormatedOIB_1">
      <item>HIDROKULTURA d.o.o. za proizvodnju, trgovinu i usluge, OIB 47560815542</item>
    </derivirana_varijabla>
  </DomainObject.Predmet.StrankaListFormatedOIB>
  <DomainObject.Predmet.StrankaListFormatedWithAdress>
    <izvorni_sadrzaj>
      <item>HIDROKULTURA d.o.o. za proizvodnju, trgovinu i usluge, Mlinska 2, 33520 Slatina</item>
    </izvorni_sadrzaj>
    <derivirana_varijabla naziv="DomainObject.Predmet.StrankaListFormatedWithAdress_1">
      <item>HIDROKULTURA d.o.o. za proizvodnju, trgovinu i usluge, Mlinska 2, 33520 Slatina</item>
    </derivirana_varijabla>
  </DomainObject.Predmet.StrankaListFormatedWithAdress>
  <DomainObject.Predmet.StrankaListFormatedWithAdressOIB>
    <izvorni_sadrzaj>
      <item>HIDROKULTURA d.o.o. za proizvodnju, trgovinu i usluge, OIB 47560815542, Mlinska 2, 33520 Slatina</item>
    </izvorni_sadrzaj>
    <derivirana_varijabla naziv="DomainObject.Predmet.StrankaListFormatedWithAdressOIB_1">
      <item>HIDROKULTURA d.o.o. za proizvodnju, trgovinu i usluge, OIB 47560815542, Mlinska 2, 33520 Slatina</item>
    </derivirana_varijabla>
  </DomainObject.Predmet.StrankaListFormatedWithAdressOIB>
  <DomainObject.Predmet.StrankaListNazivFormated>
    <izvorni_sadrzaj>
      <item>HIDROKULTURA d.o.o. za proizvodnju, trgovinu i usluge</item>
    </izvorni_sadrzaj>
    <derivirana_varijabla naziv="DomainObject.Predmet.StrankaListNazivFormated_1">
      <item>HIDROKULTURA d.o.o. za proizvodnju, trgovinu i usluge</item>
    </derivirana_varijabla>
  </DomainObject.Predmet.StrankaListNazivFormated>
  <DomainObject.Predmet.StrankaListNazivFormatedOIB>
    <izvorni_sadrzaj>
      <item>HIDROKULTURA d.o.o. za proizvodnju, trgovinu i usluge, OIB 47560815542</item>
    </izvorni_sadrzaj>
    <derivirana_varijabla naziv="DomainObject.Predmet.StrankaListNazivFormatedOIB_1">
      <item>HIDROKULTURA d.o.o. za proizvodnju, trgovinu i usluge, OIB 47560815542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St-268/2017-17</izvorni_sadrzaj>
    <derivirana_varijabla naziv="DomainObject.PoslovniBrojDokumenta_1">St-268/2017-17</derivirana_varijabla>
  </DomainObject.PoslovniBrojDokumenta>
  <DomainObject.Predmet.StrankaIDrugi>
    <izvorni_sadrzaj>HIDROKULTURA d.o.o. za proizvodnju, trgovinu i usluge</izvorni_sadrzaj>
    <derivirana_varijabla naziv="DomainObject.Predmet.StrankaIDrugi_1">HIDROKULTURA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HIDROKULTURA d.o.o. za proizvodnju, trgovinu i usluge, OIB 47560815542, Mlinska 2, 33520 Slatina</izvorni_sadrzaj>
    <derivirana_varijabla naziv="DomainObject.Predmet.StrankaIDrugiAdressOIB_1">HIDROKULTURA d.o.o. za proizvodnju, trgovinu i usluge, OIB 47560815542, Mlinska 2,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HIDROKULTURA d.o.o. za proizvodnju, trgovinu i usluge</item>
    </izvorni_sadrzaj>
    <derivirana_varijabla naziv="DomainObject.Predmet.SudioniciListNaziv_1">
      <item>HIDROKULTURA d.o.o. za proizvodnju, trgovinu i usluge</item>
    </derivirana_varijabla>
  </DomainObject.Predmet.SudioniciListNaziv>
  <DomainObject.Predmet.SudioniciListAdressOIB>
    <izvorni_sadrzaj>
      <item>HIDROKULTURA d.o.o. za proizvodnju, trgovinu i usluge, OIB 47560815542, Mlinska 2,33520 Slatina</item>
    </izvorni_sadrzaj>
    <derivirana_varijabla naziv="DomainObject.Predmet.SudioniciListAdressOIB_1">
      <item>HIDROKULTURA d.o.o. za proizvodnju, trgovinu i usluge, OIB 47560815542, Mlinska 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F8E2FF-D188-4A5F-B9FF-7FB867069E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339</properties:Words>
  <properties:Characters>1712</properties:Characters>
  <properties:Lines>71</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2017-08-25T12:17:00Z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St-268/2017-17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