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42af" w14:paraId="eab42af" w:rsidRDefault="003D0BF9" w:rsidP="001705BB" w:rsidR="00896057">
      <w:pPr>
        <w:pStyle w:val="Bezproreda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t xml:space="preserve">            </w:t>
      </w:r>
      <w:r w:rsidR="006D7A34">
        <w:rPr>
          <w:noProof/>
          <w:lang w:eastAsia="hr-HR"/>
        </w:rPr>
        <w:t xml:space="preserve"> </w:t>
      </w:r>
      <w:r>
        <w:rPr>
          <w:noProof/>
          <w:lang w:eastAsia="hr-HR"/>
        </w:rPr>
        <w:t xml:space="preserve"> </w:t>
      </w:r>
      <w:r w:rsidR="00F738D3">
        <w:rPr>
          <w:noProof/>
          <w:lang w:eastAsia="hr-HR"/>
        </w:rPr>
        <w:drawing>
          <wp:inline distR="0" distL="0" distB="0" distT="0">
            <wp:extent cy="550661" cx="414258"/>
            <wp:effectExtent b="1905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52628" cx="415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>
        <w:t xml:space="preserve">         </w:t>
      </w:r>
      <w:r w:rsidR="001705BB">
        <w:t xml:space="preserve">  </w:t>
      </w:r>
      <w:r w:rsidRPr="001705BB">
        <w:rPr>
          <w:sz w:val="18"/>
          <w:szCs w:val="18"/>
        </w:rPr>
        <w:t>REPUBLIKA HRVATSKA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>VISOKI TRGOVAČKI SUD REPUBLIKE HRVATSKE</w:t>
      </w:r>
    </w:p>
    <w:p w:rsidRDefault="003D0BF9" w:rsidP="003D0BF9" w:rsidR="003D0BF9" w:rsidRPr="001705BB">
      <w:pPr>
        <w:pStyle w:val="Bezproreda"/>
        <w:rPr>
          <w:sz w:val="18"/>
          <w:szCs w:val="18"/>
        </w:rPr>
      </w:pPr>
      <w:r w:rsidRPr="001705BB">
        <w:rPr>
          <w:sz w:val="18"/>
          <w:szCs w:val="18"/>
        </w:rPr>
        <w:t xml:space="preserve">                </w:t>
      </w:r>
      <w:r w:rsidR="006D7A34" w:rsidRPr="001705BB">
        <w:rPr>
          <w:sz w:val="18"/>
          <w:szCs w:val="18"/>
        </w:rPr>
        <w:t xml:space="preserve"> </w:t>
      </w:r>
      <w:r w:rsidRPr="001705BB">
        <w:rPr>
          <w:sz w:val="18"/>
          <w:szCs w:val="18"/>
        </w:rPr>
        <w:t xml:space="preserve"> </w:t>
      </w:r>
      <w:r w:rsidR="001705BB" w:rsidRPr="001705BB">
        <w:rPr>
          <w:sz w:val="18"/>
          <w:szCs w:val="18"/>
        </w:rPr>
        <w:t xml:space="preserve">  </w:t>
      </w:r>
      <w:r w:rsidR="001705BB">
        <w:rPr>
          <w:sz w:val="18"/>
          <w:szCs w:val="18"/>
        </w:rPr>
        <w:t xml:space="preserve">   </w:t>
      </w:r>
      <w:r w:rsidRPr="001705BB">
        <w:rPr>
          <w:sz w:val="18"/>
          <w:szCs w:val="18"/>
        </w:rPr>
        <w:t>Z A G R E B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center"/>
      </w:pPr>
    </w:p>
    <w:p w:rsidRDefault="004A51F7" w:rsidP="004A51F7" w:rsidR="004A51F7">
      <w:pPr>
        <w:spacing w:after="0"/>
        <w:jc w:val="center"/>
      </w:pPr>
      <w:r>
        <w:t>U   I M E   R E P U B L I K E   H R V A T S K E</w:t>
      </w:r>
    </w:p>
    <w:p w:rsidRDefault="004A51F7" w:rsidP="004A51F7" w:rsidR="004A51F7">
      <w:pPr>
        <w:spacing w:after="0"/>
        <w:jc w:val="center"/>
      </w:pPr>
    </w:p>
    <w:p w:rsidRDefault="004A51F7" w:rsidP="004A51F7" w:rsidR="004A51F7">
      <w:pPr>
        <w:spacing w:after="0"/>
        <w:jc w:val="center"/>
      </w:pPr>
      <w:r>
        <w:t>R J E Š E NJ E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Visoki trgovački sud Republike Hrvatske, u vijeću sastavljenom od sudaca Branke Šabarić Zovko, predsjednice vijeća, Mirte Matić, sutkinje izvjestiteljice i Maje Bilandžić, članice vijeća, u predstečajnom postupku nad dužnikom VS GRADNJA d.o.o. za građevinarstvo, trgovinu i posredovanje iz Slatine, Nikole Šubića Zrinskog 28, OIB 16640403502, odlučujući o žalbi vjerovnika ZITEX d.o.o., Donji Miholjac, Vukovarska 12, OIB 91166929650, kojeg zastupa punomoćnik Marko Kuna, odvjetnik u Donjem Miholjcu, protiv dijela rješenja Trgovačkog suda u Bjelovaru poslovni broj St-240/2017-41 od 29. kolovoza 2017., u sjednici vijeća održanoj 13. prosinca 2017.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center"/>
      </w:pPr>
      <w:r>
        <w:t>r i j e š i o   j e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Odbija se kao neosnovana žalba vjerovnika Zitex d.o.o., Donji Miholjac, i potvrđuje rješenje Trgovačkog suda u Bjelovaru poslovni broj St-240/2017-41 od 29. kolovoza 2017. u dijelu točke II. izreke kojim je osporena tražbina vjerovnika Zitex d.o.o., Donji Miholjac, u iznosu od 687.346,67 kn i u dijelu točke III. izreke kojim je taj vjerovnik upućen na pokretanje parnice radi utvrđivanja osporenog iznosa tražbine. 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center"/>
      </w:pPr>
      <w:r>
        <w:t>Obrazloženje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Rješenjem Trgovačkog suda u Bjelovaru poslovni broj St-240/2017-41 od 29. kolovoza 2017. u dijelu točke I. izreke utvrđena je tražbina vjerovnika Zitex d.o.o., Donji Miholjac, u iznosu od 1.407.622,51 kn, dok je u dijelu točke II. izreke rješenja tražbina tog vjerovnika u iznosu od 687.346,67 kn utvrđena kao osporena tražbina jer je vjerovnik tražbinu s iste pravne osnove prijavio dva puta te je upućen na pokretanje parnice radi utvrđivanja osporene tražbine protiv dužnika.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Vjerovnik Zitex d.o.o., podnio je žalbu protiv rješenja. navodeći, u bitnome, da je na ročištu održanom 29. kolovoza 2017. sud utvrdio da su razlučni vjerovnici uvršteni u tablicu razlučnih prava istaknuli da će se oni namirivati izvan postupka predstečajne nagodbe. Zato njihova potraživanja nisu utvrđivana u postupku predstečajne nagodbe. Iako je žalitelj izjavio da će se kao razlučni vjerovnik sa svojim potraživanjem namiriti izvan predstečajnog postupka, on nije uvršten u tablicu razlučnih prava. Sud je u zapisniku s ročišta utvrdio da žalitelj nije uvršten u tablicu razlučnih vjerovnika jer je postupak predstečajne nagodbe pokrenut 29. ožujka 2017., a žalitelj je založno pravo stekao nakon pokretanja postupka predstečajne nagodbe.  </w:t>
      </w:r>
    </w:p>
    <w:p w:rsidRDefault="004A51F7" w:rsidP="004A51F7" w:rsidR="004A51F7">
      <w:pPr>
        <w:spacing w:after="0"/>
        <w:jc w:val="both"/>
      </w:pPr>
      <w:r>
        <w:lastRenderedPageBreak/>
        <w:t xml:space="preserve"> </w:t>
      </w:r>
      <w:r>
        <w:tab/>
        <w:t>Upravo zbog toga žalitelj je sudu podnio prijedlog radi ispravka navoda u zapisniku o kojem sud nije odlučio. Zbog toga predlaže ukinuti pobijano rješenje i predmet vratiti prvostupanjskom sudu na ponovan postupak.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U odgovoru na žabu dužnik osporava žalbene navode i obrazlaže da je zabilježba ovrhe na temelju koje žalitelj tvrdi da je stekao razlučno pravo upisana nakon podnošenja prijedloga za otvaranje predstečajnog postupka slijedom čega žalitelj nije razlučni vjerovnik i nije uvršten u tablicu razlučnih vjerovnika.   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Žalba nije osnovana.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Rješenje je ispitano na temelju odredaba čl. 365. i čl. 381. Zakona o parničnom postupku („Narodne novine“ broj: 148/11-pročišćeni tekst, 25/13, 28/13 i 89/14; dalje: ZPP) u vezi s odredbom čl. 10. Stečajnog zakona („Narodne novine“ broj 71/15; dalje: SZ) u granicama dopuštenih žalbenih razloga, pazeći po službenoj dužnosti na bitne povrede odredaba parničnog postupka iz čl. 354. st. 2. t. 2., 4., 8., 9., 11., 13. i 14. ZPP-a, kao i na pravilnu primjenu materijalnog prava.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Pri donošenju pobijanog dijela rješenja prvostupanjski sud nije počinio niti jednu od bitnih povreda odredaba parničnog postupka na koje ovaj sud pazi po službenoj dužnosti.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Iz preslikanog dijela spisa proizlazi da je u predstečajnom postupku nad dužnikom na ročištu 29. kolovoza 2017. utvrđeno da je vjerovnik Zitex d.o.o., prijavio tražbinu u ukupnom iznosu od 2.094.969,18 kn, a da su mu povjerenik i dužnik priznali tražbinu u iznosu od 1.407.622,51 kn dok su mu osporili tražbinu u iznosu od 687.346,67 kn. Slijedom navedenog, na navedenom ročištu je na temelju odredbe čl. 49. SZ-a sastavljena tablica ispitanih tablica i tablica razlučnih prava te je u odnosu na tog vjerovnika utvrđena tražbina u iznosu od 1.407.622,51 kn, dok je osporena tražbina u iznosu od 687.346,67 kn. Na temelju tablice ispitanih tražbina sud je donio rješenje o utvrđenim i osporenim tražbinama, u kojem je za osporenu tražbinu kao razlog osporavanja navedeno da je vjerovnik tražbinu u iznosu od 687.346,67 kn prijavio dva puta na temelju iste pravne osnove.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Prema odredbi čl. 48. SZ-a ako je dužnik osporio tražbinu, sud će vjerovnika osporene tražbine uputiti na parnicu protiv dužnika radi utvrđivanja osporene tražbine (st. 1.). Postupak radi utvrđivanja osporenih tražbina u predstečajnom postupku provodi se odgovarajućom primjenom pravila o postupku radi utvrđivanja osporenih tražbina u stečajnom postupku (st. 5.).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Odredbom čl. 49. SZ-a propisano je da na ročištu radi ispitivanja tražbina sud sastavlja tablicu ispitanih tražbina i tablicu razlučnih prava (st. 1.). U tablicu ispitanih tražbina za svaku pojedinu tražbinu unosi se u kojem iznosu je utvrđena, odnosno osporena, uz obveznu naznaku razloga osporavanja (st. 2.). U tablicu razlučnih prava unose se tražbine razlučnih vjerovnika ako plan restrukturiranja zadire u njihova prava (st. 3.). 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Odredbom čl. 50. SZ-a propisano je da na temelju tablice ispitanih tražbina sud donosi rješenje o utvrđenim i osporenim tražbinama, uz obveznu naznaku razloga osporavanja (st. 1.). Rješenjem iz stavka 1. ovog članka sud će odlučiti o upućivanju na parnicu radi osporavanja tražbine (st. 2.). Na upućivanje na parnicu u predstečajnom postupku na odgovarajući se način primjenjuju odredbe o upućivanju na parnicu u stečajnom postupku (st. 3.).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Odredbom čl. 266. st. 1. SZ-a propisano je da u slučaju ako je stečajni upravitelj osporio tražbinu, sud će vjerovnika uputiti na parnicu protiv stečajnog dužnika radi utvrđivanja osporene tražbine.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Budući da je dužnik osporio žaliteljevu tražbinu u iznosu od 687.346,67 kn, pravilno je prvostupanjski sud u smislu citiranih zakonskih odredaba utvrdio da je navedena tražbina osporena pa je posljedično tome pravilno i zakonito pobijano rješenje u dijelu kojim je osporena žaliteljeva tražbina vjerovnik upućen na pokretanje parnice radi dokazivanja osnovanosti svojeg osporavanja.</w:t>
      </w:r>
    </w:p>
    <w:p w:rsidRDefault="004A51F7" w:rsidP="004A51F7" w:rsidR="004A51F7">
      <w:pPr>
        <w:spacing w:after="0"/>
        <w:jc w:val="both"/>
      </w:pPr>
      <w:r>
        <w:t xml:space="preserve"> </w:t>
      </w:r>
    </w:p>
    <w:p w:rsidRDefault="004A51F7" w:rsidP="004A51F7" w:rsidR="004A51F7">
      <w:pPr>
        <w:spacing w:after="0"/>
        <w:jc w:val="both"/>
      </w:pPr>
      <w:r>
        <w:tab/>
        <w:t>Razlozi osporavanja tražbine ne mogu biti predmet raspravljanja u predstečajnom postupku, neovisno o tome jesu li dužnik i povjerenik osnovano ili eventualno neosnovano osporili tražbinu.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>Pravilnom primjenom materijalnog prava odredbe čl. 50. st. 3. SZ-a u vezi s odredbom čl. 266. st. 1. SZ-a sud je vjerovnika uputio na pokretanje parnice radi utvrđivanja osporene tražbine.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S obzirom na to da žalbenim navodima žalitelj ukazuje da je sud propustio uvrstiti žalitelja u tablicu razlučnih prava, posljedično čemu je sudu podnio prijedlog radi ispravaka sadržaja zapisnika o ročištu održanom 29. kolovoza 2017. (list 425. spisa), o kojem sud nije odlučio, u daljnjem tijeku postupka sud će primjenom mjerodavne odredbe čl. 126. ZPP-a u vezi čl. 10. SZ-a odlučiti o tom prigovoru. 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spacing w:after="0"/>
        <w:jc w:val="both"/>
      </w:pPr>
      <w:r>
        <w:tab/>
        <w:t xml:space="preserve">Zbog navedenog je na temelju odredbe čl. 380. t. 2. ZPP-a u vezi s odredbom čl. 10. SZ-a riješeno kao u izreci. </w:t>
      </w:r>
    </w:p>
    <w:p w:rsidRDefault="004A51F7" w:rsidP="004A51F7" w:rsidR="004A51F7">
      <w:pPr>
        <w:spacing w:after="0"/>
        <w:jc w:val="both"/>
      </w:pPr>
      <w:r>
        <w:t xml:space="preserve"> </w:t>
      </w:r>
    </w:p>
    <w:p w:rsidRDefault="004A51F7" w:rsidP="004A51F7" w:rsidR="004A51F7">
      <w:pPr>
        <w:spacing w:after="0"/>
        <w:jc w:val="center"/>
      </w:pPr>
      <w:r>
        <w:t>Zagreb, 13. prosinca 2017.</w:t>
      </w:r>
    </w:p>
    <w:p w:rsidRDefault="004A51F7" w:rsidP="004A51F7" w:rsidR="004A51F7">
      <w:pPr>
        <w:spacing w:after="0"/>
        <w:jc w:val="both"/>
      </w:pPr>
    </w:p>
    <w:p w:rsidRDefault="004A51F7" w:rsidP="004A51F7" w:rsidR="004A51F7">
      <w:pPr>
        <w:pStyle w:val="Bezproreda"/>
        <w:ind w:left="4536"/>
        <w:jc w:val="center"/>
      </w:pPr>
      <w:r>
        <w:t>Predsjednica vijeća</w:t>
      </w:r>
    </w:p>
    <w:p w:rsidRDefault="004A51F7" w:rsidP="004A51F7" w:rsidR="004A51F7">
      <w:pPr>
        <w:pStyle w:val="Bezproreda"/>
        <w:ind w:left="4536"/>
        <w:jc w:val="center"/>
      </w:pPr>
      <w:r>
        <w:t>Branka Šabarić Zovko, v. r.</w:t>
      </w:r>
    </w:p>
    <w:p w:rsidRDefault="004A51F7" w:rsidP="004A51F7" w:rsidR="004A51F7">
      <w:pPr>
        <w:pStyle w:val="Bezproreda"/>
        <w:ind w:left="4536"/>
        <w:jc w:val="center"/>
      </w:pPr>
    </w:p>
    <w:p w:rsidRDefault="004A51F7" w:rsidP="004A51F7" w:rsidR="004A51F7">
      <w:pPr>
        <w:pStyle w:val="Bezproreda"/>
        <w:ind w:left="4536"/>
        <w:jc w:val="center"/>
      </w:pPr>
      <w:r>
        <w:t>Za točnost otpravka – ovlašteni službenik</w:t>
      </w:r>
    </w:p>
    <w:p w:rsidRDefault="004A51F7" w:rsidP="004A51F7" w:rsidR="004A51F7">
      <w:pPr>
        <w:pStyle w:val="Bezproreda"/>
        <w:ind w:left="4536"/>
        <w:jc w:val="center"/>
      </w:pPr>
      <w:r>
        <w:t>Brankica Curman</w:t>
      </w:r>
    </w:p>
    <w:p w:rsidRDefault="004E49A1" w:rsidP="004E49A1" w:rsidR="004E49A1">
      <w:pPr>
        <w:spacing w:after="0"/>
        <w:jc w:val="both"/>
      </w:pPr>
    </w:p>
    <w:sectPr w:rsidR="004E49A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8AC" w:rsidP="00BD5A69" w:rsidR="00F018AC">
      <w:pPr>
        <w:spacing w:after="0"/>
      </w:pPr>
      <w:r>
        <w:separator/>
      </w:r>
    </w:p>
  </w:endnote>
  <w:endnote w:id="0" w:type="continuationSeparator">
    <w:p w:rsidRDefault="00F018AC" w:rsidP="00BD5A69" w:rsidR="00F018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36594193"/>
      <w:docPartObj>
        <w:docPartGallery w:val="Page Numbers (Bottom of Page)"/>
        <w:docPartUnique/>
      </w:docPartObj>
    </w:sdtPr>
    <w:sdtEndPr/>
    <w:sdtContent>
      <w:p w:rsidRDefault="00BD5A69" w:rsidR="00BD5A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D61">
          <w:rPr>
            <w:noProof/>
          </w:rPr>
          <w:t>3</w:t>
        </w:r>
        <w:r>
          <w:fldChar w:fldCharType="end"/>
        </w:r>
      </w:p>
    </w:sdtContent>
  </w:sdt>
  <w:p w:rsidRDefault="00BD5A69" w:rsidR="00BD5A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8AC" w:rsidP="00BD5A69" w:rsidR="00F018AC">
      <w:pPr>
        <w:spacing w:after="0"/>
      </w:pPr>
      <w:r>
        <w:separator/>
      </w:r>
    </w:p>
  </w:footnote>
  <w:footnote w:id="0" w:type="continuationSeparator">
    <w:p w:rsidRDefault="00F018AC" w:rsidP="00BD5A69" w:rsidR="00F018A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A69" w:rsidR="00BD5A69">
    <w:pPr>
      <w:pStyle w:val="Zaglavlje"/>
    </w:pPr>
    <w:r>
      <w:tab/>
    </w:r>
    <w:r>
      <w:ptab w:leader="none" w:relativeTo="margin" w:alignment="center"/>
    </w:r>
    <w:r>
      <w:ptab w:leader="none" w:relativeTo="margin" w:alignment="right"/>
    </w:r>
    <w:r w:rsidR="004A51F7">
      <w:t>57 Pž-7363/2017-2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8D3"/>
    <w:rsid w:val="00072D18"/>
    <w:rsid w:val="00162C1B"/>
    <w:rsid w:val="001705BB"/>
    <w:rsid w:val="001F6D10"/>
    <w:rsid w:val="00233ACE"/>
    <w:rsid w:val="002E6EBB"/>
    <w:rsid w:val="003D0BF9"/>
    <w:rsid w:val="004A51F7"/>
    <w:rsid w:val="004E49A1"/>
    <w:rsid w:val="004F6D61"/>
    <w:rsid w:val="005474F3"/>
    <w:rsid w:val="006D7A34"/>
    <w:rsid w:val="00896057"/>
    <w:rsid w:val="009538B5"/>
    <w:rsid w:val="00B92656"/>
    <w:rsid w:val="00BD5A69"/>
    <w:rsid w:val="00C22ACB"/>
    <w:rsid w:val="00CE72EB"/>
    <w:rsid w:val="00E53009"/>
    <w:rsid w:val="00F018AC"/>
    <w:rsid w:val="00F7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C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lineRule="auto" w:line="240" w:after="0"/>
    </w:pPr>
  </w:style>
  <w:style w:styleId="Svijetlosjenanje" w:type="table">
    <w:name w:val="Light Shading"/>
    <w:basedOn w:val="Obinatablica"/>
    <w:uiPriority w:val="60"/>
    <w:rsid w:val="00BD5A69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4F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C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8D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8D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0BF9"/>
    <w:pPr>
      <w:spacing w:after="0" w:line="240" w:lineRule="auto"/>
    </w:pPr>
  </w:style>
  <w:style w:styleId="Svijetlosjenanje" w:type="table">
    <w:name w:val="Light Shading"/>
    <w:basedOn w:val="Obinatablica"/>
    <w:uiPriority w:val="60"/>
    <w:rsid w:val="00BD5A69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Zaglavlje" w:type="paragraph">
    <w:name w:val="header"/>
    <w:basedOn w:val="Normal"/>
    <w:link w:val="Zaglavl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D5A69"/>
  </w:style>
  <w:style w:styleId="Podnoje" w:type="paragraph">
    <w:name w:val="footer"/>
    <w:basedOn w:val="Normal"/>
    <w:link w:val="PodnojeChar"/>
    <w:uiPriority w:val="99"/>
    <w:unhideWhenUsed/>
    <w:rsid w:val="00BD5A69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BD5A69"/>
  </w:style>
  <w:style w:styleId="Tekstrezerviranogmjesta" w:type="character">
    <w:name w:val="Placeholder Text"/>
    <w:basedOn w:val="Zadanifontodlomka"/>
    <w:uiPriority w:val="99"/>
    <w:semiHidden/>
    <w:rsid w:val="004F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652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370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46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</izvorni_sadrzaj>
    <derivirana_varijabla naziv="DomainObject.Predmet.OstaliListFormated_1">
      <item>TRGOCENTAR dioničko društvo za trgovinu, proizvodnju i usluge</item>
    </derivirana_varijabla>
  </DomainObject.Predmet.OstaliListFormated>
  <DomainObject.Predmet.OstaliListFormatedOIB>
    <izvorni_sadrzaj>
      <item>TRGOCENTAR dioničko društvo za trgovinu, proizvodnju i usluge, OIB 17649565367</item>
    </izvorni_sadrzaj>
    <derivirana_varijabla naziv="DomainObject.Predmet.OstaliListFormatedOIB_1">
      <item>TRGOCENTAR dioničko društvo za trgovinu, proizvodnju i usluge, OIB 17649565367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</izvorni_sadrzaj>
    <derivirana_varijabla naziv="DomainObject.Predmet.OstaliListFormatedWithAdress_1">
      <item>TRGOCENTAR dioničko društvo za trgovinu, proizvodnju i usluge, Zbora Narodne Garde 1, 33000 Virovitica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</izvorni_sadrzaj>
    <derivirana_varijabla naziv="DomainObject.Predmet.OstaliListFormatedWithAdressOIB_1">
      <item>TRGOCENTAR dioničko društvo za trgovinu, proizvodnju i usluge, OIB 17649565367, Zbora Narodne Garde 1, 33000 Virovitica</item>
    </derivirana_varijabla>
  </DomainObject.Predmet.OstaliListFormatedWithAdressOIB>
  <DomainObject.Predmet.OstaliListNazivFormated>
    <izvorni_sadrzaj>
      <item>TRGOCENTAR dioničko društvo za trgovinu, proizvodnju i usluge</item>
    </izvorni_sadrzaj>
    <derivirana_varijabla naziv="DomainObject.Predmet.OstaliListNazivFormated_1">
      <item>TRGOCENTAR dioničko društvo za trgovinu, proizvodnju i usluge</item>
    </derivirana_varijabla>
  </DomainObject.Predmet.OstaliListNazivFormated>
  <DomainObject.Predmet.OstaliListNazivFormatedOIB>
    <izvorni_sadrzaj>
      <item>TRGOCENTAR dioničko društvo za trgovinu, proizvodnju i usluge, OIB 17649565367</item>
    </izvorni_sadrzaj>
    <derivirana_varijabla naziv="DomainObject.Predmet.OstaliListNazivFormatedOIB_1">
      <item>TRGOCENTAR dioničko društvo za trgovinu, proizvodnju i usluge, OIB 17649565367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16640403502</item>
      <item>, OIB 17649565367</item>
    </izvorni_sadrzaj>
    <derivirana_varijabla naziv="DomainObject.Predmet.SudioniciListNazivOIB_1">
      <item>, OIB 16640403502</item>
      <item>, OIB 17649565367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1126</properties:Words>
  <properties:Characters>6241</properties:Characters>
  <properties:Lines>133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2018-01-02T11:45:00Z</dcterms:created>
  <dc:creator>Ljiljana Cafuk</dc:creator>
  <cp:lastModifiedBy>Ljiljana Cafuk</cp:lastModifiedBy>
  <dcterms:modified xmlns:xsi="http://www.w3.org/2001/XMLSchema-instance" xsi:type="dcterms:W3CDTF">2018-01-02T11:46:00Z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