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64323" w14:paraId="cb64323" w:rsidRDefault="00A375DA" w:rsidP="00A375DA" w:rsidR="00A375DA">
      <w:pPr>
        <w:pStyle w:val="Standard"/>
        <w:jc w:val="center"/>
        <w15:collapsed w:val="false"/>
        <w:rPr>
          <w:b/>
        </w:rPr>
      </w:pPr>
      <w:bookmarkStart w:name="_GoBack" w:id="0"/>
      <w:bookmarkEnd w:id="0"/>
      <w:r>
        <w:rPr>
          <w:b/>
        </w:rPr>
        <w:t>Obrazac 22.</w:t>
      </w:r>
    </w:p>
    <w:p w:rsidRDefault="00A375DA" w:rsidP="00A375DA" w:rsidR="00A375DA">
      <w:pPr>
        <w:pStyle w:val="Standard"/>
        <w:jc w:val="center"/>
        <w:rPr>
          <w:b/>
        </w:rPr>
      </w:pPr>
    </w:p>
    <w:p w:rsidRDefault="00A375DA" w:rsidP="00A375DA" w:rsidR="00A375DA">
      <w:pPr>
        <w:widowControl/>
        <w:suppressAutoHyphens w:val="false"/>
        <w:spacing w:lineRule="auto" w:line="240" w:after="80"/>
        <w:jc w:val="center"/>
        <w:textAlignment w:val="auto"/>
        <w:rPr>
          <w:rFonts w:cs="Tahoma" w:eastAsia="Calibri" w:hAnsi="Tahoma" w:ascii="Tahoma"/>
          <w:b/>
          <w:kern w:val="0"/>
          <w:sz w:val="28"/>
          <w:szCs w:val="28"/>
          <w:lang w:bidi="ar-SA" w:eastAsia="en-US"/>
        </w:rPr>
      </w:pPr>
      <w:r>
        <w:rPr>
          <w:rFonts w:cs="Tahoma" w:eastAsia="Calibri" w:hAnsi="Tahoma" w:ascii="Tahoma"/>
          <w:b/>
          <w:kern w:val="0"/>
          <w:sz w:val="28"/>
          <w:szCs w:val="28"/>
          <w:lang w:bidi="ar-SA" w:eastAsia="en-US"/>
        </w:rPr>
        <w:t>ZAVRŠNI RAČUN STEČAJNOGA UPRAVITELJA</w:t>
      </w:r>
    </w:p>
    <w:p w:rsidRDefault="00A375DA" w:rsidP="00A375DA" w:rsidR="00A375DA">
      <w:pPr>
        <w:pStyle w:val="Standard"/>
        <w:jc w:val="center"/>
        <w:rPr>
          <w:b/>
        </w:rPr>
      </w:pPr>
    </w:p>
    <w:p w:rsidRDefault="00A375DA" w:rsidP="00A375DA" w:rsidR="00A375DA">
      <w:pPr>
        <w:pStyle w:val="Standard"/>
        <w:spacing w:lineRule="auto" w:line="288" w:after="0"/>
        <w:jc w:val="both"/>
      </w:pPr>
      <w:r>
        <w:rPr>
          <w:rFonts w:cs="Tahoma" w:hAnsi="Tahoma" w:ascii="Tahoma"/>
          <w:b/>
          <w:lang w:val="pl-PL"/>
        </w:rPr>
        <w:t>Nadle</w:t>
      </w:r>
      <w:r>
        <w:rPr>
          <w:rFonts w:cs="Tahoma" w:hAnsi="Tahoma" w:ascii="Tahoma"/>
          <w:b/>
        </w:rPr>
        <w:t>ž</w:t>
      </w:r>
      <w:r>
        <w:rPr>
          <w:rFonts w:cs="Tahoma" w:hAnsi="Tahoma" w:ascii="Tahoma"/>
          <w:b/>
          <w:lang w:val="pl-PL"/>
        </w:rPr>
        <w:t>an trgova</w:t>
      </w:r>
      <w:r>
        <w:rPr>
          <w:rFonts w:cs="Tahoma" w:hAnsi="Tahoma" w:ascii="Tahoma"/>
          <w:b/>
        </w:rPr>
        <w:t>č</w:t>
      </w:r>
      <w:r>
        <w:rPr>
          <w:rFonts w:cs="Tahoma" w:hAnsi="Tahoma" w:ascii="Tahoma"/>
          <w:b/>
          <w:lang w:val="pl-PL"/>
        </w:rPr>
        <w:t>ki sud</w:t>
      </w:r>
      <w:r>
        <w:rPr>
          <w:rFonts w:cs="Tahoma" w:hAnsi="Tahoma" w:ascii="Tahoma"/>
          <w:lang w:val="pl-PL"/>
        </w:rPr>
        <w:t>:</w:t>
      </w:r>
      <w:r>
        <w:rPr>
          <w:rFonts w:cs="Tahoma" w:hAnsi="Tahoma" w:ascii="Tahoma"/>
        </w:rPr>
        <w:tab/>
      </w:r>
      <w:r>
        <w:rPr>
          <w:rFonts w:cs="Tahoma" w:hAnsi="Tahoma" w:ascii="Tahoma"/>
          <w:b/>
        </w:rPr>
        <w:t>Trgovački sud u Varaždinu</w:t>
      </w:r>
    </w:p>
    <w:p w:rsidRDefault="00A375DA" w:rsidP="00A375DA" w:rsidR="00A375DA">
      <w:pPr>
        <w:pStyle w:val="Standard"/>
        <w:spacing w:lineRule="auto" w:line="288" w:after="0"/>
        <w:jc w:val="both"/>
      </w:pPr>
      <w:r>
        <w:rPr>
          <w:rFonts w:cs="Tahoma" w:hAnsi="Tahoma" w:ascii="Tahoma"/>
          <w:b/>
          <w:lang w:val="pl-PL"/>
        </w:rPr>
        <w:t>Poslovni broj spisa</w:t>
      </w:r>
      <w:r>
        <w:rPr>
          <w:rFonts w:cs="Tahoma" w:hAnsi="Tahoma" w:ascii="Tahoma"/>
          <w:lang w:val="pl-PL"/>
        </w:rPr>
        <w:t>:</w:t>
      </w:r>
      <w:r>
        <w:rPr>
          <w:rFonts w:cs="Tahoma" w:hAnsi="Tahoma" w:ascii="Tahoma"/>
          <w:lang w:val="pl-PL"/>
        </w:rPr>
        <w:tab/>
      </w:r>
      <w:r>
        <w:rPr>
          <w:rFonts w:cs="Tahoma" w:hAnsi="Tahoma" w:ascii="Tahoma"/>
          <w:lang w:val="pl-PL"/>
        </w:rPr>
        <w:tab/>
      </w:r>
      <w:r>
        <w:rPr>
          <w:rFonts w:cs="Tahoma" w:hAnsi="Tahoma" w:ascii="Tahoma"/>
          <w:b/>
          <w:lang w:val="pl-PL"/>
        </w:rPr>
        <w:t>St-510/15</w:t>
      </w:r>
    </w:p>
    <w:p w:rsidRDefault="00A375DA" w:rsidP="00A375DA" w:rsidR="00A375DA">
      <w:pPr>
        <w:pStyle w:val="Standard"/>
        <w:spacing w:lineRule="auto" w:line="288" w:after="0"/>
        <w:jc w:val="both"/>
        <w:rPr>
          <w:rFonts w:cs="Tahoma" w:hAnsi="Tahoma" w:ascii="Tahoma"/>
          <w:b/>
          <w:lang w:val="pl-PL"/>
        </w:rPr>
      </w:pPr>
      <w:r>
        <w:rPr>
          <w:rFonts w:cs="Tahoma" w:hAnsi="Tahoma" w:ascii="Tahoma"/>
          <w:b/>
          <w:lang w:val="pl-PL"/>
        </w:rPr>
        <w:t xml:space="preserve">Dužnik: </w:t>
      </w:r>
      <w:r>
        <w:rPr>
          <w:rFonts w:cs="Tahoma" w:hAnsi="Tahoma" w:ascii="Tahoma"/>
          <w:b/>
          <w:lang w:val="pl-PL"/>
        </w:rPr>
        <w:tab/>
      </w:r>
      <w:r>
        <w:rPr>
          <w:rFonts w:cs="Tahoma" w:hAnsi="Tahoma" w:ascii="Tahoma"/>
          <w:b/>
          <w:lang w:val="pl-PL"/>
        </w:rPr>
        <w:tab/>
      </w:r>
      <w:r>
        <w:rPr>
          <w:rFonts w:cs="Tahoma" w:hAnsi="Tahoma" w:ascii="Tahoma"/>
          <w:b/>
          <w:lang w:val="pl-PL"/>
        </w:rPr>
        <w:tab/>
      </w:r>
      <w:r>
        <w:rPr>
          <w:rFonts w:cs="Tahoma" w:hAnsi="Tahoma" w:ascii="Tahoma"/>
          <w:b/>
          <w:lang w:val="pl-PL"/>
        </w:rPr>
        <w:tab/>
        <w:t>EMMA VITA d.o.o. u stečaju</w:t>
      </w:r>
    </w:p>
    <w:p w:rsidRDefault="00A375DA" w:rsidP="00A375DA" w:rsidR="00A375DA">
      <w:pPr>
        <w:pStyle w:val="Standard"/>
        <w:spacing w:lineRule="auto" w:line="288" w:after="0"/>
        <w:ind w:firstLine="709" w:left="2127"/>
        <w:jc w:val="both"/>
        <w:rPr>
          <w:rFonts w:cs="Tahoma" w:hAnsi="Tahoma" w:ascii="Tahoma"/>
          <w:b/>
          <w:lang w:val="pl-PL"/>
        </w:rPr>
      </w:pPr>
      <w:r>
        <w:rPr>
          <w:rFonts w:cs="Tahoma" w:hAnsi="Tahoma" w:ascii="Tahoma"/>
          <w:b/>
          <w:lang w:val="pl-PL"/>
        </w:rPr>
        <w:tab/>
        <w:t>Crnogorska 88 a, Koprivnica</w:t>
      </w:r>
    </w:p>
    <w:p w:rsidRDefault="00A375DA" w:rsidP="00A375DA" w:rsidR="00A375DA">
      <w:pPr>
        <w:pStyle w:val="Standard"/>
        <w:spacing w:lineRule="auto" w:line="288" w:after="0"/>
        <w:jc w:val="both"/>
        <w:rPr>
          <w:rFonts w:cs="Tahoma" w:hAnsi="Tahoma" w:ascii="Tahoma"/>
          <w:lang w:val="pl-PL"/>
        </w:rPr>
      </w:pPr>
    </w:p>
    <w:p w:rsidRDefault="00A375DA" w:rsidP="00A375DA" w:rsidR="00A375DA">
      <w:pPr>
        <w:pStyle w:val="Standard"/>
        <w:spacing w:lineRule="auto" w:line="288" w:after="0"/>
        <w:jc w:val="both"/>
        <w:rPr>
          <w:rFonts w:cs="Tahoma" w:hAnsi="Tahoma" w:ascii="Tahoma"/>
          <w:lang w:val="pl-PL"/>
        </w:rPr>
      </w:pPr>
    </w:p>
    <w:p w:rsidRDefault="00A375DA" w:rsidP="00A375DA" w:rsidR="00A375DA">
      <w:pPr>
        <w:pStyle w:val="Standard"/>
        <w:spacing w:lineRule="auto" w:line="288" w:after="0"/>
        <w:jc w:val="both"/>
        <w:rPr>
          <w:rFonts w:cs="Tahoma" w:hAnsi="Tahoma" w:ascii="Tahoma"/>
          <w:lang w:val="pl-PL"/>
        </w:rPr>
      </w:pPr>
      <w:r>
        <w:rPr>
          <w:rFonts w:cs="Tahoma" w:hAnsi="Tahoma" w:ascii="Tahoma"/>
          <w:lang w:val="pl-PL"/>
        </w:rPr>
        <w:t xml:space="preserve">Rješenjem Trgovačkog suda u Varaždinu broj St- 510/2015-33 nad trgovačkim društvom EMMA VITA d.o.o., Koprivnica, Crnogorska 88 a otvoren je stečajni postupak sa danom 10.11. 2017. godine. </w:t>
      </w:r>
    </w:p>
    <w:p w:rsidRDefault="00A375DA" w:rsidP="00A375DA" w:rsidR="00A375DA">
      <w:pPr>
        <w:pStyle w:val="Standard"/>
        <w:spacing w:lineRule="auto" w:line="288" w:after="0"/>
        <w:jc w:val="both"/>
        <w:rPr>
          <w:rFonts w:cs="Tahoma" w:hAnsi="Tahoma" w:ascii="Tahoma"/>
          <w:lang w:val="pl-PL"/>
        </w:rPr>
      </w:pPr>
    </w:p>
    <w:p w:rsidRDefault="00A375DA" w:rsidP="00A375DA" w:rsidR="00A375DA">
      <w:pPr>
        <w:pStyle w:val="Standard"/>
        <w:spacing w:lineRule="auto" w:line="288" w:after="0"/>
        <w:jc w:val="both"/>
        <w:rPr>
          <w:rFonts w:cs="Tahoma" w:hAnsi="Tahoma" w:ascii="Tahoma"/>
          <w:lang w:val="pl-PL"/>
        </w:rPr>
      </w:pPr>
      <w:r>
        <w:rPr>
          <w:rFonts w:cs="Tahoma" w:hAnsi="Tahoma" w:ascii="Tahoma"/>
          <w:lang w:val="pl-PL"/>
        </w:rPr>
        <w:t xml:space="preserve">Završno ročište vjerovnika zakazano je za dan 8.1. 2019. godine te se u skladu sa odredbom članka 441. st. 1. Stečajnog zakona (NN. 71/15), stečajni upravitelj u svrhu zaključenja ovog stečajnog postupka, podnosi završni račun na propisanom obrascu, sve kako u nastavku slijedi. </w:t>
      </w:r>
    </w:p>
    <w:p w:rsidRDefault="00A375DA" w:rsidP="00A375DA" w:rsidR="00A375DA">
      <w:pPr>
        <w:pStyle w:val="Standard"/>
        <w:spacing w:lineRule="auto" w:line="288" w:after="0"/>
        <w:jc w:val="both"/>
        <w:rPr>
          <w:rFonts w:cs="Tahoma" w:hAnsi="Tahoma" w:ascii="Tahoma"/>
          <w:lang w:val="pl-PL"/>
        </w:rPr>
      </w:pPr>
    </w:p>
    <w:p w:rsidRDefault="00A375DA" w:rsidP="00A375DA" w:rsidR="00A375DA">
      <w:pPr>
        <w:pStyle w:val="Standard"/>
        <w:spacing w:lineRule="auto" w:line="288" w:after="0"/>
        <w:jc w:val="both"/>
        <w:rPr>
          <w:rFonts w:cs="Tahoma" w:hAnsi="Tahoma" w:ascii="Tahoma"/>
          <w:lang w:val="pl-PL"/>
        </w:rPr>
      </w:pPr>
      <w:r>
        <w:rPr>
          <w:rFonts w:cs="Tahoma" w:hAnsi="Tahoma" w:ascii="Tahoma"/>
          <w:lang w:val="pl-PL"/>
        </w:rPr>
        <w:t>Ovim Izvješćem daje se pregled:</w:t>
      </w:r>
    </w:p>
    <w:p w:rsidRDefault="00A375DA" w:rsidP="00A375DA" w:rsidR="00A375DA">
      <w:pPr>
        <w:pStyle w:val="Standard"/>
        <w:spacing w:lineRule="auto" w:line="288" w:after="0"/>
        <w:jc w:val="both"/>
        <w:rPr>
          <w:rFonts w:cs="Tahoma" w:hAnsi="Tahoma" w:ascii="Tahoma"/>
          <w:lang w:val="pl-PL"/>
        </w:rPr>
      </w:pPr>
      <w:r>
        <w:rPr>
          <w:rFonts w:cs="Tahoma" w:hAnsi="Tahoma" w:ascii="Tahoma"/>
          <w:lang w:val="pl-PL"/>
        </w:rPr>
        <w:t xml:space="preserve">I. Račun prihoda i rashoda stečajnog dužnika </w:t>
      </w:r>
    </w:p>
    <w:p w:rsidRDefault="00A375DA" w:rsidP="00A375DA" w:rsidR="00A375DA">
      <w:pPr>
        <w:pStyle w:val="Standard"/>
        <w:spacing w:lineRule="auto" w:line="288" w:after="0"/>
        <w:jc w:val="both"/>
        <w:rPr>
          <w:rFonts w:cs="Tahoma" w:hAnsi="Tahoma" w:ascii="Tahoma"/>
          <w:lang w:val="pl-PL"/>
        </w:rPr>
      </w:pPr>
      <w:r>
        <w:rPr>
          <w:rFonts w:cs="Tahoma" w:hAnsi="Tahoma" w:ascii="Tahoma"/>
          <w:lang w:val="pl-PL"/>
        </w:rPr>
        <w:t>II. Početna stečajna bilanca na dan 09.09.2013.g. i prijedlog završne stečajne bilance na dan 30.11.2018. g.</w:t>
      </w:r>
    </w:p>
    <w:p w:rsidRDefault="00A375DA" w:rsidP="00A375DA" w:rsidR="00A375DA">
      <w:pPr>
        <w:pStyle w:val="Standard"/>
        <w:spacing w:lineRule="auto" w:line="288" w:after="0"/>
        <w:jc w:val="both"/>
        <w:rPr>
          <w:rFonts w:cs="Tahoma" w:hAnsi="Tahoma" w:ascii="Tahoma"/>
          <w:lang w:val="pl-PL"/>
        </w:rPr>
      </w:pPr>
      <w:r>
        <w:rPr>
          <w:rFonts w:cs="Tahoma" w:hAnsi="Tahoma" w:ascii="Tahoma"/>
          <w:lang w:val="pl-PL"/>
        </w:rPr>
        <w:t>III. Završni diobni popis</w:t>
      </w:r>
    </w:p>
    <w:p w:rsidRDefault="00A375DA" w:rsidP="00A375DA" w:rsidR="00A375DA">
      <w:pPr>
        <w:pStyle w:val="Standard"/>
        <w:spacing w:lineRule="auto" w:line="288" w:after="0"/>
        <w:jc w:val="both"/>
        <w:rPr>
          <w:rFonts w:cs="Tahoma" w:hAnsi="Tahoma" w:ascii="Tahoma"/>
          <w:lang w:val="pl-PL"/>
        </w:rPr>
      </w:pPr>
      <w:r>
        <w:rPr>
          <w:rFonts w:cs="Tahoma" w:hAnsi="Tahoma" w:ascii="Tahoma"/>
          <w:lang w:val="pl-PL"/>
        </w:rPr>
        <w:t>IV. Prijedloga stečajnog upravitelja o zaključenju stečajnog postupka</w:t>
      </w:r>
    </w:p>
    <w:p w:rsidRDefault="00A375DA" w:rsidP="00A375DA" w:rsidR="00A375DA">
      <w:pPr>
        <w:pStyle w:val="Standard"/>
        <w:spacing w:lineRule="auto" w:line="288" w:after="0"/>
        <w:jc w:val="center"/>
        <w:rPr>
          <w:rFonts w:cs="Tahoma" w:hAnsi="Tahoma" w:ascii="Tahoma"/>
          <w:b/>
        </w:rPr>
      </w:pPr>
    </w:p>
    <w:p w:rsidRDefault="00A375DA" w:rsidP="00A375DA" w:rsidR="00A375DA">
      <w:pPr>
        <w:pStyle w:val="Standard"/>
        <w:spacing w:lineRule="auto" w:line="288" w:after="0"/>
        <w:rPr>
          <w:rFonts w:cs="Tahoma" w:hAnsi="Tahoma" w:ascii="Tahoma"/>
          <w:b/>
          <w:u w:val="single"/>
        </w:rPr>
      </w:pPr>
      <w:r>
        <w:rPr>
          <w:rFonts w:cs="Tahoma" w:hAnsi="Tahoma" w:ascii="Tahoma"/>
          <w:b/>
          <w:u w:val="single"/>
        </w:rPr>
        <w:t xml:space="preserve">I. RAČUN PRIHODA I RASHODA </w:t>
      </w:r>
    </w:p>
    <w:p w:rsidRDefault="00A375DA" w:rsidP="00A375DA" w:rsidR="00A375DA">
      <w:pPr>
        <w:pStyle w:val="Standard"/>
        <w:spacing w:lineRule="auto" w:line="288" w:after="0"/>
        <w:rPr>
          <w:rFonts w:cs="Tahoma" w:hAnsi="Tahoma" w:ascii="Tahoma"/>
          <w:b/>
          <w:u w:val="single"/>
        </w:rPr>
      </w:pPr>
    </w:p>
    <w:p w:rsidRDefault="00A375DA" w:rsidP="00A375DA" w:rsidR="00A375DA">
      <w:pPr>
        <w:pStyle w:val="Standard"/>
        <w:spacing w:lineRule="auto" w:line="288" w:after="0"/>
        <w:rPr>
          <w:rFonts w:cs="Tahoma" w:hAnsi="Tahoma" w:ascii="Tahoma"/>
        </w:rPr>
      </w:pPr>
      <w:r>
        <w:rPr>
          <w:rFonts w:cs="Tahoma" w:hAnsi="Tahoma" w:ascii="Tahoma"/>
        </w:rPr>
        <w:t xml:space="preserve">U ovom stečajnom postupku (otvoren dana 10.11.2017. godine) provedene su radnje utvrđivanja imovine i obveza stečajnog dužnika EMMA VITA d.o.o. u stečaju, postupak unovčenja utvrđene imovine koja čini stečajnu masu te ostvareni prihodi unovčenjem stečajne mase, a nastali rashodi kao obveze stečajne mase (troškovi stečajnog postupka i ostale obveze stečajne mase).  </w:t>
      </w:r>
    </w:p>
    <w:p w:rsidRDefault="00A375DA" w:rsidP="00A375DA" w:rsidR="00A375DA">
      <w:pPr>
        <w:pStyle w:val="Standard"/>
        <w:spacing w:lineRule="auto" w:line="288" w:after="0"/>
        <w:rPr>
          <w:rFonts w:cs="Tahoma" w:hAnsi="Tahoma" w:ascii="Tahoma"/>
        </w:rPr>
      </w:pPr>
    </w:p>
    <w:p w:rsidRDefault="00A375DA" w:rsidP="00A375DA" w:rsidR="00A375DA">
      <w:pPr>
        <w:widowControl/>
        <w:suppressAutoHyphens w:val="false"/>
        <w:spacing w:lineRule="auto" w:line="240" w:after="80"/>
        <w:jc w:val="both"/>
        <w:textAlignment w:val="auto"/>
      </w:pPr>
      <w:r>
        <w:rPr>
          <w:rFonts w:cs="Tahoma" w:eastAsia="Calibri" w:hAnsi="Tahoma" w:ascii="Tahoma"/>
          <w:b/>
          <w:kern w:val="0"/>
          <w:lang w:bidi="ar-SA" w:eastAsia="en-US"/>
        </w:rPr>
        <w:t xml:space="preserve">A) </w:t>
      </w:r>
      <w:r>
        <w:rPr>
          <w:rFonts w:cs="Tahoma" w:eastAsia="Calibri" w:hAnsi="Tahoma" w:ascii="Tahoma"/>
          <w:b/>
          <w:kern w:val="0"/>
          <w:u w:val="single"/>
          <w:lang w:bidi="ar-SA" w:eastAsia="en-US"/>
        </w:rPr>
        <w:t>PREGLED PRIHODA</w:t>
      </w:r>
    </w:p>
    <w:p w:rsidRDefault="00A375DA" w:rsidP="00A375DA" w:rsidR="00A375DA">
      <w:pPr>
        <w:widowControl/>
        <w:suppressAutoHyphens w:val="false"/>
        <w:spacing w:lineRule="auto" w:line="240" w:after="80"/>
        <w:jc w:val="both"/>
        <w:textAlignment w:val="auto"/>
        <w:rPr>
          <w:rFonts w:cs="Tahoma" w:eastAsia="Calibri" w:hAnsi="Tahoma" w:ascii="Tahoma"/>
          <w:kern w:val="0"/>
          <w:lang w:bidi="ar-SA" w:eastAsia="en-US"/>
        </w:rPr>
      </w:pPr>
    </w:p>
    <w:p w:rsidRDefault="00A375DA" w:rsidP="00A375DA" w:rsidR="00A375DA">
      <w:pPr>
        <w:widowControl/>
        <w:suppressAutoHyphens w:val="false"/>
        <w:spacing w:lineRule="auto" w:line="288" w:after="80"/>
        <w:jc w:val="both"/>
        <w:textAlignment w:val="auto"/>
      </w:pPr>
      <w:r>
        <w:rPr>
          <w:rFonts w:cs="Tahoma" w:eastAsia="Times New Roman" w:hAnsi="Tahoma" w:ascii="Tahoma"/>
          <w:kern w:val="0"/>
          <w:lang w:bidi="ar-SA" w:eastAsia="hr-HR"/>
        </w:rPr>
        <w:t>Tijekom ovog stečajnog postupka unovčena je stečajna masa prodajom cjelokupne imovine stečajnog dužnika u ukupnom iznosu od 40.000,00  kn. Prihod je ostvareni prodajom osobnog vozila DODGE NITRO 2,8 CRD SXT, prodaje jedinom ponuditelju  TRI PPROJEKT d.o.o. iz Ivanca.</w:t>
      </w:r>
      <w:r>
        <w:rPr>
          <w:rFonts w:cs="Tahoma" w:eastAsia="Times New Roman" w:hAnsi="Tahoma" w:ascii="Tahoma"/>
          <w:kern w:val="0"/>
          <w:u w:val="single"/>
          <w:lang w:bidi="ar-SA" w:eastAsia="hr-HR"/>
        </w:rPr>
        <w:t xml:space="preserve"> </w:t>
      </w:r>
    </w:p>
    <w:p w:rsidRDefault="00A375DA" w:rsidP="00A375DA" w:rsidR="00A375DA">
      <w:pPr>
        <w:widowControl/>
        <w:suppressAutoHyphens w:val="false"/>
        <w:spacing w:lineRule="auto" w:line="288" w:after="80"/>
        <w:jc w:val="both"/>
        <w:textAlignment w:val="auto"/>
      </w:pPr>
      <w:r>
        <w:rPr>
          <w:rFonts w:cs="Tahoma" w:eastAsia="Times New Roman" w:hAnsi="Tahoma" w:ascii="Tahoma"/>
          <w:kern w:val="0"/>
          <w:lang w:bidi="ar-SA" w:eastAsia="hr-HR"/>
        </w:rPr>
        <w:lastRenderedPageBreak/>
        <w:t>Stečajni dužnik ostvario je prihod od najma vozila u iznosu od 1.900,00 kn .</w:t>
      </w:r>
    </w:p>
    <w:p w:rsidRDefault="00A375DA" w:rsidP="00A375DA" w:rsidR="00A375DA">
      <w:pPr>
        <w:widowControl/>
        <w:suppressAutoHyphens w:val="false"/>
        <w:spacing w:lineRule="auto" w:line="288" w:after="80"/>
        <w:jc w:val="both"/>
        <w:textAlignment w:val="auto"/>
      </w:pPr>
      <w:r>
        <w:rPr>
          <w:rFonts w:cs="Tahoma" w:eastAsia="Times New Roman" w:hAnsi="Tahoma" w:ascii="Tahoma"/>
          <w:kern w:val="0"/>
          <w:lang w:bidi="ar-SA" w:eastAsia="hr-HR"/>
        </w:rPr>
        <w:t xml:space="preserve">Ukupno unovčenje u stečajnu masu iznosi 41.900,00 kn. </w:t>
      </w: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0"/>
        <w:jc w:val="both"/>
        <w:textAlignment w:val="auto"/>
      </w:pPr>
      <w:r>
        <w:rPr>
          <w:rFonts w:cs="Tahoma" w:eastAsia="Times New Roman" w:hAnsi="Tahoma" w:ascii="Tahoma"/>
          <w:b/>
          <w:kern w:val="0"/>
          <w:lang w:bidi="ar-SA" w:eastAsia="hr-HR"/>
        </w:rPr>
        <w:t xml:space="preserve">B) </w:t>
      </w:r>
      <w:r>
        <w:rPr>
          <w:rFonts w:cs="Tahoma" w:eastAsia="Times New Roman" w:hAnsi="Tahoma" w:ascii="Tahoma"/>
          <w:b/>
          <w:kern w:val="0"/>
          <w:u w:val="single"/>
          <w:lang w:bidi="ar-SA" w:eastAsia="hr-HR"/>
        </w:rPr>
        <w:t>PREGLED RASHODA</w:t>
      </w:r>
    </w:p>
    <w:p w:rsidRDefault="00A375DA" w:rsidP="00A375DA" w:rsidR="00A375DA">
      <w:pPr>
        <w:widowControl/>
        <w:suppressAutoHyphens w:val="false"/>
        <w:spacing w:lineRule="auto" w:line="288" w:after="0"/>
        <w:jc w:val="both"/>
        <w:textAlignment w:val="auto"/>
        <w:rPr>
          <w:rFonts w:cs="Tahoma" w:eastAsia="Times New Roman" w:hAnsi="Tahoma" w:ascii="Tahoma"/>
          <w:b/>
          <w:kern w:val="0"/>
          <w:lang w:bidi="ar-SA" w:eastAsia="hr-HR"/>
        </w:rPr>
      </w:pPr>
    </w:p>
    <w:p w:rsidRDefault="00A375DA" w:rsidP="00A375DA" w:rsidR="00A375DA">
      <w:pPr>
        <w:widowControl/>
        <w:suppressAutoHyphens w:val="false"/>
        <w:spacing w:lineRule="auto" w:line="288" w:after="0"/>
        <w:jc w:val="both"/>
        <w:textAlignment w:val="auto"/>
      </w:pPr>
      <w:r>
        <w:rPr>
          <w:rFonts w:cs="Tahoma" w:eastAsia="Times New Roman" w:hAnsi="Tahoma" w:ascii="Tahoma"/>
          <w:kern w:val="0"/>
          <w:lang w:bidi="ar-SA" w:eastAsia="hr-HR"/>
        </w:rPr>
        <w:t>Rashodi se u ovom stečajnom postupku odnose na ukupno nastale i dospjele obveze stečajne mase u razdoblju od dana otvaranja stečajnog postupka 10.11.2017. pa sve do dana 10.11.2018., a čine je troškovi stečajnog postupka i ostale obveze stečajne mase.</w:t>
      </w:r>
    </w:p>
    <w:p w:rsidRDefault="00A375DA" w:rsidP="00A375DA" w:rsidR="00A375DA">
      <w:pPr>
        <w:widowControl/>
        <w:suppressAutoHyphens w:val="false"/>
        <w:spacing w:lineRule="auto" w:line="288" w:after="0"/>
        <w:jc w:val="both"/>
        <w:textAlignment w:val="auto"/>
        <w:rPr>
          <w:rFonts w:cs="Tahoma" w:eastAsia="Times New Roman" w:hAnsi="Tahoma" w:ascii="Tahoma"/>
          <w:kern w:val="0"/>
          <w:lang w:bidi="ar-SA" w:eastAsia="hr-HR"/>
        </w:rPr>
      </w:pPr>
    </w:p>
    <w:p w:rsidRDefault="00A375DA" w:rsidP="00A375DA" w:rsidR="00A375DA">
      <w:pPr>
        <w:spacing w:lineRule="auto" w:line="288"/>
        <w:rPr>
          <w:rFonts w:cs="Tahoma" w:eastAsia="Times New Roman" w:hAnsi="Tahoma" w:ascii="Tahoma"/>
          <w:kern w:val="0"/>
          <w:lang w:bidi="ar-SA" w:eastAsia="hr-HR"/>
        </w:rPr>
      </w:pPr>
      <w:r>
        <w:rPr>
          <w:rFonts w:cs="Tahoma" w:eastAsia="Times New Roman" w:hAnsi="Tahoma" w:ascii="Tahoma"/>
          <w:kern w:val="0"/>
          <w:lang w:bidi="ar-SA" w:eastAsia="hr-HR"/>
        </w:rPr>
        <w:t>Sveukupni rashodi obuhvaćeni diobom stečajne mase iznose 39.219,32 kn, a sve kako je to prikazano u niže navedenoj tabeli 1. tabela prihoda i rashoda.</w:t>
      </w:r>
    </w:p>
    <w:p w:rsidRDefault="00A375DA" w:rsidP="00A375DA" w:rsidR="00A375DA">
      <w:pPr>
        <w:widowControl/>
        <w:suppressAutoHyphens w:val="false"/>
        <w:spacing w:lineRule="auto" w:line="288" w:after="0"/>
        <w:jc w:val="both"/>
        <w:textAlignment w:val="auto"/>
      </w:pPr>
      <w:r>
        <w:rPr>
          <w:rFonts w:cs="Tahoma" w:eastAsia="Times New Roman" w:hAnsi="Tahoma" w:ascii="Tahoma"/>
          <w:kern w:val="0"/>
          <w:lang w:bidi="ar-SA" w:eastAsia="hr-HR"/>
        </w:rPr>
        <w:t xml:space="preserve"> </w:t>
      </w:r>
      <w:bookmarkStart w:name="_Hlk482605558" w:id="1"/>
      <w:r>
        <w:rPr>
          <w:rFonts w:cs="Tahoma" w:eastAsia="Times New Roman" w:hAnsi="Tahoma" w:ascii="Tahoma"/>
          <w:i/>
          <w:kern w:val="0"/>
          <w:lang w:bidi="ar-SA" w:eastAsia="hr-HR"/>
        </w:rPr>
        <w:t xml:space="preserve">Tabela 1. </w:t>
      </w:r>
    </w:p>
    <w:tbl>
      <w:tblPr>
        <w:tblW w:type="dxa" w:w="9422"/>
        <w:tblCellMar>
          <w:left w:type="dxa" w:w="10"/>
          <w:right w:type="dxa" w:w="10"/>
        </w:tblCellMar>
        <w:tblLook w:val="0000" w:noVBand="0" w:noHBand="0" w:lastColumn="0" w:firstColumn="0" w:lastRow="0" w:firstRow="0"/>
      </w:tblPr>
      <w:tblGrid>
        <w:gridCol w:w="7463"/>
        <w:gridCol w:w="1959"/>
      </w:tblGrid>
      <w:tr w:rsidTr="00BD4F9C" w:rsidR="00A375DA">
        <w:tc>
          <w:tcPr>
            <w:tcW w:type="dxa" w:w="7463"/>
            <w:tcBorders>
              <w:top w:space="0" w:sz="6" w:color="000000" w:val="double"/>
              <w:left w:space="0" w:sz="6" w:color="000000" w:val="double"/>
              <w:bottom w:space="0" w:sz="6" w:color="000000" w:val="single"/>
              <w:right w:space="0" w:sz="6" w:color="000000" w:val="single"/>
            </w:tcBorders>
            <w:shd w:fill="E0E0E0"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
                <w:kern w:val="0"/>
                <w:lang w:bidi="ar-SA" w:eastAsia="hr-HR"/>
              </w:rPr>
            </w:pPr>
            <w:r>
              <w:rPr>
                <w:rFonts w:cs="Tahoma" w:eastAsia="Times New Roman" w:hAnsi="Tahoma" w:ascii="Tahoma"/>
                <w:b/>
                <w:kern w:val="0"/>
                <w:lang w:bidi="ar-SA" w:eastAsia="hr-HR"/>
              </w:rPr>
              <w:t>Unovčenje stečajne mase</w:t>
            </w:r>
          </w:p>
        </w:tc>
        <w:tc>
          <w:tcPr>
            <w:tcW w:type="dxa" w:w="1959"/>
            <w:tcBorders>
              <w:top w:space="0" w:sz="6" w:color="000000" w:val="double"/>
              <w:left w:space="0" w:sz="6" w:color="000000" w:val="single"/>
              <w:bottom w:space="0" w:sz="6" w:color="000000" w:val="single"/>
              <w:right w:space="0" w:sz="6" w:color="000000" w:val="double"/>
            </w:tcBorders>
            <w:shd w:fill="E0E0E0"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
                <w:kern w:val="0"/>
                <w:lang w:bidi="ar-SA" w:eastAsia="hr-HR"/>
              </w:rPr>
            </w:pPr>
            <w:r>
              <w:rPr>
                <w:rFonts w:cs="Tahoma" w:eastAsia="Times New Roman" w:hAnsi="Tahoma" w:ascii="Tahoma"/>
                <w:b/>
                <w:kern w:val="0"/>
                <w:lang w:bidi="ar-SA" w:eastAsia="hr-HR"/>
              </w:rPr>
              <w:t>Iznos</w:t>
            </w:r>
          </w:p>
        </w:tc>
      </w:tr>
      <w:tr w:rsidTr="00BD4F9C" w:rsidR="00A375DA">
        <w:tc>
          <w:tcPr>
            <w:tcW w:type="dxa" w:w="7463"/>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kern w:val="0"/>
                <w:lang w:bidi="ar-SA" w:eastAsia="hr-HR"/>
              </w:rPr>
            </w:pPr>
            <w:r>
              <w:rPr>
                <w:rFonts w:cs="Tahoma" w:eastAsia="Times New Roman" w:hAnsi="Tahoma" w:ascii="Tahoma"/>
                <w:kern w:val="0"/>
                <w:lang w:bidi="ar-SA" w:eastAsia="hr-HR"/>
              </w:rPr>
              <w:t>Unovčenje pokretnina- osobno vozilo</w:t>
            </w:r>
          </w:p>
        </w:tc>
        <w:tc>
          <w:tcPr>
            <w:tcW w:type="dxa" w:w="1959"/>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kern w:val="0"/>
                <w:lang w:bidi="ar-SA" w:eastAsia="hr-HR"/>
              </w:rPr>
            </w:pPr>
            <w:r>
              <w:rPr>
                <w:rFonts w:cs="Tahoma" w:eastAsia="Times New Roman" w:hAnsi="Tahoma" w:ascii="Tahoma"/>
                <w:kern w:val="0"/>
                <w:lang w:bidi="ar-SA" w:eastAsia="hr-HR"/>
              </w:rPr>
              <w:t xml:space="preserve">  40.000,00</w:t>
            </w:r>
          </w:p>
        </w:tc>
      </w:tr>
      <w:tr w:rsidTr="00BD4F9C" w:rsidR="00A375DA">
        <w:tc>
          <w:tcPr>
            <w:tcW w:type="dxa" w:w="7463"/>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kern w:val="0"/>
                <w:lang w:bidi="ar-SA" w:eastAsia="hr-HR"/>
              </w:rPr>
            </w:pPr>
            <w:r>
              <w:rPr>
                <w:rFonts w:cs="Tahoma" w:eastAsia="Times New Roman" w:hAnsi="Tahoma" w:ascii="Tahoma"/>
                <w:kern w:val="0"/>
                <w:lang w:bidi="ar-SA" w:eastAsia="hr-HR"/>
              </w:rPr>
              <w:t xml:space="preserve">Najam vozila </w:t>
            </w:r>
          </w:p>
        </w:tc>
        <w:tc>
          <w:tcPr>
            <w:tcW w:type="dxa" w:w="1959"/>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kern w:val="0"/>
                <w:lang w:bidi="ar-SA" w:eastAsia="hr-HR"/>
              </w:rPr>
            </w:pPr>
            <w:r>
              <w:rPr>
                <w:rFonts w:cs="Tahoma" w:eastAsia="Times New Roman" w:hAnsi="Tahoma" w:ascii="Tahoma"/>
                <w:kern w:val="0"/>
                <w:lang w:bidi="ar-SA" w:eastAsia="hr-HR"/>
              </w:rPr>
              <w:t xml:space="preserve">  1.900,00</w:t>
            </w:r>
          </w:p>
        </w:tc>
      </w:tr>
      <w:tr w:rsidTr="00BD4F9C" w:rsidR="00A375DA">
        <w:tc>
          <w:tcPr>
            <w:tcW w:type="dxa" w:w="7463"/>
            <w:tcBorders>
              <w:top w:space="0" w:sz="6" w:color="000000" w:val="single"/>
              <w:left w:space="0" w:sz="6" w:color="000000" w:val="double"/>
              <w:bottom w:space="0" w:sz="6" w:color="000000" w:val="single"/>
              <w:right w:space="0" w:sz="6" w:color="000000" w:val="single"/>
            </w:tcBorders>
            <w:shd w:fill="E6E6E6"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
                <w:kern w:val="0"/>
                <w:lang w:bidi="ar-SA" w:eastAsia="hr-HR"/>
              </w:rPr>
            </w:pPr>
            <w:r>
              <w:rPr>
                <w:rFonts w:cs="Tahoma" w:eastAsia="Times New Roman" w:hAnsi="Tahoma" w:ascii="Tahoma"/>
                <w:b/>
                <w:kern w:val="0"/>
                <w:lang w:bidi="ar-SA" w:eastAsia="hr-HR"/>
              </w:rPr>
              <w:t>Ukupno priljevi na račun</w:t>
            </w:r>
          </w:p>
        </w:tc>
        <w:tc>
          <w:tcPr>
            <w:tcW w:type="dxa" w:w="1959"/>
            <w:tcBorders>
              <w:top w:space="0" w:sz="6" w:color="000000" w:val="single"/>
              <w:left w:space="0" w:sz="6" w:color="000000" w:val="single"/>
              <w:bottom w:space="0" w:sz="6" w:color="000000" w:val="single"/>
              <w:right w:space="0" w:sz="6" w:color="000000" w:val="double"/>
            </w:tcBorders>
            <w:shd w:fill="E6E6E6"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b/>
                <w:kern w:val="0"/>
                <w:lang w:bidi="ar-SA" w:eastAsia="hr-HR"/>
              </w:rPr>
            </w:pPr>
            <w:r>
              <w:rPr>
                <w:rFonts w:cs="Tahoma" w:eastAsia="Times New Roman" w:hAnsi="Tahoma" w:ascii="Tahoma"/>
                <w:b/>
                <w:kern w:val="0"/>
                <w:lang w:bidi="ar-SA" w:eastAsia="hr-HR"/>
              </w:rPr>
              <w:t>41.900,00</w:t>
            </w:r>
          </w:p>
        </w:tc>
      </w:tr>
      <w:tr w:rsidTr="00BD4F9C" w:rsidR="00A375DA">
        <w:tc>
          <w:tcPr>
            <w:tcW w:type="dxa" w:w="7463"/>
            <w:tcBorders>
              <w:top w:space="0" w:sz="6" w:color="000000" w:val="single"/>
              <w:left w:space="0" w:sz="6" w:color="000000" w:val="double"/>
              <w:bottom w:space="0" w:sz="6" w:color="000000" w:val="single"/>
              <w:right w:space="0" w:sz="6" w:color="000000" w:val="single"/>
            </w:tcBorders>
            <w:shd w:fill="FFFFFF"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kern w:val="0"/>
                <w:lang w:bidi="ar-SA" w:eastAsia="hr-HR"/>
              </w:rPr>
            </w:pPr>
            <w:r>
              <w:rPr>
                <w:rFonts w:cs="Tahoma" w:eastAsia="Times New Roman" w:hAnsi="Tahoma" w:ascii="Tahoma"/>
                <w:kern w:val="0"/>
                <w:lang w:bidi="ar-SA" w:eastAsia="hr-HR"/>
              </w:rPr>
              <w:t>Namirenje vjerovnika – I. i II. viši isplatni red</w:t>
            </w:r>
          </w:p>
        </w:tc>
        <w:tc>
          <w:tcPr>
            <w:tcW w:type="dxa" w:w="1959"/>
            <w:tcBorders>
              <w:top w:space="0" w:sz="6" w:color="000000" w:val="single"/>
              <w:left w:space="0" w:sz="6" w:color="000000" w:val="single"/>
              <w:bottom w:space="0" w:sz="6" w:color="000000" w:val="single"/>
              <w:right w:space="0" w:sz="6" w:color="000000" w:val="double"/>
            </w:tcBorders>
            <w:shd w:fill="FFFFFF"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kern w:val="0"/>
                <w:lang w:bidi="ar-SA" w:eastAsia="hr-HR"/>
              </w:rPr>
            </w:pPr>
            <w:r>
              <w:rPr>
                <w:rFonts w:cs="Tahoma" w:eastAsia="Times New Roman" w:hAnsi="Tahoma" w:ascii="Tahoma"/>
                <w:kern w:val="0"/>
                <w:lang w:bidi="ar-SA" w:eastAsia="hr-HR"/>
              </w:rPr>
              <w:t xml:space="preserve"> 13.423,72</w:t>
            </w:r>
          </w:p>
        </w:tc>
      </w:tr>
      <w:tr w:rsidTr="00BD4F9C" w:rsidR="00A375DA">
        <w:tc>
          <w:tcPr>
            <w:tcW w:type="dxa" w:w="7463"/>
            <w:tcBorders>
              <w:top w:space="0" w:sz="6" w:color="000000" w:val="single"/>
              <w:left w:space="0" w:sz="6" w:color="000000" w:val="double"/>
              <w:bottom w:space="0" w:sz="6" w:color="000000" w:val="single"/>
              <w:right w:space="0" w:sz="6" w:color="000000" w:val="single"/>
            </w:tcBorders>
            <w:shd w:fill="D9D9D9"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
                <w:kern w:val="0"/>
                <w:lang w:bidi="ar-SA" w:eastAsia="hr-HR"/>
              </w:rPr>
            </w:pPr>
            <w:r>
              <w:rPr>
                <w:rFonts w:cs="Tahoma" w:eastAsia="Times New Roman" w:hAnsi="Tahoma" w:ascii="Tahoma"/>
                <w:b/>
                <w:kern w:val="0"/>
                <w:lang w:bidi="ar-SA" w:eastAsia="hr-HR"/>
              </w:rPr>
              <w:t>Ukupno namirenje vjerovnika</w:t>
            </w:r>
          </w:p>
        </w:tc>
        <w:tc>
          <w:tcPr>
            <w:tcW w:type="dxa" w:w="1959"/>
            <w:tcBorders>
              <w:top w:space="0" w:sz="6" w:color="000000" w:val="single"/>
              <w:left w:space="0" w:sz="6" w:color="000000" w:val="single"/>
              <w:bottom w:space="0" w:sz="6" w:color="000000" w:val="single"/>
              <w:right w:space="0" w:sz="6" w:color="000000" w:val="double"/>
            </w:tcBorders>
            <w:shd w:fill="D9D9D9"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b/>
                <w:kern w:val="0"/>
                <w:lang w:bidi="ar-SA" w:eastAsia="hr-HR"/>
              </w:rPr>
            </w:pPr>
            <w:r>
              <w:rPr>
                <w:rFonts w:cs="Tahoma" w:eastAsia="Times New Roman" w:hAnsi="Tahoma" w:ascii="Tahoma"/>
                <w:b/>
                <w:kern w:val="0"/>
                <w:lang w:bidi="ar-SA" w:eastAsia="hr-HR"/>
              </w:rPr>
              <w:t>13.423,72</w:t>
            </w:r>
          </w:p>
        </w:tc>
      </w:tr>
      <w:tr w:rsidTr="00BD4F9C" w:rsidR="00A375DA">
        <w:tc>
          <w:tcPr>
            <w:tcW w:type="dxa" w:w="7463"/>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pPr>
            <w:r>
              <w:rPr>
                <w:rFonts w:cs="Tahoma" w:eastAsia="Times New Roman" w:hAnsi="Tahoma" w:ascii="Tahoma"/>
                <w:bCs/>
                <w:kern w:val="0"/>
                <w:lang w:bidi="ar-SA" w:eastAsia="hr-HR"/>
              </w:rPr>
              <w:t xml:space="preserve">Troškovi knjigovodstvenih usluga bruto (vođenje posl. knjiga, porezni i drugi obrasci, financijska izvješća za period od 10 mjeseci </w:t>
            </w:r>
          </w:p>
        </w:tc>
        <w:tc>
          <w:tcPr>
            <w:tcW w:type="dxa" w:w="1959"/>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bCs/>
                <w:kern w:val="0"/>
                <w:lang w:bidi="ar-SA" w:eastAsia="hr-HR"/>
              </w:rPr>
            </w:pPr>
            <w:r>
              <w:rPr>
                <w:rFonts w:cs="Tahoma" w:eastAsia="Times New Roman" w:hAnsi="Tahoma" w:ascii="Tahoma"/>
                <w:bCs/>
                <w:kern w:val="0"/>
                <w:lang w:bidi="ar-SA" w:eastAsia="hr-HR"/>
              </w:rPr>
              <w:t>5.000,00</w:t>
            </w:r>
          </w:p>
        </w:tc>
      </w:tr>
      <w:tr w:rsidTr="00BD4F9C" w:rsidR="00A375DA">
        <w:tc>
          <w:tcPr>
            <w:tcW w:type="dxa" w:w="7463"/>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Cs/>
                <w:kern w:val="0"/>
                <w:lang w:bidi="ar-SA" w:eastAsia="hr-HR"/>
              </w:rPr>
            </w:pPr>
            <w:r>
              <w:rPr>
                <w:rFonts w:cs="Tahoma" w:eastAsia="Times New Roman" w:hAnsi="Tahoma" w:ascii="Tahoma"/>
                <w:bCs/>
                <w:kern w:val="0"/>
                <w:lang w:bidi="ar-SA" w:eastAsia="hr-HR"/>
              </w:rPr>
              <w:t xml:space="preserve">Analiza poslovne dokumentacije i izrada početne stečajne bilance,               analiza dokumentacije </w:t>
            </w:r>
          </w:p>
        </w:tc>
        <w:tc>
          <w:tcPr>
            <w:tcW w:type="dxa" w:w="1959"/>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bCs/>
                <w:kern w:val="0"/>
                <w:lang w:bidi="ar-SA" w:eastAsia="hr-HR"/>
              </w:rPr>
            </w:pPr>
            <w:r>
              <w:rPr>
                <w:rFonts w:cs="Tahoma" w:eastAsia="Times New Roman" w:hAnsi="Tahoma" w:ascii="Tahoma"/>
                <w:bCs/>
                <w:kern w:val="0"/>
                <w:lang w:bidi="ar-SA" w:eastAsia="hr-HR"/>
              </w:rPr>
              <w:t xml:space="preserve">    3.000,00</w:t>
            </w:r>
          </w:p>
        </w:tc>
      </w:tr>
      <w:tr w:rsidTr="00BD4F9C" w:rsidR="00A375DA">
        <w:tc>
          <w:tcPr>
            <w:tcW w:type="dxa" w:w="7463"/>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Cs/>
                <w:kern w:val="0"/>
                <w:lang w:bidi="ar-SA" w:eastAsia="hr-HR"/>
              </w:rPr>
            </w:pPr>
            <w:r>
              <w:rPr>
                <w:rFonts w:cs="Tahoma" w:eastAsia="Times New Roman" w:hAnsi="Tahoma" w:ascii="Tahoma"/>
                <w:bCs/>
                <w:kern w:val="0"/>
                <w:lang w:bidi="ar-SA" w:eastAsia="hr-HR"/>
              </w:rPr>
              <w:t>Nagrada stečajnom upravitelju u bruto iznosu prema Uredbi NN 105/15</w:t>
            </w:r>
          </w:p>
        </w:tc>
        <w:tc>
          <w:tcPr>
            <w:tcW w:type="dxa" w:w="1959"/>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bCs/>
                <w:kern w:val="0"/>
                <w:lang w:bidi="ar-SA" w:eastAsia="hr-HR"/>
              </w:rPr>
            </w:pPr>
            <w:r>
              <w:rPr>
                <w:rFonts w:cs="Tahoma" w:eastAsia="Times New Roman" w:hAnsi="Tahoma" w:ascii="Tahoma"/>
                <w:bCs/>
                <w:kern w:val="0"/>
                <w:lang w:bidi="ar-SA" w:eastAsia="hr-HR"/>
              </w:rPr>
              <w:t xml:space="preserve">  6.704,00</w:t>
            </w:r>
          </w:p>
        </w:tc>
      </w:tr>
      <w:tr w:rsidTr="00BD4F9C" w:rsidR="00A375DA">
        <w:tc>
          <w:tcPr>
            <w:tcW w:type="dxa" w:w="7463"/>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Cs/>
                <w:kern w:val="0"/>
                <w:lang w:bidi="ar-SA" w:eastAsia="hr-HR"/>
              </w:rPr>
            </w:pPr>
            <w:r>
              <w:rPr>
                <w:rFonts w:cs="Tahoma" w:eastAsia="Times New Roman" w:hAnsi="Tahoma" w:ascii="Tahoma"/>
                <w:bCs/>
                <w:kern w:val="0"/>
                <w:lang w:bidi="ar-SA" w:eastAsia="hr-HR"/>
              </w:rPr>
              <w:t>Dodatna nagrada stečajnom upravitelju bruto prema Uredbi NN 105/15</w:t>
            </w:r>
          </w:p>
        </w:tc>
        <w:tc>
          <w:tcPr>
            <w:tcW w:type="dxa" w:w="1959"/>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bCs/>
                <w:kern w:val="0"/>
                <w:lang w:bidi="ar-SA" w:eastAsia="hr-HR"/>
              </w:rPr>
            </w:pPr>
            <w:r>
              <w:rPr>
                <w:rFonts w:cs="Tahoma" w:eastAsia="Times New Roman" w:hAnsi="Tahoma" w:ascii="Tahoma"/>
                <w:bCs/>
                <w:kern w:val="0"/>
                <w:lang w:bidi="ar-SA" w:eastAsia="hr-HR"/>
              </w:rPr>
              <w:t>1.304,80</w:t>
            </w:r>
          </w:p>
        </w:tc>
      </w:tr>
      <w:tr w:rsidTr="00BD4F9C" w:rsidR="00A375DA">
        <w:tc>
          <w:tcPr>
            <w:tcW w:type="dxa" w:w="7463"/>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Cs/>
                <w:kern w:val="0"/>
                <w:lang w:bidi="ar-SA" w:eastAsia="hr-HR"/>
              </w:rPr>
            </w:pPr>
            <w:r>
              <w:rPr>
                <w:rFonts w:cs="Tahoma" w:eastAsia="Times New Roman" w:hAnsi="Tahoma" w:ascii="Tahoma"/>
                <w:bCs/>
                <w:kern w:val="0"/>
                <w:lang w:bidi="ar-SA" w:eastAsia="hr-HR"/>
              </w:rPr>
              <w:t>Bankovne usluge</w:t>
            </w:r>
          </w:p>
        </w:tc>
        <w:tc>
          <w:tcPr>
            <w:tcW w:type="dxa" w:w="1959"/>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bCs/>
                <w:kern w:val="0"/>
                <w:lang w:bidi="ar-SA" w:eastAsia="hr-HR"/>
              </w:rPr>
            </w:pPr>
            <w:r>
              <w:rPr>
                <w:rFonts w:cs="Tahoma" w:eastAsia="Times New Roman" w:hAnsi="Tahoma" w:ascii="Tahoma"/>
                <w:bCs/>
                <w:kern w:val="0"/>
                <w:lang w:bidi="ar-SA" w:eastAsia="hr-HR"/>
              </w:rPr>
              <w:t xml:space="preserve">    276,80</w:t>
            </w:r>
          </w:p>
        </w:tc>
      </w:tr>
      <w:tr w:rsidTr="00BD4F9C" w:rsidR="00A375DA">
        <w:tc>
          <w:tcPr>
            <w:tcW w:type="dxa" w:w="7463"/>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Cs/>
                <w:kern w:val="0"/>
                <w:lang w:bidi="ar-SA" w:eastAsia="hr-HR"/>
              </w:rPr>
            </w:pPr>
            <w:r>
              <w:rPr>
                <w:rFonts w:cs="Tahoma" w:eastAsia="Times New Roman" w:hAnsi="Tahoma" w:ascii="Tahoma"/>
                <w:bCs/>
                <w:kern w:val="0"/>
                <w:lang w:bidi="ar-SA" w:eastAsia="hr-HR"/>
              </w:rPr>
              <w:t>Troškovi oglasa u Večernjem listu</w:t>
            </w:r>
          </w:p>
        </w:tc>
        <w:tc>
          <w:tcPr>
            <w:tcW w:type="dxa" w:w="1959"/>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bCs/>
                <w:kern w:val="0"/>
                <w:lang w:bidi="ar-SA" w:eastAsia="hr-HR"/>
              </w:rPr>
            </w:pPr>
            <w:r>
              <w:rPr>
                <w:rFonts w:cs="Tahoma" w:eastAsia="Times New Roman" w:hAnsi="Tahoma" w:ascii="Tahoma"/>
                <w:bCs/>
                <w:kern w:val="0"/>
                <w:lang w:bidi="ar-SA" w:eastAsia="hr-HR"/>
              </w:rPr>
              <w:t>840,00</w:t>
            </w:r>
          </w:p>
        </w:tc>
      </w:tr>
      <w:tr w:rsidTr="00BD4F9C" w:rsidR="00A375DA">
        <w:tc>
          <w:tcPr>
            <w:tcW w:type="dxa" w:w="7463"/>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Cs/>
                <w:kern w:val="0"/>
                <w:lang w:bidi="ar-SA" w:eastAsia="hr-HR"/>
              </w:rPr>
            </w:pPr>
            <w:r>
              <w:rPr>
                <w:rFonts w:cs="Tahoma" w:eastAsia="Times New Roman" w:hAnsi="Tahoma" w:ascii="Tahoma"/>
                <w:bCs/>
                <w:kern w:val="0"/>
                <w:lang w:bidi="ar-SA" w:eastAsia="hr-HR"/>
              </w:rPr>
              <w:t>Troškovi procjene pokretnine</w:t>
            </w:r>
          </w:p>
        </w:tc>
        <w:tc>
          <w:tcPr>
            <w:tcW w:type="dxa" w:w="1959"/>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bCs/>
                <w:kern w:val="0"/>
                <w:lang w:bidi="ar-SA" w:eastAsia="hr-HR"/>
              </w:rPr>
            </w:pPr>
            <w:r>
              <w:rPr>
                <w:rFonts w:cs="Tahoma" w:eastAsia="Times New Roman" w:hAnsi="Tahoma" w:ascii="Tahoma"/>
                <w:bCs/>
                <w:kern w:val="0"/>
                <w:lang w:bidi="ar-SA" w:eastAsia="hr-HR"/>
              </w:rPr>
              <w:t>1.600,00</w:t>
            </w:r>
          </w:p>
        </w:tc>
      </w:tr>
      <w:tr w:rsidTr="00BD4F9C" w:rsidR="00A375DA">
        <w:tc>
          <w:tcPr>
            <w:tcW w:type="dxa" w:w="7463"/>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Cs/>
                <w:kern w:val="0"/>
                <w:lang w:bidi="ar-SA" w:eastAsia="hr-HR"/>
              </w:rPr>
            </w:pPr>
            <w:r>
              <w:rPr>
                <w:rFonts w:cs="Tahoma" w:eastAsia="Times New Roman" w:hAnsi="Tahoma" w:ascii="Tahoma"/>
                <w:bCs/>
                <w:kern w:val="0"/>
                <w:lang w:bidi="ar-SA" w:eastAsia="hr-HR"/>
              </w:rPr>
              <w:t>Troškovi prijevoza i skladištenja vozila</w:t>
            </w:r>
          </w:p>
        </w:tc>
        <w:tc>
          <w:tcPr>
            <w:tcW w:type="dxa" w:w="1959"/>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bCs/>
                <w:kern w:val="0"/>
                <w:lang w:bidi="ar-SA" w:eastAsia="hr-HR"/>
              </w:rPr>
            </w:pPr>
            <w:r>
              <w:rPr>
                <w:rFonts w:cs="Tahoma" w:eastAsia="Times New Roman" w:hAnsi="Tahoma" w:ascii="Tahoma"/>
                <w:bCs/>
                <w:kern w:val="0"/>
                <w:lang w:bidi="ar-SA" w:eastAsia="hr-HR"/>
              </w:rPr>
              <w:t>4.070,00</w:t>
            </w:r>
          </w:p>
        </w:tc>
      </w:tr>
      <w:tr w:rsidTr="00BD4F9C" w:rsidR="00A375DA">
        <w:tc>
          <w:tcPr>
            <w:tcW w:type="dxa" w:w="7463"/>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Cs/>
                <w:kern w:val="0"/>
                <w:lang w:bidi="ar-SA" w:eastAsia="hr-HR"/>
              </w:rPr>
            </w:pPr>
            <w:r>
              <w:rPr>
                <w:rFonts w:cs="Tahoma" w:eastAsia="Times New Roman" w:hAnsi="Tahoma" w:ascii="Tahoma"/>
                <w:bCs/>
                <w:kern w:val="0"/>
                <w:lang w:bidi="ar-SA" w:eastAsia="hr-HR"/>
              </w:rPr>
              <w:t>Materijalni troškovi stečajnog upravitelja ( telefon, poštarina, putni troškovi, arhiviranje dokumentacija)</w:t>
            </w:r>
          </w:p>
        </w:tc>
        <w:tc>
          <w:tcPr>
            <w:tcW w:type="dxa" w:w="1959"/>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bCs/>
                <w:kern w:val="0"/>
                <w:lang w:bidi="ar-SA" w:eastAsia="hr-HR"/>
              </w:rPr>
            </w:pPr>
            <w:r>
              <w:rPr>
                <w:rFonts w:cs="Tahoma" w:eastAsia="Times New Roman" w:hAnsi="Tahoma" w:ascii="Tahoma"/>
                <w:bCs/>
                <w:kern w:val="0"/>
                <w:lang w:bidi="ar-SA" w:eastAsia="hr-HR"/>
              </w:rPr>
              <w:t>3.000,00</w:t>
            </w:r>
          </w:p>
        </w:tc>
      </w:tr>
      <w:tr w:rsidTr="00BD4F9C" w:rsidR="00A375DA">
        <w:tc>
          <w:tcPr>
            <w:tcW w:type="dxa" w:w="7463"/>
            <w:tcBorders>
              <w:top w:space="0" w:sz="6" w:color="000000" w:val="single"/>
              <w:left w:space="0" w:sz="6" w:color="000000" w:val="double"/>
              <w:bottom w:space="0" w:sz="6" w:color="000000" w:val="double"/>
              <w:right w:space="0" w:sz="6" w:color="000000" w:val="single"/>
            </w:tcBorders>
            <w:shd w:fill="D9D9D9"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pPr>
            <w:r>
              <w:rPr>
                <w:rFonts w:cs="Tahoma" w:eastAsia="Times New Roman" w:hAnsi="Tahoma" w:ascii="Tahoma"/>
                <w:b/>
                <w:bCs/>
                <w:kern w:val="0"/>
                <w:lang w:bidi="ar-SA" w:eastAsia="hr-HR"/>
              </w:rPr>
              <w:t>Ukupni trošak obveza stečajne mase</w:t>
            </w:r>
          </w:p>
        </w:tc>
        <w:tc>
          <w:tcPr>
            <w:tcW w:type="dxa" w:w="1959"/>
            <w:tcBorders>
              <w:top w:space="0" w:sz="6" w:color="000000" w:val="single"/>
              <w:left w:space="0" w:sz="6" w:color="000000" w:val="single"/>
              <w:bottom w:space="0" w:sz="6" w:color="000000" w:val="double"/>
              <w:right w:space="0" w:sz="6" w:color="000000" w:val="double"/>
            </w:tcBorders>
            <w:shd w:fill="D9D9D9"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b/>
                <w:bCs/>
                <w:kern w:val="0"/>
                <w:lang w:bidi="ar-SA" w:eastAsia="hr-HR"/>
              </w:rPr>
            </w:pPr>
            <w:r>
              <w:rPr>
                <w:rFonts w:cs="Tahoma" w:eastAsia="Times New Roman" w:hAnsi="Tahoma" w:ascii="Tahoma"/>
                <w:b/>
                <w:bCs/>
                <w:kern w:val="0"/>
                <w:lang w:bidi="ar-SA" w:eastAsia="hr-HR"/>
              </w:rPr>
              <w:t>25.795,60</w:t>
            </w:r>
          </w:p>
        </w:tc>
      </w:tr>
      <w:bookmarkEnd w:id="1"/>
    </w:tbl>
    <w:p w:rsidRDefault="00A375DA" w:rsidP="00A375DA" w:rsidR="00A375DA">
      <w:pPr>
        <w:widowControl/>
        <w:suppressAutoHyphens w:val="false"/>
        <w:spacing w:lineRule="auto" w:line="288" w:after="80"/>
        <w:jc w:val="both"/>
        <w:textAlignment w:val="auto"/>
        <w:rPr>
          <w:rFonts w:cs="Tahoma" w:eastAsia="Times New Roman" w:hAnsi="Tahoma" w:ascii="Tahoma"/>
          <w:b/>
          <w:kern w:val="0"/>
          <w:lang w:bidi="ar-SA" w:eastAsia="hr-HR"/>
        </w:rPr>
      </w:pPr>
    </w:p>
    <w:p w:rsidRDefault="00A375DA" w:rsidP="00A375DA" w:rsidR="00A375DA">
      <w:pPr>
        <w:widowControl/>
        <w:suppressAutoHyphens w:val="false"/>
        <w:spacing w:lineRule="auto" w:line="288" w:after="0"/>
        <w:jc w:val="both"/>
        <w:textAlignment w:val="auto"/>
        <w:rPr>
          <w:rFonts w:cs="Tahoma" w:eastAsia="Times New Roman" w:hAnsi="Tahoma" w:ascii="Tahoma"/>
          <w:kern w:val="0"/>
          <w:lang w:bidi="ar-SA" w:eastAsia="hr-HR"/>
        </w:rPr>
      </w:pPr>
      <w:r>
        <w:rPr>
          <w:rFonts w:cs="Tahoma" w:eastAsia="Times New Roman" w:hAnsi="Tahoma" w:ascii="Tahoma"/>
          <w:kern w:val="0"/>
          <w:lang w:bidi="ar-SA" w:eastAsia="hr-HR"/>
        </w:rPr>
        <w:lastRenderedPageBreak/>
        <w:t xml:space="preserve">Struktura rashoda sastoji se od namirenja vjerovnika u iznosu ukupno od 13.423,72 kn, podmirenja obveza stečajne mase u iznosu ukupno od 25.795,60 kn . </w:t>
      </w:r>
    </w:p>
    <w:p w:rsidRDefault="00A375DA" w:rsidP="00A375DA" w:rsidR="00A375DA">
      <w:pPr>
        <w:widowControl/>
        <w:suppressAutoHyphens w:val="false"/>
        <w:spacing w:lineRule="auto" w:line="288" w:after="80"/>
        <w:jc w:val="both"/>
        <w:textAlignment w:val="auto"/>
        <w:rPr>
          <w:rFonts w:cs="Tahoma" w:eastAsia="Times New Roman" w:hAnsi="Tahoma" w:ascii="Tahoma"/>
          <w:b/>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b/>
          <w:kern w:val="0"/>
          <w:u w:val="single"/>
          <w:lang w:bidi="ar-SA" w:eastAsia="hr-HR"/>
        </w:rPr>
      </w:pPr>
    </w:p>
    <w:p w:rsidRDefault="00A375DA" w:rsidP="00A375DA" w:rsidR="00A375DA">
      <w:pPr>
        <w:widowControl/>
        <w:suppressAutoHyphens w:val="false"/>
        <w:spacing w:lineRule="auto" w:line="288" w:after="80"/>
        <w:jc w:val="both"/>
        <w:textAlignment w:val="auto"/>
      </w:pPr>
      <w:r>
        <w:rPr>
          <w:rFonts w:cs="Tahoma" w:eastAsia="Times New Roman" w:hAnsi="Tahoma" w:ascii="Tahoma"/>
          <w:b/>
          <w:kern w:val="0"/>
          <w:u w:val="single"/>
          <w:lang w:bidi="ar-SA" w:eastAsia="hr-HR"/>
        </w:rPr>
        <w:t>II. POČETNA STEČAJNA BILANCA NA DAN 10.11.2017. I PRIJEDLOG ZAVRŠNE BILANCE NA DAN 30.11.2018.</w:t>
      </w:r>
      <w:r>
        <w:rPr>
          <w:rFonts w:cs="Tahoma" w:eastAsia="Times New Roman" w:hAnsi="Tahoma" w:ascii="Tahoma"/>
          <w:kern w:val="0"/>
          <w:u w:val="single"/>
          <w:lang w:bidi="ar-SA" w:eastAsia="hr-HR"/>
        </w:rPr>
        <w:t xml:space="preserve"> </w:t>
      </w:r>
    </w:p>
    <w:p w:rsidRDefault="00A375DA" w:rsidP="00A375DA" w:rsidR="00A375DA">
      <w:pPr>
        <w:widowControl/>
        <w:suppressAutoHyphens w:val="false"/>
        <w:spacing w:lineRule="auto" w:line="288" w:after="80"/>
        <w:jc w:val="both"/>
        <w:textAlignment w:val="auto"/>
        <w:rPr>
          <w:rFonts w:cs="Tahoma" w:eastAsia="Times New Roman" w:hAnsi="Tahoma" w:ascii="Tahoma"/>
          <w:kern w:val="0"/>
          <w:u w:val="single"/>
          <w:lang w:bidi="ar-SA" w:eastAsia="hr-HR"/>
        </w:rPr>
      </w:pPr>
    </w:p>
    <w:p w:rsidRDefault="00A375DA" w:rsidP="00A375DA" w:rsidR="00A375DA">
      <w:pPr>
        <w:widowControl/>
        <w:suppressAutoHyphens w:val="false"/>
        <w:spacing w:lineRule="auto" w:line="288" w:after="80"/>
        <w:jc w:val="both"/>
        <w:textAlignment w:val="auto"/>
      </w:pPr>
      <w:r>
        <w:rPr>
          <w:rFonts w:cs="Tahoma" w:eastAsia="Times New Roman" w:hAnsi="Tahoma" w:ascii="Tahoma"/>
          <w:kern w:val="0"/>
          <w:lang w:bidi="ar-SA" w:eastAsia="hr-HR"/>
        </w:rPr>
        <w:t>U ovom dijelu završnog računa daje se usporedni prikaz imovine i obveza iz početne stečajne bilance na dan 10.11.2017. sa korekcijom prikazanom u prijedlogu završne stečajne bilance na dan 30.11.2018.g. kao posljedicom knjigovodstvenog usklađenja nakon unovčenja                        imovine, a sve kako je prikazano u tabeli broj 2.</w:t>
      </w: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val="pl-PL"/>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val="pl-PL"/>
        </w:rPr>
      </w:pPr>
    </w:p>
    <w:p w:rsidRDefault="00A375DA" w:rsidP="00A375DA" w:rsidR="00A375DA">
      <w:pPr>
        <w:widowControl/>
        <w:suppressAutoHyphens w:val="false"/>
        <w:spacing w:lineRule="auto" w:line="288" w:after="80"/>
        <w:jc w:val="both"/>
        <w:textAlignment w:val="auto"/>
      </w:pPr>
      <w:r>
        <w:rPr>
          <w:rFonts w:cs="Tahoma" w:eastAsia="Times New Roman" w:hAnsi="Tahoma" w:ascii="Tahoma"/>
          <w:i/>
          <w:kern w:val="0"/>
          <w:lang w:bidi="ar-SA" w:eastAsia="hr-HR" w:val="pl-PL"/>
        </w:rPr>
        <w:t>Tabela 2.</w:t>
      </w:r>
    </w:p>
    <w:tbl>
      <w:tblPr>
        <w:tblW w:type="dxa" w:w="9606"/>
        <w:tblLayout w:type="fixed"/>
        <w:tblCellMar>
          <w:left w:type="dxa" w:w="10"/>
          <w:right w:type="dxa" w:w="10"/>
        </w:tblCellMar>
        <w:tblLook w:val="0000" w:noVBand="0" w:noHBand="0" w:lastColumn="0" w:firstColumn="0" w:lastRow="0" w:firstRow="0"/>
      </w:tblPr>
      <w:tblGrid>
        <w:gridCol w:w="675"/>
        <w:gridCol w:w="4395"/>
        <w:gridCol w:w="2409"/>
        <w:gridCol w:w="2127"/>
      </w:tblGrid>
      <w:tr w:rsidTr="00BD4F9C" w:rsidR="00A375DA">
        <w:trPr>
          <w:trHeight w:val="805"/>
        </w:trPr>
        <w:tc>
          <w:tcPr>
            <w:tcW w:type="dxa" w:w="675"/>
            <w:tcBorders>
              <w:top w:space="0" w:sz="6" w:color="000000" w:val="double"/>
              <w:left w:space="0" w:sz="6" w:color="000000" w:val="double"/>
              <w:bottom w:space="0" w:sz="6" w:color="000000" w:val="single"/>
              <w:right w:space="0" w:sz="6" w:color="000000" w:val="single"/>
            </w:tcBorders>
            <w:shd w:fill="E6E6E6"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
                <w:kern w:val="0"/>
                <w:sz w:val="22"/>
                <w:szCs w:val="22"/>
                <w:lang w:bidi="ar-SA" w:eastAsia="hr-HR"/>
              </w:rPr>
            </w:pPr>
            <w:r>
              <w:rPr>
                <w:rFonts w:cs="Tahoma" w:eastAsia="Times New Roman" w:hAnsi="Tahoma" w:ascii="Tahoma"/>
                <w:b/>
                <w:kern w:val="0"/>
                <w:sz w:val="22"/>
                <w:szCs w:val="22"/>
                <w:lang w:bidi="ar-SA" w:eastAsia="hr-HR"/>
              </w:rPr>
              <w:t>r.br</w:t>
            </w:r>
          </w:p>
        </w:tc>
        <w:tc>
          <w:tcPr>
            <w:tcW w:type="dxa" w:w="4395"/>
            <w:tcBorders>
              <w:top w:space="0" w:sz="6" w:color="000000" w:val="doub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tcPr>
          <w:p w:rsidRDefault="00A375DA" w:rsidP="00BD4F9C" w:rsidR="00A375DA">
            <w:pPr>
              <w:widowControl/>
              <w:suppressAutoHyphens w:val="false"/>
              <w:spacing w:lineRule="auto" w:line="288" w:after="80"/>
              <w:jc w:val="center"/>
              <w:textAlignment w:val="auto"/>
              <w:rPr>
                <w:rFonts w:cs="Tahoma" w:eastAsia="Times New Roman" w:hAnsi="Tahoma" w:ascii="Tahoma"/>
                <w:b/>
                <w:kern w:val="0"/>
                <w:sz w:val="22"/>
                <w:szCs w:val="22"/>
                <w:lang w:bidi="ar-SA" w:eastAsia="hr-HR"/>
              </w:rPr>
            </w:pPr>
            <w:r>
              <w:rPr>
                <w:rFonts w:cs="Tahoma" w:eastAsia="Times New Roman" w:hAnsi="Tahoma" w:ascii="Tahoma"/>
                <w:b/>
                <w:kern w:val="0"/>
                <w:sz w:val="22"/>
                <w:szCs w:val="22"/>
                <w:lang w:bidi="ar-SA" w:eastAsia="hr-HR"/>
              </w:rPr>
              <w:t>Imovina</w:t>
            </w:r>
          </w:p>
        </w:tc>
        <w:tc>
          <w:tcPr>
            <w:tcW w:type="dxa" w:w="2409"/>
            <w:tcBorders>
              <w:top w:space="0" w:sz="6" w:color="000000" w:val="doub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tcPr>
          <w:p w:rsidRDefault="00A375DA" w:rsidP="00BD4F9C" w:rsidR="00A375DA">
            <w:pPr>
              <w:widowControl/>
              <w:suppressAutoHyphens w:val="false"/>
              <w:spacing w:lineRule="auto" w:line="288" w:after="80"/>
              <w:jc w:val="center"/>
              <w:textAlignment w:val="auto"/>
              <w:rPr>
                <w:rFonts w:cs="Tahoma" w:eastAsia="Times New Roman" w:hAnsi="Tahoma" w:ascii="Tahoma"/>
                <w:b/>
                <w:kern w:val="0"/>
                <w:sz w:val="22"/>
                <w:szCs w:val="22"/>
                <w:lang w:bidi="ar-SA" w:eastAsia="hr-HR"/>
              </w:rPr>
            </w:pPr>
            <w:r>
              <w:rPr>
                <w:rFonts w:cs="Tahoma" w:eastAsia="Times New Roman" w:hAnsi="Tahoma" w:ascii="Tahoma"/>
                <w:b/>
                <w:kern w:val="0"/>
                <w:sz w:val="22"/>
                <w:szCs w:val="22"/>
                <w:lang w:bidi="ar-SA" w:eastAsia="hr-HR"/>
              </w:rPr>
              <w:t>Početna stečajna bilanca 10.11.2017.</w:t>
            </w:r>
          </w:p>
        </w:tc>
        <w:tc>
          <w:tcPr>
            <w:tcW w:type="dxa" w:w="2127"/>
            <w:tcBorders>
              <w:top w:space="0" w:sz="6" w:color="000000" w:val="double"/>
              <w:left w:space="0" w:sz="6" w:color="000000" w:val="single"/>
              <w:bottom w:space="0" w:sz="6" w:color="000000" w:val="single"/>
              <w:right w:space="0" w:sz="6" w:color="000000" w:val="double"/>
            </w:tcBorders>
            <w:shd w:fill="E6E6E6" w:color="auto" w:val="clear"/>
            <w:tcMar>
              <w:top w:type="dxa" w:w="0"/>
              <w:left w:type="dxa" w:w="108"/>
              <w:bottom w:type="dxa" w:w="0"/>
              <w:right w:type="dxa" w:w="108"/>
            </w:tcMar>
          </w:tcPr>
          <w:p w:rsidRDefault="00A375DA" w:rsidP="00BD4F9C" w:rsidR="00A375DA">
            <w:pPr>
              <w:widowControl/>
              <w:suppressAutoHyphens w:val="false"/>
              <w:spacing w:lineRule="auto" w:line="288" w:after="80"/>
              <w:jc w:val="center"/>
              <w:textAlignment w:val="auto"/>
              <w:rPr>
                <w:rFonts w:cs="Tahoma" w:eastAsia="Times New Roman" w:hAnsi="Tahoma" w:ascii="Tahoma"/>
                <w:b/>
                <w:kern w:val="0"/>
                <w:sz w:val="22"/>
                <w:szCs w:val="22"/>
                <w:lang w:bidi="ar-SA" w:eastAsia="hr-HR"/>
              </w:rPr>
            </w:pPr>
            <w:r>
              <w:rPr>
                <w:rFonts w:cs="Tahoma" w:eastAsia="Times New Roman" w:hAnsi="Tahoma" w:ascii="Tahoma"/>
                <w:b/>
                <w:kern w:val="0"/>
                <w:sz w:val="22"/>
                <w:szCs w:val="22"/>
                <w:lang w:bidi="ar-SA" w:eastAsia="hr-HR"/>
              </w:rPr>
              <w:t>Završna stečajna bilanca 30.11.2018.</w:t>
            </w:r>
          </w:p>
        </w:tc>
      </w:tr>
      <w:tr w:rsidTr="00BD4F9C" w:rsidR="00A375DA">
        <w:trPr>
          <w:trHeight w:val="386"/>
        </w:trPr>
        <w:tc>
          <w:tcPr>
            <w:tcW w:type="dxa" w:w="675"/>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kern w:val="0"/>
                <w:sz w:val="22"/>
                <w:szCs w:val="22"/>
                <w:lang w:bidi="ar-SA" w:eastAsia="hr-HR"/>
              </w:rPr>
            </w:pPr>
            <w:r>
              <w:rPr>
                <w:rFonts w:cs="Tahoma" w:eastAsia="Times New Roman" w:hAnsi="Tahoma" w:ascii="Tahoma"/>
                <w:kern w:val="0"/>
                <w:sz w:val="22"/>
                <w:szCs w:val="22"/>
                <w:lang w:bidi="ar-SA" w:eastAsia="hr-HR"/>
              </w:rPr>
              <w:t>1.</w:t>
            </w:r>
          </w:p>
        </w:tc>
        <w:tc>
          <w:tcPr>
            <w:tcW w:type="dxa" w:w="4395"/>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kern w:val="0"/>
                <w:sz w:val="22"/>
                <w:szCs w:val="22"/>
                <w:lang w:bidi="ar-SA" w:eastAsia="hr-HR"/>
              </w:rPr>
            </w:pPr>
            <w:r>
              <w:rPr>
                <w:rFonts w:cs="Tahoma" w:eastAsia="Times New Roman" w:hAnsi="Tahoma" w:ascii="Tahoma"/>
                <w:kern w:val="0"/>
                <w:sz w:val="22"/>
                <w:szCs w:val="22"/>
                <w:lang w:bidi="ar-SA" w:eastAsia="hr-HR"/>
              </w:rPr>
              <w:t>Pokretnina ( osobno vozilo)</w:t>
            </w:r>
          </w:p>
        </w:tc>
        <w:tc>
          <w:tcPr>
            <w:tcW w:type="dxa" w:w="2409"/>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kern w:val="0"/>
                <w:sz w:val="22"/>
                <w:szCs w:val="22"/>
                <w:lang w:bidi="ar-SA" w:eastAsia="hr-HR"/>
              </w:rPr>
            </w:pPr>
            <w:r>
              <w:rPr>
                <w:rFonts w:cs="Tahoma" w:eastAsia="Times New Roman" w:hAnsi="Tahoma" w:ascii="Tahoma"/>
                <w:kern w:val="0"/>
                <w:sz w:val="22"/>
                <w:szCs w:val="22"/>
                <w:lang w:bidi="ar-SA" w:eastAsia="hr-HR"/>
              </w:rPr>
              <w:t>55.100,00</w:t>
            </w:r>
          </w:p>
        </w:tc>
        <w:tc>
          <w:tcPr>
            <w:tcW w:type="dxa" w:w="2127"/>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kern w:val="0"/>
                <w:sz w:val="22"/>
                <w:szCs w:val="22"/>
                <w:lang w:bidi="ar-SA" w:eastAsia="hr-HR"/>
              </w:rPr>
            </w:pPr>
            <w:r>
              <w:rPr>
                <w:rFonts w:cs="Tahoma" w:eastAsia="Times New Roman" w:hAnsi="Tahoma" w:ascii="Tahoma"/>
                <w:kern w:val="0"/>
                <w:sz w:val="22"/>
                <w:szCs w:val="22"/>
                <w:lang w:bidi="ar-SA" w:eastAsia="hr-HR"/>
              </w:rPr>
              <w:t>0,00</w:t>
            </w:r>
          </w:p>
        </w:tc>
      </w:tr>
      <w:tr w:rsidTr="00BD4F9C" w:rsidR="00A375DA">
        <w:trPr>
          <w:trHeight w:val="386"/>
        </w:trPr>
        <w:tc>
          <w:tcPr>
            <w:tcW w:type="dxa" w:w="675"/>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kern w:val="0"/>
                <w:sz w:val="22"/>
                <w:szCs w:val="22"/>
                <w:lang w:bidi="ar-SA" w:eastAsia="hr-HR"/>
              </w:rPr>
            </w:pPr>
            <w:r>
              <w:rPr>
                <w:rFonts w:cs="Tahoma" w:eastAsia="Times New Roman" w:hAnsi="Tahoma" w:ascii="Tahoma"/>
                <w:kern w:val="0"/>
                <w:sz w:val="22"/>
                <w:szCs w:val="22"/>
                <w:lang w:bidi="ar-SA" w:eastAsia="hr-HR"/>
              </w:rPr>
              <w:t>2.</w:t>
            </w:r>
          </w:p>
        </w:tc>
        <w:tc>
          <w:tcPr>
            <w:tcW w:type="dxa" w:w="4395"/>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kern w:val="0"/>
                <w:sz w:val="22"/>
                <w:szCs w:val="22"/>
                <w:lang w:bidi="ar-SA" w:eastAsia="hr-HR"/>
              </w:rPr>
            </w:pPr>
            <w:r>
              <w:rPr>
                <w:rFonts w:cs="Tahoma" w:eastAsia="Times New Roman" w:hAnsi="Tahoma" w:ascii="Tahoma"/>
                <w:kern w:val="0"/>
                <w:sz w:val="22"/>
                <w:szCs w:val="22"/>
                <w:lang w:bidi="ar-SA" w:eastAsia="hr-HR"/>
              </w:rPr>
              <w:t>Novčana sredstva na računu</w:t>
            </w:r>
          </w:p>
        </w:tc>
        <w:tc>
          <w:tcPr>
            <w:tcW w:type="dxa" w:w="2409"/>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kern w:val="0"/>
                <w:sz w:val="22"/>
                <w:szCs w:val="22"/>
                <w:lang w:bidi="ar-SA" w:eastAsia="hr-HR"/>
              </w:rPr>
            </w:pPr>
            <w:r>
              <w:rPr>
                <w:rFonts w:cs="Tahoma" w:eastAsia="Times New Roman" w:hAnsi="Tahoma" w:ascii="Tahoma"/>
                <w:kern w:val="0"/>
                <w:sz w:val="22"/>
                <w:szCs w:val="22"/>
                <w:lang w:bidi="ar-SA" w:eastAsia="hr-HR"/>
              </w:rPr>
              <w:t>0,00</w:t>
            </w:r>
          </w:p>
        </w:tc>
        <w:tc>
          <w:tcPr>
            <w:tcW w:type="dxa" w:w="2127"/>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kern w:val="0"/>
                <w:sz w:val="22"/>
                <w:szCs w:val="22"/>
                <w:lang w:bidi="ar-SA" w:eastAsia="hr-HR"/>
              </w:rPr>
            </w:pPr>
            <w:r>
              <w:rPr>
                <w:rFonts w:cs="Tahoma" w:eastAsia="Times New Roman" w:hAnsi="Tahoma" w:ascii="Tahoma"/>
                <w:kern w:val="0"/>
                <w:sz w:val="22"/>
                <w:szCs w:val="22"/>
                <w:lang w:bidi="ar-SA" w:eastAsia="hr-HR"/>
              </w:rPr>
              <w:t>2.680,68</w:t>
            </w:r>
          </w:p>
        </w:tc>
      </w:tr>
      <w:tr w:rsidTr="00BD4F9C" w:rsidR="00A375DA">
        <w:tc>
          <w:tcPr>
            <w:tcW w:type="dxa" w:w="675"/>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
                <w:kern w:val="0"/>
                <w:sz w:val="22"/>
                <w:szCs w:val="22"/>
                <w:lang w:bidi="ar-SA" w:eastAsia="hr-HR"/>
              </w:rPr>
            </w:pPr>
            <w:r>
              <w:rPr>
                <w:rFonts w:cs="Tahoma" w:eastAsia="Times New Roman" w:hAnsi="Tahoma" w:ascii="Tahoma"/>
                <w:b/>
                <w:kern w:val="0"/>
                <w:sz w:val="22"/>
                <w:szCs w:val="22"/>
                <w:lang w:bidi="ar-SA" w:eastAsia="hr-HR"/>
              </w:rPr>
              <w:t>3.</w:t>
            </w:r>
          </w:p>
        </w:tc>
        <w:tc>
          <w:tcPr>
            <w:tcW w:type="dxa" w:w="4395"/>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
                <w:kern w:val="0"/>
                <w:sz w:val="22"/>
                <w:szCs w:val="22"/>
                <w:lang w:bidi="ar-SA" w:eastAsia="hr-HR"/>
              </w:rPr>
            </w:pPr>
            <w:r>
              <w:rPr>
                <w:rFonts w:cs="Tahoma" w:eastAsia="Times New Roman" w:hAnsi="Tahoma" w:ascii="Tahoma"/>
                <w:b/>
                <w:kern w:val="0"/>
                <w:sz w:val="22"/>
                <w:szCs w:val="22"/>
                <w:lang w:bidi="ar-SA" w:eastAsia="hr-HR"/>
              </w:rPr>
              <w:t xml:space="preserve"> Ukupno (r.br.1+2)</w:t>
            </w:r>
          </w:p>
        </w:tc>
        <w:tc>
          <w:tcPr>
            <w:tcW w:type="dxa" w:w="2409"/>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b/>
                <w:kern w:val="0"/>
                <w:sz w:val="22"/>
                <w:szCs w:val="22"/>
                <w:lang w:bidi="ar-SA" w:eastAsia="hr-HR"/>
              </w:rPr>
            </w:pPr>
            <w:r>
              <w:rPr>
                <w:rFonts w:cs="Tahoma" w:eastAsia="Times New Roman" w:hAnsi="Tahoma" w:ascii="Tahoma"/>
                <w:b/>
                <w:kern w:val="0"/>
                <w:sz w:val="22"/>
                <w:szCs w:val="22"/>
                <w:lang w:bidi="ar-SA" w:eastAsia="hr-HR"/>
              </w:rPr>
              <w:t xml:space="preserve">                55.100,00</w:t>
            </w:r>
          </w:p>
        </w:tc>
        <w:tc>
          <w:tcPr>
            <w:tcW w:type="dxa" w:w="2127"/>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b/>
                <w:kern w:val="0"/>
                <w:sz w:val="22"/>
                <w:szCs w:val="22"/>
                <w:lang w:bidi="ar-SA" w:eastAsia="hr-HR"/>
              </w:rPr>
            </w:pPr>
            <w:r>
              <w:rPr>
                <w:rFonts w:cs="Tahoma" w:eastAsia="Times New Roman" w:hAnsi="Tahoma" w:ascii="Tahoma"/>
                <w:b/>
                <w:kern w:val="0"/>
                <w:sz w:val="22"/>
                <w:szCs w:val="22"/>
                <w:lang w:bidi="ar-SA" w:eastAsia="hr-HR"/>
              </w:rPr>
              <w:t>2.680,68</w:t>
            </w:r>
          </w:p>
        </w:tc>
      </w:tr>
      <w:tr w:rsidTr="00BD4F9C" w:rsidR="00A375DA">
        <w:trPr>
          <w:trHeight w:val="661"/>
        </w:trPr>
        <w:tc>
          <w:tcPr>
            <w:tcW w:type="dxa" w:w="675"/>
            <w:tcBorders>
              <w:top w:space="0" w:sz="6" w:color="000000" w:val="single"/>
              <w:left w:space="0" w:sz="6" w:color="000000" w:val="double"/>
              <w:bottom w:space="0" w:sz="6" w:color="000000" w:val="single"/>
              <w:right w:space="0" w:sz="6" w:color="000000" w:val="single"/>
            </w:tcBorders>
            <w:shd w:fill="E6E6E6"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
                <w:kern w:val="0"/>
                <w:sz w:val="22"/>
                <w:szCs w:val="22"/>
                <w:lang w:bidi="ar-SA" w:eastAsia="hr-HR"/>
              </w:rPr>
            </w:pPr>
          </w:p>
          <w:p w:rsidRDefault="00A375DA" w:rsidP="00BD4F9C" w:rsidR="00A375DA">
            <w:pPr>
              <w:widowControl/>
              <w:suppressAutoHyphens w:val="false"/>
              <w:spacing w:lineRule="auto" w:line="288" w:after="80"/>
              <w:jc w:val="both"/>
              <w:textAlignment w:val="auto"/>
              <w:rPr>
                <w:rFonts w:cs="Tahoma" w:eastAsia="Times New Roman" w:hAnsi="Tahoma" w:ascii="Tahoma"/>
                <w:b/>
                <w:kern w:val="0"/>
                <w:sz w:val="22"/>
                <w:szCs w:val="22"/>
                <w:lang w:bidi="ar-SA" w:eastAsia="hr-HR"/>
              </w:rPr>
            </w:pPr>
            <w:r>
              <w:rPr>
                <w:rFonts w:cs="Tahoma" w:eastAsia="Times New Roman" w:hAnsi="Tahoma" w:ascii="Tahoma"/>
                <w:b/>
                <w:kern w:val="0"/>
                <w:sz w:val="22"/>
                <w:szCs w:val="22"/>
                <w:lang w:bidi="ar-SA" w:eastAsia="hr-HR"/>
              </w:rPr>
              <w:t>r.br</w:t>
            </w:r>
          </w:p>
        </w:tc>
        <w:tc>
          <w:tcPr>
            <w:tcW w:type="dxa" w:w="4395"/>
            <w:tcBorders>
              <w:top w:space="0" w:sz="6" w:color="000000" w:val="sing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
                <w:kern w:val="0"/>
                <w:sz w:val="22"/>
                <w:szCs w:val="22"/>
                <w:lang w:bidi="ar-SA" w:eastAsia="hr-HR"/>
              </w:rPr>
            </w:pPr>
            <w:r>
              <w:rPr>
                <w:rFonts w:cs="Tahoma" w:eastAsia="Times New Roman" w:hAnsi="Tahoma" w:ascii="Tahoma"/>
                <w:b/>
                <w:kern w:val="0"/>
                <w:sz w:val="22"/>
                <w:szCs w:val="22"/>
                <w:lang w:bidi="ar-SA" w:eastAsia="hr-HR"/>
              </w:rPr>
              <w:t xml:space="preserve">                     Obveze</w:t>
            </w:r>
          </w:p>
        </w:tc>
        <w:tc>
          <w:tcPr>
            <w:tcW w:type="dxa" w:w="2409"/>
            <w:tcBorders>
              <w:top w:space="0" w:sz="6" w:color="000000" w:val="sing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tcPr>
          <w:p w:rsidRDefault="00A375DA" w:rsidP="00BD4F9C" w:rsidR="00A375DA">
            <w:pPr>
              <w:widowControl/>
              <w:suppressAutoHyphens w:val="false"/>
              <w:spacing w:lineRule="auto" w:line="288" w:after="80"/>
              <w:jc w:val="center"/>
              <w:textAlignment w:val="auto"/>
              <w:rPr>
                <w:rFonts w:cs="Tahoma" w:eastAsia="Times New Roman" w:hAnsi="Tahoma" w:ascii="Tahoma"/>
                <w:b/>
                <w:kern w:val="0"/>
                <w:sz w:val="22"/>
                <w:szCs w:val="22"/>
                <w:lang w:bidi="ar-SA" w:eastAsia="hr-HR"/>
              </w:rPr>
            </w:pPr>
            <w:r>
              <w:rPr>
                <w:rFonts w:cs="Tahoma" w:eastAsia="Times New Roman" w:hAnsi="Tahoma" w:ascii="Tahoma"/>
                <w:b/>
                <w:kern w:val="0"/>
                <w:sz w:val="22"/>
                <w:szCs w:val="22"/>
                <w:lang w:bidi="ar-SA" w:eastAsia="hr-HR"/>
              </w:rPr>
              <w:t>Početna stečajna bilanca 10.11.2017.</w:t>
            </w:r>
          </w:p>
        </w:tc>
        <w:tc>
          <w:tcPr>
            <w:tcW w:type="dxa" w:w="2127"/>
            <w:tcBorders>
              <w:top w:space="0" w:sz="6" w:color="000000" w:val="single"/>
              <w:left w:space="0" w:sz="6" w:color="000000" w:val="single"/>
              <w:bottom w:space="0" w:sz="6" w:color="000000" w:val="single"/>
              <w:right w:space="0" w:sz="6" w:color="000000" w:val="double"/>
            </w:tcBorders>
            <w:shd w:fill="E6E6E6" w:color="auto" w:val="clear"/>
            <w:tcMar>
              <w:top w:type="dxa" w:w="0"/>
              <w:left w:type="dxa" w:w="108"/>
              <w:bottom w:type="dxa" w:w="0"/>
              <w:right w:type="dxa" w:w="108"/>
            </w:tcMar>
          </w:tcPr>
          <w:p w:rsidRDefault="00A375DA" w:rsidP="00BD4F9C" w:rsidR="00A375DA">
            <w:pPr>
              <w:widowControl/>
              <w:suppressAutoHyphens w:val="false"/>
              <w:spacing w:lineRule="auto" w:line="288" w:after="80"/>
              <w:jc w:val="center"/>
              <w:textAlignment w:val="auto"/>
              <w:rPr>
                <w:rFonts w:cs="Tahoma" w:eastAsia="Times New Roman" w:hAnsi="Tahoma" w:ascii="Tahoma"/>
                <w:b/>
                <w:kern w:val="0"/>
                <w:sz w:val="22"/>
                <w:szCs w:val="22"/>
                <w:lang w:bidi="ar-SA" w:eastAsia="hr-HR"/>
              </w:rPr>
            </w:pPr>
            <w:r>
              <w:rPr>
                <w:rFonts w:cs="Tahoma" w:eastAsia="Times New Roman" w:hAnsi="Tahoma" w:ascii="Tahoma"/>
                <w:b/>
                <w:kern w:val="0"/>
                <w:sz w:val="22"/>
                <w:szCs w:val="22"/>
                <w:lang w:bidi="ar-SA" w:eastAsia="hr-HR"/>
              </w:rPr>
              <w:t>Završna stečajna bilanca 30.11.2018.</w:t>
            </w:r>
          </w:p>
        </w:tc>
      </w:tr>
      <w:tr w:rsidTr="00BD4F9C" w:rsidR="00A375DA">
        <w:trPr>
          <w:trHeight w:val="398"/>
        </w:trPr>
        <w:tc>
          <w:tcPr>
            <w:tcW w:type="dxa" w:w="675"/>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kern w:val="0"/>
                <w:sz w:val="22"/>
                <w:szCs w:val="22"/>
                <w:lang w:bidi="ar-SA" w:eastAsia="hr-HR"/>
              </w:rPr>
            </w:pPr>
            <w:r>
              <w:rPr>
                <w:rFonts w:cs="Tahoma" w:eastAsia="Times New Roman" w:hAnsi="Tahoma" w:ascii="Tahoma"/>
                <w:kern w:val="0"/>
                <w:sz w:val="22"/>
                <w:szCs w:val="22"/>
                <w:lang w:bidi="ar-SA" w:eastAsia="hr-HR"/>
              </w:rPr>
              <w:t>1.</w:t>
            </w:r>
          </w:p>
        </w:tc>
        <w:tc>
          <w:tcPr>
            <w:tcW w:type="dxa" w:w="4395"/>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kern w:val="0"/>
                <w:sz w:val="22"/>
                <w:szCs w:val="22"/>
                <w:lang w:bidi="ar-SA" w:eastAsia="hr-HR"/>
              </w:rPr>
            </w:pPr>
            <w:r>
              <w:rPr>
                <w:rFonts w:cs="Tahoma" w:eastAsia="Times New Roman" w:hAnsi="Tahoma" w:ascii="Tahoma"/>
                <w:kern w:val="0"/>
                <w:sz w:val="22"/>
                <w:szCs w:val="22"/>
                <w:lang w:bidi="ar-SA" w:eastAsia="hr-HR"/>
              </w:rPr>
              <w:t>Obveze za poreze i doprinose</w:t>
            </w:r>
          </w:p>
        </w:tc>
        <w:tc>
          <w:tcPr>
            <w:tcW w:type="dxa" w:w="2409"/>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kern w:val="0"/>
                <w:sz w:val="22"/>
                <w:szCs w:val="22"/>
                <w:lang w:bidi="ar-SA" w:eastAsia="hr-HR"/>
              </w:rPr>
            </w:pPr>
            <w:r>
              <w:rPr>
                <w:rFonts w:cs="Tahoma" w:eastAsia="Times New Roman" w:hAnsi="Tahoma" w:ascii="Tahoma"/>
                <w:kern w:val="0"/>
                <w:sz w:val="22"/>
                <w:szCs w:val="22"/>
                <w:lang w:bidi="ar-SA" w:eastAsia="hr-HR"/>
              </w:rPr>
              <w:t>7.918,62</w:t>
            </w:r>
          </w:p>
        </w:tc>
        <w:tc>
          <w:tcPr>
            <w:tcW w:type="dxa" w:w="2127"/>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kern w:val="0"/>
                <w:sz w:val="22"/>
                <w:szCs w:val="22"/>
                <w:lang w:bidi="ar-SA" w:eastAsia="hr-HR"/>
              </w:rPr>
            </w:pPr>
            <w:r>
              <w:rPr>
                <w:rFonts w:cs="Tahoma" w:eastAsia="Times New Roman" w:hAnsi="Tahoma" w:ascii="Tahoma"/>
                <w:kern w:val="0"/>
                <w:sz w:val="22"/>
                <w:szCs w:val="22"/>
                <w:lang w:bidi="ar-SA" w:eastAsia="hr-HR"/>
              </w:rPr>
              <w:t>0,00</w:t>
            </w:r>
          </w:p>
        </w:tc>
      </w:tr>
      <w:tr w:rsidTr="00BD4F9C" w:rsidR="00A375DA">
        <w:trPr>
          <w:trHeight w:val="398"/>
        </w:trPr>
        <w:tc>
          <w:tcPr>
            <w:tcW w:type="dxa" w:w="675"/>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kern w:val="0"/>
                <w:sz w:val="22"/>
                <w:szCs w:val="22"/>
                <w:lang w:bidi="ar-SA" w:eastAsia="hr-HR"/>
              </w:rPr>
            </w:pPr>
            <w:r>
              <w:rPr>
                <w:rFonts w:cs="Tahoma" w:eastAsia="Times New Roman" w:hAnsi="Tahoma" w:ascii="Tahoma"/>
                <w:kern w:val="0"/>
                <w:sz w:val="22"/>
                <w:szCs w:val="22"/>
                <w:lang w:bidi="ar-SA" w:eastAsia="hr-HR"/>
              </w:rPr>
              <w:t>2.</w:t>
            </w:r>
          </w:p>
        </w:tc>
        <w:tc>
          <w:tcPr>
            <w:tcW w:type="dxa" w:w="4395"/>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kern w:val="0"/>
                <w:sz w:val="22"/>
                <w:szCs w:val="22"/>
                <w:lang w:bidi="ar-SA" w:eastAsia="hr-HR"/>
              </w:rPr>
            </w:pPr>
            <w:r>
              <w:rPr>
                <w:rFonts w:cs="Tahoma" w:eastAsia="Times New Roman" w:hAnsi="Tahoma" w:ascii="Tahoma"/>
                <w:kern w:val="0"/>
                <w:sz w:val="22"/>
                <w:szCs w:val="22"/>
                <w:lang w:bidi="ar-SA" w:eastAsia="hr-HR"/>
              </w:rPr>
              <w:t>Obveze prema dobavljaču</w:t>
            </w:r>
          </w:p>
        </w:tc>
        <w:tc>
          <w:tcPr>
            <w:tcW w:type="dxa" w:w="2409"/>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kern w:val="0"/>
                <w:sz w:val="22"/>
                <w:szCs w:val="22"/>
                <w:lang w:bidi="ar-SA" w:eastAsia="hr-HR"/>
              </w:rPr>
            </w:pPr>
            <w:r>
              <w:rPr>
                <w:rFonts w:cs="Tahoma" w:eastAsia="Times New Roman" w:hAnsi="Tahoma" w:ascii="Tahoma"/>
                <w:kern w:val="0"/>
                <w:sz w:val="22"/>
                <w:szCs w:val="22"/>
                <w:lang w:bidi="ar-SA" w:eastAsia="hr-HR"/>
              </w:rPr>
              <w:t>5.505,10</w:t>
            </w:r>
          </w:p>
        </w:tc>
        <w:tc>
          <w:tcPr>
            <w:tcW w:type="dxa" w:w="2127"/>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kern w:val="0"/>
                <w:sz w:val="22"/>
                <w:szCs w:val="22"/>
                <w:lang w:bidi="ar-SA" w:eastAsia="hr-HR"/>
              </w:rPr>
            </w:pPr>
            <w:r>
              <w:rPr>
                <w:rFonts w:cs="Tahoma" w:eastAsia="Times New Roman" w:hAnsi="Tahoma" w:ascii="Tahoma"/>
                <w:kern w:val="0"/>
                <w:sz w:val="22"/>
                <w:szCs w:val="22"/>
                <w:lang w:bidi="ar-SA" w:eastAsia="hr-HR"/>
              </w:rPr>
              <w:t>0,00</w:t>
            </w:r>
          </w:p>
        </w:tc>
      </w:tr>
      <w:tr w:rsidTr="00BD4F9C" w:rsidR="00A375DA">
        <w:tc>
          <w:tcPr>
            <w:tcW w:type="dxa" w:w="675"/>
            <w:tcBorders>
              <w:top w:space="0" w:sz="6" w:color="000000" w:val="single"/>
              <w:left w:space="0" w:sz="6" w:color="000000" w:val="double"/>
              <w:bottom w:space="0" w:sz="6" w:color="000000" w:val="doub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
                <w:kern w:val="0"/>
                <w:sz w:val="22"/>
                <w:szCs w:val="22"/>
                <w:lang w:bidi="ar-SA" w:eastAsia="hr-HR"/>
              </w:rPr>
            </w:pPr>
          </w:p>
        </w:tc>
        <w:tc>
          <w:tcPr>
            <w:tcW w:type="dxa" w:w="4395"/>
            <w:tcBorders>
              <w:top w:space="0" w:sz="6" w:color="000000" w:val="single"/>
              <w:left w:space="0" w:sz="6" w:color="000000" w:val="single"/>
              <w:bottom w:space="0" w:sz="6" w:color="000000" w:val="doub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both"/>
              <w:textAlignment w:val="auto"/>
              <w:rPr>
                <w:rFonts w:cs="Tahoma" w:eastAsia="Times New Roman" w:hAnsi="Tahoma" w:ascii="Tahoma"/>
                <w:b/>
                <w:kern w:val="0"/>
                <w:sz w:val="22"/>
                <w:szCs w:val="22"/>
                <w:lang w:bidi="ar-SA" w:eastAsia="hr-HR"/>
              </w:rPr>
            </w:pPr>
            <w:r>
              <w:rPr>
                <w:rFonts w:cs="Tahoma" w:eastAsia="Times New Roman" w:hAnsi="Tahoma" w:ascii="Tahoma"/>
                <w:b/>
                <w:kern w:val="0"/>
                <w:sz w:val="22"/>
                <w:szCs w:val="22"/>
                <w:lang w:bidi="ar-SA" w:eastAsia="hr-HR"/>
              </w:rPr>
              <w:t xml:space="preserve"> Ukupno (r.br.1+2)</w:t>
            </w:r>
          </w:p>
        </w:tc>
        <w:tc>
          <w:tcPr>
            <w:tcW w:type="dxa" w:w="2409"/>
            <w:tcBorders>
              <w:top w:space="0" w:sz="6" w:color="000000" w:val="single"/>
              <w:left w:space="0" w:sz="6" w:color="000000" w:val="single"/>
              <w:bottom w:space="0" w:sz="6" w:color="000000" w:val="double"/>
              <w:right w:space="0" w:sz="6" w:color="000000" w:val="sing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b/>
                <w:kern w:val="0"/>
                <w:sz w:val="22"/>
                <w:szCs w:val="22"/>
                <w:lang w:bidi="ar-SA" w:eastAsia="hr-HR"/>
              </w:rPr>
            </w:pPr>
            <w:r>
              <w:rPr>
                <w:rFonts w:cs="Tahoma" w:eastAsia="Times New Roman" w:hAnsi="Tahoma" w:ascii="Tahoma"/>
                <w:b/>
                <w:kern w:val="0"/>
                <w:sz w:val="22"/>
                <w:szCs w:val="22"/>
                <w:lang w:bidi="ar-SA" w:eastAsia="hr-HR"/>
              </w:rPr>
              <w:t>13.423,72</w:t>
            </w:r>
          </w:p>
        </w:tc>
        <w:tc>
          <w:tcPr>
            <w:tcW w:type="dxa" w:w="2127"/>
            <w:tcBorders>
              <w:top w:space="0" w:sz="6" w:color="000000" w:val="single"/>
              <w:left w:space="0" w:sz="6" w:color="000000" w:val="single"/>
              <w:bottom w:space="0" w:sz="6" w:color="000000" w:val="double"/>
              <w:right w:space="0" w:sz="6" w:color="000000" w:val="double"/>
            </w:tcBorders>
            <w:shd w:fill="auto" w:color="auto" w:val="clear"/>
            <w:tcMar>
              <w:top w:type="dxa" w:w="0"/>
              <w:left w:type="dxa" w:w="108"/>
              <w:bottom w:type="dxa" w:w="0"/>
              <w:right w:type="dxa" w:w="108"/>
            </w:tcMar>
          </w:tcPr>
          <w:p w:rsidRDefault="00A375DA" w:rsidP="00BD4F9C" w:rsidR="00A375DA">
            <w:pPr>
              <w:widowControl/>
              <w:suppressAutoHyphens w:val="false"/>
              <w:spacing w:lineRule="auto" w:line="288" w:after="80"/>
              <w:jc w:val="right"/>
              <w:textAlignment w:val="auto"/>
              <w:rPr>
                <w:rFonts w:cs="Tahoma" w:eastAsia="Times New Roman" w:hAnsi="Tahoma" w:ascii="Tahoma"/>
                <w:b/>
                <w:kern w:val="0"/>
                <w:sz w:val="22"/>
                <w:szCs w:val="22"/>
                <w:lang w:bidi="ar-SA" w:eastAsia="hr-HR"/>
              </w:rPr>
            </w:pPr>
            <w:r>
              <w:rPr>
                <w:rFonts w:cs="Tahoma" w:eastAsia="Times New Roman" w:hAnsi="Tahoma" w:ascii="Tahoma"/>
                <w:b/>
                <w:kern w:val="0"/>
                <w:sz w:val="22"/>
                <w:szCs w:val="22"/>
                <w:lang w:bidi="ar-SA" w:eastAsia="hr-HR"/>
              </w:rPr>
              <w:t>0,00</w:t>
            </w:r>
          </w:p>
        </w:tc>
      </w:tr>
    </w:tbl>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pPr>
      <w:r>
        <w:rPr>
          <w:rFonts w:cs="Tahoma" w:eastAsia="Times New Roman" w:hAnsi="Tahoma" w:ascii="Tahoma"/>
          <w:kern w:val="0"/>
          <w:lang w:bidi="ar-SA" w:eastAsia="hr-HR"/>
        </w:rPr>
        <w:t>U početnoj stečajnoj bilanci sredstva na računu iznose 0,00 kn, a na dan 30. 11.2018. iznose 2.680,68 kn. Ova sredstva, budući je provedeno unovčenje cjelokupne imovine tj. stečajne mase, biti će utrošena za podmirenje troškova stečajnog postupka vezanih za zaključenje stečajnog postupka (bankovne usluge za vođenje i zatvaranja računa te troškova izrade završe bilance i predaje obrazaca za zatvaranje stečajnog postupka).</w:t>
      </w: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pPr>
      <w:r>
        <w:rPr>
          <w:rFonts w:cs="Tahoma" w:eastAsia="Times New Roman" w:hAnsi="Tahoma" w:ascii="Tahoma"/>
          <w:kern w:val="0"/>
          <w:lang w:bidi="ar-SA" w:eastAsia="hr-HR"/>
        </w:rPr>
        <w:t xml:space="preserve">Razlika u pozicijama obveza kod početne stečajne bilance i završne stečajne bilance postoji jer su obveze u početnoj stečajnoj bilanci prikazane prema stanju u poslovnim knjigama i prijavljenim tražbinama vjerovnika, dok je stanje obveza u završnoj bilanci rezultat </w:t>
      </w: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r>
        <w:rPr>
          <w:rFonts w:cs="Tahoma" w:eastAsia="Times New Roman" w:hAnsi="Tahoma" w:ascii="Tahoma"/>
          <w:kern w:val="0"/>
          <w:lang w:bidi="ar-SA" w:eastAsia="hr-HR"/>
        </w:rPr>
        <w:lastRenderedPageBreak/>
        <w:t xml:space="preserve">namirenja tražbina stečajnih vjerovnika I. i II. višeg isplatnog reda. </w:t>
      </w:r>
    </w:p>
    <w:p w:rsidRDefault="00A375DA" w:rsidP="00A375DA" w:rsidR="00A375DA">
      <w:pPr>
        <w:widowControl/>
        <w:suppressAutoHyphens w:val="false"/>
        <w:spacing w:lineRule="auto" w:line="288" w:after="80"/>
        <w:jc w:val="both"/>
        <w:textAlignment w:val="auto"/>
        <w:rPr>
          <w:rFonts w:cs="Tahoma" w:eastAsia="Times New Roman" w:hAnsi="Tahoma" w:ascii="Tahoma"/>
          <w:b/>
          <w:kern w:val="0"/>
          <w:u w:val="single"/>
          <w:lang w:bidi="ar-SA" w:eastAsia="hr-HR"/>
        </w:rPr>
      </w:pPr>
      <w:r>
        <w:rPr>
          <w:rFonts w:cs="Tahoma" w:eastAsia="Times New Roman" w:hAnsi="Tahoma" w:ascii="Tahoma"/>
          <w:b/>
          <w:kern w:val="0"/>
          <w:u w:val="single"/>
          <w:lang w:bidi="ar-SA" w:eastAsia="hr-HR"/>
        </w:rPr>
        <w:t xml:space="preserve">III. ZAVRŠNI IZVJEŠTAJ I ZAVRŠNI DIOBNI POPIS </w:t>
      </w: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r>
        <w:rPr>
          <w:rFonts w:cs="Tahoma" w:eastAsia="Times New Roman" w:hAnsi="Tahoma" w:ascii="Tahoma"/>
          <w:kern w:val="0"/>
          <w:lang w:bidi="ar-SA" w:eastAsia="hr-HR"/>
        </w:rPr>
        <w:t xml:space="preserve">U ovom stečajnom postupku u razdoblju od 10.11.2017. do 30.11.2018. godine od ukupno prijavljenih i priznatih tražbina u iznosu od 13.423,72 kn završnom diobom namirene su tražbina vjerovnika I. i II. višeg isplatnog reda u iznosu od ukupno 13.423,72 kn što čini 100,00 % od ukupno priznatih tražbina.  Od toga, tražbina vjerovnika I. višeg isplatnog reda podmirene su u iznosu od 5.519,89 kn, a tražbine vjerovnika II. višeg isplatnog reda u iznosu od 7.903,83 kn, a sve kako je to prikazano u tabeli broj 3. završnog diobenog popisa. </w:t>
      </w:r>
    </w:p>
    <w:p w:rsidRDefault="00A375DA" w:rsidP="00A375DA" w:rsidR="00A375DA">
      <w:pPr>
        <w:widowControl/>
        <w:suppressAutoHyphens w:val="false"/>
        <w:spacing w:lineRule="auto" w:line="288" w:after="80"/>
        <w:jc w:val="both"/>
        <w:textAlignment w:val="auto"/>
        <w:rPr>
          <w:rFonts w:cs="Tahoma" w:eastAsia="Times New Roman" w:hAnsi="Tahoma" w:ascii="Tahoma"/>
          <w:i/>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i/>
          <w:kern w:val="0"/>
          <w:lang w:bidi="ar-SA" w:eastAsia="hr-HR"/>
        </w:rPr>
      </w:pPr>
      <w:r>
        <w:rPr>
          <w:rFonts w:cs="Tahoma" w:eastAsia="Times New Roman" w:hAnsi="Tahoma" w:ascii="Tahoma"/>
          <w:i/>
          <w:kern w:val="0"/>
          <w:lang w:bidi="ar-SA" w:eastAsia="hr-HR"/>
        </w:rPr>
        <w:t>Tabela 3.</w:t>
      </w:r>
    </w:p>
    <w:tbl>
      <w:tblPr>
        <w:tblW w:type="dxa" w:w="10490"/>
        <w:tblInd w:type="dxa" w:w="-5"/>
        <w:tblCellMar>
          <w:left w:type="dxa" w:w="10"/>
          <w:right w:type="dxa" w:w="10"/>
        </w:tblCellMar>
        <w:tblLook w:val="0000" w:noVBand="0" w:noHBand="0" w:lastColumn="0" w:firstColumn="0" w:lastRow="0" w:firstRow="0"/>
      </w:tblPr>
      <w:tblGrid>
        <w:gridCol w:w="748"/>
        <w:gridCol w:w="3788"/>
        <w:gridCol w:w="1843"/>
        <w:gridCol w:w="1638"/>
        <w:gridCol w:w="1314"/>
        <w:gridCol w:w="1159"/>
      </w:tblGrid>
      <w:tr w:rsidTr="00BD4F9C" w:rsidR="00A375DA">
        <w:trPr>
          <w:trHeight w:val="990"/>
        </w:trPr>
        <w:tc>
          <w:tcPr>
            <w:tcW w:type="dxa" w:w="748"/>
            <w:tcBorders>
              <w:top w:space="0" w:sz="4" w:color="000000" w:val="single"/>
              <w:left w:space="0" w:sz="4" w:color="000000" w:val="single"/>
              <w:bottom w:space="0" w:sz="4" w:color="000000" w:val="single"/>
              <w:right w:space="0" w:sz="4" w:color="000000" w:val="single"/>
            </w:tcBorders>
            <w:shd w:fill="C0C0C0" w:color="auto" w:val="clear"/>
            <w:tcMar>
              <w:top w:type="dxa" w:w="0"/>
              <w:left w:type="dxa" w:w="108"/>
              <w:bottom w:type="dxa" w:w="0"/>
              <w:right w:type="dxa" w:w="108"/>
            </w:tcMar>
            <w:vAlign w:val="center"/>
          </w:tcPr>
          <w:p w:rsidRDefault="00A375DA" w:rsidP="00BD4F9C" w:rsidR="00A375DA">
            <w:pPr>
              <w:jc w:val="center"/>
              <w:rPr>
                <w:rFonts w:cs="Tahoma" w:hAnsi="Tahoma" w:ascii="Tahoma"/>
                <w:b/>
                <w:bCs/>
                <w:sz w:val="22"/>
                <w:szCs w:val="22"/>
              </w:rPr>
            </w:pPr>
            <w:r>
              <w:rPr>
                <w:rFonts w:cs="Tahoma" w:hAnsi="Tahoma" w:ascii="Tahoma"/>
                <w:b/>
                <w:bCs/>
                <w:sz w:val="22"/>
                <w:szCs w:val="22"/>
              </w:rPr>
              <w:t xml:space="preserve">R.br. </w:t>
            </w:r>
          </w:p>
        </w:tc>
        <w:tc>
          <w:tcPr>
            <w:tcW w:type="dxa" w:w="3788"/>
            <w:tcBorders>
              <w:top w:space="0" w:sz="4" w:color="000000" w:val="single"/>
              <w:bottom w:space="0" w:sz="4" w:color="000000" w:val="single"/>
              <w:right w:space="0" w:sz="4" w:color="000000" w:val="single"/>
            </w:tcBorders>
            <w:shd w:fill="C0C0C0" w:color="auto" w:val="clear"/>
            <w:noWrap/>
            <w:tcMar>
              <w:top w:type="dxa" w:w="0"/>
              <w:left w:type="dxa" w:w="108"/>
              <w:bottom w:type="dxa" w:w="0"/>
              <w:right w:type="dxa" w:w="108"/>
            </w:tcMar>
            <w:vAlign w:val="center"/>
          </w:tcPr>
          <w:p w:rsidRDefault="00A375DA" w:rsidP="00BD4F9C" w:rsidR="00A375DA">
            <w:pPr>
              <w:jc w:val="center"/>
              <w:rPr>
                <w:rFonts w:cs="Tahoma" w:hAnsi="Tahoma" w:ascii="Tahoma"/>
                <w:b/>
                <w:bCs/>
                <w:sz w:val="22"/>
                <w:szCs w:val="22"/>
              </w:rPr>
            </w:pPr>
            <w:r>
              <w:rPr>
                <w:rFonts w:cs="Tahoma" w:hAnsi="Tahoma" w:ascii="Tahoma"/>
                <w:b/>
                <w:bCs/>
                <w:sz w:val="22"/>
                <w:szCs w:val="22"/>
              </w:rPr>
              <w:t xml:space="preserve">Naziv i adresa vjerovnika </w:t>
            </w:r>
          </w:p>
        </w:tc>
        <w:tc>
          <w:tcPr>
            <w:tcW w:type="dxa" w:w="1843"/>
            <w:tcBorders>
              <w:top w:space="0" w:sz="4" w:color="000000" w:val="single"/>
              <w:bottom w:space="0" w:sz="4" w:color="000000" w:val="single"/>
              <w:right w:space="0" w:sz="4" w:color="000000" w:val="single"/>
            </w:tcBorders>
            <w:shd w:fill="C0C0C0" w:color="auto" w:val="clear"/>
            <w:tcMar>
              <w:top w:type="dxa" w:w="0"/>
              <w:left w:type="dxa" w:w="108"/>
              <w:bottom w:type="dxa" w:w="0"/>
              <w:right w:type="dxa" w:w="108"/>
            </w:tcMar>
            <w:vAlign w:val="center"/>
          </w:tcPr>
          <w:p w:rsidRDefault="00A375DA" w:rsidP="00BD4F9C" w:rsidR="00A375DA">
            <w:pPr>
              <w:jc w:val="center"/>
              <w:rPr>
                <w:rFonts w:cs="Tahoma" w:hAnsi="Tahoma" w:ascii="Tahoma"/>
                <w:b/>
                <w:bCs/>
                <w:sz w:val="22"/>
                <w:szCs w:val="22"/>
              </w:rPr>
            </w:pPr>
            <w:r>
              <w:rPr>
                <w:rFonts w:cs="Tahoma" w:hAnsi="Tahoma" w:ascii="Tahoma"/>
                <w:b/>
                <w:bCs/>
                <w:sz w:val="22"/>
                <w:szCs w:val="22"/>
              </w:rPr>
              <w:t xml:space="preserve">Iznos priznate tražbine/kn                                                                                                                                                                                                                     </w:t>
            </w:r>
          </w:p>
        </w:tc>
        <w:tc>
          <w:tcPr>
            <w:tcW w:type="dxa" w:w="1638"/>
            <w:tcBorders>
              <w:top w:space="0" w:sz="4" w:color="000000" w:val="single"/>
              <w:bottom w:space="0" w:sz="4" w:color="000000" w:val="single"/>
              <w:right w:space="0" w:sz="4" w:color="000000" w:val="single"/>
            </w:tcBorders>
            <w:shd w:fill="C0C0C0" w:color="auto" w:val="clear"/>
            <w:tcMar>
              <w:top w:type="dxa" w:w="0"/>
              <w:left w:type="dxa" w:w="108"/>
              <w:bottom w:type="dxa" w:w="0"/>
              <w:right w:type="dxa" w:w="108"/>
            </w:tcMar>
            <w:vAlign w:val="center"/>
          </w:tcPr>
          <w:p w:rsidRDefault="00A375DA" w:rsidP="00BD4F9C" w:rsidR="00A375DA">
            <w:pPr>
              <w:jc w:val="center"/>
              <w:rPr>
                <w:rFonts w:cs="Tahoma" w:hAnsi="Tahoma" w:ascii="Tahoma"/>
                <w:b/>
                <w:bCs/>
                <w:sz w:val="22"/>
                <w:szCs w:val="22"/>
              </w:rPr>
            </w:pPr>
            <w:r>
              <w:rPr>
                <w:rFonts w:cs="Tahoma" w:hAnsi="Tahoma" w:ascii="Tahoma"/>
                <w:b/>
                <w:bCs/>
                <w:sz w:val="22"/>
                <w:szCs w:val="22"/>
              </w:rPr>
              <w:t xml:space="preserve">Iznos namirenja tražbine </w:t>
            </w:r>
          </w:p>
        </w:tc>
        <w:tc>
          <w:tcPr>
            <w:tcW w:type="dxa" w:w="1314"/>
            <w:tcBorders>
              <w:top w:space="0" w:sz="4" w:color="000000" w:val="single"/>
              <w:bottom w:space="0" w:sz="4" w:color="000000" w:val="single"/>
              <w:right w:space="0" w:sz="4" w:color="000000" w:val="single"/>
            </w:tcBorders>
            <w:shd w:fill="C0C0C0" w:color="auto" w:val="clear"/>
            <w:tcMar>
              <w:top w:type="dxa" w:w="0"/>
              <w:left w:type="dxa" w:w="108"/>
              <w:bottom w:type="dxa" w:w="0"/>
              <w:right w:type="dxa" w:w="108"/>
            </w:tcMar>
            <w:vAlign w:val="center"/>
          </w:tcPr>
          <w:p w:rsidRDefault="00A375DA" w:rsidP="00BD4F9C" w:rsidR="00A375DA">
            <w:pPr>
              <w:jc w:val="center"/>
              <w:rPr>
                <w:rFonts w:cs="Tahoma" w:hAnsi="Tahoma" w:ascii="Tahoma"/>
                <w:b/>
                <w:bCs/>
                <w:sz w:val="22"/>
                <w:szCs w:val="22"/>
              </w:rPr>
            </w:pPr>
            <w:r>
              <w:rPr>
                <w:rFonts w:cs="Tahoma" w:hAnsi="Tahoma" w:ascii="Tahoma"/>
                <w:b/>
                <w:bCs/>
                <w:sz w:val="22"/>
                <w:szCs w:val="22"/>
              </w:rPr>
              <w:t>%</w:t>
            </w:r>
          </w:p>
        </w:tc>
        <w:tc>
          <w:tcPr>
            <w:tcW w:type="dxa" w:w="1159"/>
            <w:tcBorders>
              <w:top w:space="0" w:sz="4" w:color="000000" w:val="single"/>
              <w:bottom w:space="0" w:sz="4" w:color="000000" w:val="single"/>
              <w:right w:space="0" w:sz="4" w:color="000000" w:val="single"/>
            </w:tcBorders>
            <w:shd w:fill="C0C0C0" w:color="auto" w:val="clear"/>
            <w:tcMar>
              <w:top w:type="dxa" w:w="0"/>
              <w:left w:type="dxa" w:w="108"/>
              <w:bottom w:type="dxa" w:w="0"/>
              <w:right w:type="dxa" w:w="108"/>
            </w:tcMar>
          </w:tcPr>
          <w:p w:rsidRDefault="00A375DA" w:rsidP="00BD4F9C" w:rsidR="00A375DA">
            <w:pPr>
              <w:jc w:val="center"/>
              <w:rPr>
                <w:rFonts w:cs="Tahoma" w:hAnsi="Tahoma" w:ascii="Tahoma"/>
                <w:b/>
                <w:bCs/>
                <w:sz w:val="22"/>
                <w:szCs w:val="22"/>
              </w:rPr>
            </w:pPr>
            <w:r>
              <w:rPr>
                <w:rFonts w:cs="Tahoma" w:hAnsi="Tahoma" w:ascii="Tahoma"/>
                <w:b/>
                <w:bCs/>
                <w:sz w:val="22"/>
                <w:szCs w:val="22"/>
              </w:rPr>
              <w:t>Ostatak tražbina</w:t>
            </w:r>
          </w:p>
        </w:tc>
      </w:tr>
      <w:tr w:rsidTr="00BD4F9C" w:rsidR="00A375DA">
        <w:trPr>
          <w:trHeight w:val="447"/>
        </w:trPr>
        <w:tc>
          <w:tcPr>
            <w:tcW w:type="dxa" w:w="748"/>
            <w:tcBorders>
              <w:left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center"/>
          </w:tcPr>
          <w:p w:rsidRDefault="00A375DA" w:rsidP="00BD4F9C" w:rsidR="00A375DA">
            <w:pPr>
              <w:jc w:val="center"/>
              <w:rPr>
                <w:rFonts w:cs="Tahoma" w:hAnsi="Tahoma" w:ascii="Tahoma"/>
                <w:sz w:val="22"/>
                <w:szCs w:val="22"/>
              </w:rPr>
            </w:pPr>
            <w:bookmarkStart w:name="_Hlk531870945" w:id="2"/>
            <w:r>
              <w:rPr>
                <w:rFonts w:cs="Tahoma" w:hAnsi="Tahoma" w:ascii="Tahoma"/>
                <w:sz w:val="22"/>
                <w:szCs w:val="22"/>
              </w:rPr>
              <w:t>1.</w:t>
            </w:r>
          </w:p>
        </w:tc>
        <w:tc>
          <w:tcPr>
            <w:tcW w:type="dxa" w:w="3788"/>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375DA" w:rsidP="00BD4F9C" w:rsidR="00A375DA">
            <w:pPr>
              <w:rPr>
                <w:rFonts w:cs="Tahoma" w:hAnsi="Tahoma" w:ascii="Tahoma"/>
                <w:sz w:val="22"/>
                <w:szCs w:val="22"/>
              </w:rPr>
            </w:pPr>
            <w:r>
              <w:rPr>
                <w:rFonts w:cs="Tahoma" w:hAnsi="Tahoma" w:ascii="Tahoma"/>
                <w:sz w:val="22"/>
                <w:szCs w:val="22"/>
              </w:rPr>
              <w:t xml:space="preserve">Ministarstvo financija, Porezna uprava, Područni ured Sjeverna Hrvatska </w:t>
            </w:r>
          </w:p>
        </w:tc>
        <w:tc>
          <w:tcPr>
            <w:tcW w:type="dxa" w:w="1843"/>
            <w:tcBorders>
              <w:bottom w:space="0" w:sz="4" w:color="000000" w:val="single"/>
              <w:right w:space="0" w:sz="4" w:color="000000" w:val="single"/>
            </w:tcBorders>
            <w:shd w:fill="auto" w:color="auto" w:val="clear"/>
            <w:noWrap/>
            <w:tcMar>
              <w:top w:type="dxa" w:w="0"/>
              <w:left w:type="dxa" w:w="108"/>
              <w:bottom w:type="dxa" w:w="0"/>
              <w:right w:type="dxa" w:w="108"/>
            </w:tcMar>
            <w:vAlign w:val="center"/>
          </w:tcPr>
          <w:p w:rsidRDefault="00A375DA" w:rsidP="00BD4F9C" w:rsidR="00A375DA">
            <w:pPr>
              <w:jc w:val="right"/>
              <w:rPr>
                <w:rFonts w:cs="Tahoma" w:hAnsi="Tahoma" w:ascii="Tahoma"/>
                <w:sz w:val="22"/>
                <w:szCs w:val="22"/>
              </w:rPr>
            </w:pPr>
            <w:r>
              <w:rPr>
                <w:rFonts w:cs="Tahoma" w:hAnsi="Tahoma" w:ascii="Tahoma"/>
                <w:sz w:val="22"/>
                <w:szCs w:val="22"/>
              </w:rPr>
              <w:t> 7.918,62</w:t>
            </w:r>
          </w:p>
        </w:tc>
        <w:tc>
          <w:tcPr>
            <w:tcW w:type="dxa" w:w="1638"/>
            <w:tcBorders>
              <w:bottom w:space="0" w:sz="4" w:color="000000" w:val="single"/>
              <w:right w:space="0" w:sz="4" w:color="000000" w:val="single"/>
            </w:tcBorders>
            <w:shd w:fill="auto" w:color="auto" w:val="clear"/>
            <w:noWrap/>
            <w:tcMar>
              <w:top w:type="dxa" w:w="0"/>
              <w:left w:type="dxa" w:w="108"/>
              <w:bottom w:type="dxa" w:w="0"/>
              <w:right w:type="dxa" w:w="108"/>
            </w:tcMar>
            <w:vAlign w:val="center"/>
          </w:tcPr>
          <w:p w:rsidRDefault="00A375DA" w:rsidP="00BD4F9C" w:rsidR="00A375DA">
            <w:pPr>
              <w:jc w:val="right"/>
              <w:rPr>
                <w:rFonts w:cs="Tahoma" w:hAnsi="Tahoma" w:ascii="Tahoma"/>
                <w:sz w:val="22"/>
                <w:szCs w:val="22"/>
              </w:rPr>
            </w:pPr>
            <w:r>
              <w:rPr>
                <w:rFonts w:cs="Tahoma" w:hAnsi="Tahoma" w:ascii="Tahoma"/>
                <w:sz w:val="22"/>
                <w:szCs w:val="22"/>
              </w:rPr>
              <w:t>7.918,62</w:t>
            </w:r>
          </w:p>
        </w:tc>
        <w:tc>
          <w:tcPr>
            <w:tcW w:type="dxa" w:w="1314"/>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375DA" w:rsidP="00BD4F9C" w:rsidR="00A375DA">
            <w:pPr>
              <w:jc w:val="right"/>
              <w:rPr>
                <w:rFonts w:cs="Tahoma" w:hAnsi="Tahoma" w:ascii="Tahoma"/>
                <w:sz w:val="22"/>
                <w:szCs w:val="22"/>
              </w:rPr>
            </w:pPr>
            <w:r>
              <w:rPr>
                <w:rFonts w:cs="Tahoma" w:hAnsi="Tahoma" w:ascii="Tahoma"/>
                <w:sz w:val="22"/>
                <w:szCs w:val="22"/>
              </w:rPr>
              <w:t>100,00%</w:t>
            </w:r>
          </w:p>
        </w:tc>
        <w:tc>
          <w:tcPr>
            <w:tcW w:type="dxa" w:w="1159"/>
            <w:tcBorders>
              <w:bottom w:space="0" w:sz="4" w:color="000000" w:val="single"/>
              <w:right w:space="0" w:sz="4" w:color="000000" w:val="single"/>
            </w:tcBorders>
            <w:shd w:fill="auto" w:color="auto" w:val="clear"/>
            <w:tcMar>
              <w:top w:type="dxa" w:w="0"/>
              <w:left w:type="dxa" w:w="108"/>
              <w:bottom w:type="dxa" w:w="0"/>
              <w:right w:type="dxa" w:w="108"/>
            </w:tcMar>
          </w:tcPr>
          <w:p w:rsidRDefault="00A375DA" w:rsidP="00BD4F9C" w:rsidR="00A375DA">
            <w:pPr>
              <w:jc w:val="right"/>
              <w:rPr>
                <w:rFonts w:cs="Tahoma" w:hAnsi="Tahoma" w:ascii="Tahoma"/>
                <w:sz w:val="22"/>
                <w:szCs w:val="22"/>
              </w:rPr>
            </w:pPr>
            <w:r>
              <w:rPr>
                <w:rFonts w:cs="Tahoma" w:hAnsi="Tahoma" w:ascii="Tahoma"/>
                <w:sz w:val="22"/>
                <w:szCs w:val="22"/>
              </w:rPr>
              <w:t>0,00</w:t>
            </w:r>
          </w:p>
        </w:tc>
      </w:tr>
      <w:bookmarkEnd w:id="2"/>
      <w:tr w:rsidTr="00BD4F9C" w:rsidR="00A375DA">
        <w:trPr>
          <w:trHeight w:val="660"/>
        </w:trPr>
        <w:tc>
          <w:tcPr>
            <w:tcW w:type="dxa" w:w="748"/>
            <w:tcBorders>
              <w:left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center"/>
          </w:tcPr>
          <w:p w:rsidRDefault="00A375DA" w:rsidP="00BD4F9C" w:rsidR="00A375DA">
            <w:pPr>
              <w:jc w:val="center"/>
              <w:rPr>
                <w:rFonts w:cs="Tahoma" w:hAnsi="Tahoma" w:ascii="Tahoma"/>
                <w:sz w:val="22"/>
                <w:szCs w:val="22"/>
              </w:rPr>
            </w:pPr>
            <w:r>
              <w:rPr>
                <w:rFonts w:cs="Tahoma" w:hAnsi="Tahoma" w:ascii="Tahoma"/>
                <w:sz w:val="22"/>
                <w:szCs w:val="22"/>
              </w:rPr>
              <w:t>2.</w:t>
            </w:r>
          </w:p>
        </w:tc>
        <w:tc>
          <w:tcPr>
            <w:tcW w:type="dxa" w:w="3788"/>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375DA" w:rsidP="00BD4F9C" w:rsidR="00A375DA">
            <w:pPr>
              <w:rPr>
                <w:rFonts w:cs="Tahoma" w:hAnsi="Tahoma" w:ascii="Tahoma"/>
                <w:sz w:val="22"/>
                <w:szCs w:val="22"/>
              </w:rPr>
            </w:pPr>
            <w:r>
              <w:rPr>
                <w:rFonts w:cs="Tahoma" w:hAnsi="Tahoma" w:ascii="Tahoma"/>
                <w:sz w:val="22"/>
                <w:szCs w:val="22"/>
              </w:rPr>
              <w:t>Raiffeisen bank Austria d.d. Zagreb, Magazinska cesta 69, OIB: 63056966535</w:t>
            </w:r>
          </w:p>
        </w:tc>
        <w:tc>
          <w:tcPr>
            <w:tcW w:type="dxa" w:w="1843"/>
            <w:tcBorders>
              <w:bottom w:space="0" w:sz="4" w:color="000000" w:val="single"/>
              <w:right w:space="0" w:sz="4" w:color="000000" w:val="single"/>
            </w:tcBorders>
            <w:shd w:fill="auto" w:color="auto" w:val="clear"/>
            <w:noWrap/>
            <w:tcMar>
              <w:top w:type="dxa" w:w="0"/>
              <w:left w:type="dxa" w:w="108"/>
              <w:bottom w:type="dxa" w:w="0"/>
              <w:right w:type="dxa" w:w="108"/>
            </w:tcMar>
            <w:vAlign w:val="center"/>
          </w:tcPr>
          <w:p w:rsidRDefault="00A375DA" w:rsidP="00BD4F9C" w:rsidR="00A375DA">
            <w:pPr>
              <w:jc w:val="right"/>
              <w:rPr>
                <w:rFonts w:cs="Tahoma" w:hAnsi="Tahoma" w:ascii="Tahoma"/>
                <w:sz w:val="22"/>
                <w:szCs w:val="22"/>
              </w:rPr>
            </w:pPr>
            <w:r>
              <w:rPr>
                <w:rFonts w:cs="Tahoma" w:hAnsi="Tahoma" w:ascii="Tahoma"/>
                <w:sz w:val="22"/>
                <w:szCs w:val="22"/>
              </w:rPr>
              <w:t>5.505,10</w:t>
            </w:r>
          </w:p>
        </w:tc>
        <w:tc>
          <w:tcPr>
            <w:tcW w:type="dxa" w:w="1638"/>
            <w:tcBorders>
              <w:bottom w:space="0" w:sz="4" w:color="000000" w:val="single"/>
              <w:right w:space="0" w:sz="4" w:color="000000" w:val="single"/>
            </w:tcBorders>
            <w:shd w:fill="auto" w:color="auto" w:val="clear"/>
            <w:noWrap/>
            <w:tcMar>
              <w:top w:type="dxa" w:w="0"/>
              <w:left w:type="dxa" w:w="108"/>
              <w:bottom w:type="dxa" w:w="0"/>
              <w:right w:type="dxa" w:w="108"/>
            </w:tcMar>
            <w:vAlign w:val="center"/>
          </w:tcPr>
          <w:p w:rsidRDefault="00A375DA" w:rsidP="00BD4F9C" w:rsidR="00A375DA">
            <w:pPr>
              <w:jc w:val="right"/>
              <w:rPr>
                <w:rFonts w:cs="Tahoma" w:hAnsi="Tahoma" w:ascii="Tahoma"/>
                <w:sz w:val="22"/>
                <w:szCs w:val="22"/>
              </w:rPr>
            </w:pPr>
            <w:r>
              <w:rPr>
                <w:rFonts w:cs="Tahoma" w:hAnsi="Tahoma" w:ascii="Tahoma"/>
                <w:sz w:val="22"/>
                <w:szCs w:val="22"/>
              </w:rPr>
              <w:t>5.505,10</w:t>
            </w:r>
          </w:p>
        </w:tc>
        <w:tc>
          <w:tcPr>
            <w:tcW w:type="dxa" w:w="1314"/>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375DA" w:rsidP="00BD4F9C" w:rsidR="00A375DA">
            <w:pPr>
              <w:jc w:val="right"/>
              <w:rPr>
                <w:rFonts w:cs="Tahoma" w:hAnsi="Tahoma" w:ascii="Tahoma"/>
                <w:sz w:val="22"/>
                <w:szCs w:val="22"/>
              </w:rPr>
            </w:pPr>
            <w:r>
              <w:rPr>
                <w:rFonts w:cs="Tahoma" w:hAnsi="Tahoma" w:ascii="Tahoma"/>
                <w:sz w:val="22"/>
                <w:szCs w:val="22"/>
              </w:rPr>
              <w:t>100,00%</w:t>
            </w:r>
          </w:p>
        </w:tc>
        <w:tc>
          <w:tcPr>
            <w:tcW w:type="dxa" w:w="1159"/>
            <w:tcBorders>
              <w:bottom w:space="0" w:sz="4" w:color="000000" w:val="single"/>
              <w:right w:space="0" w:sz="4" w:color="000000" w:val="single"/>
            </w:tcBorders>
            <w:shd w:fill="auto" w:color="auto" w:val="clear"/>
            <w:tcMar>
              <w:top w:type="dxa" w:w="0"/>
              <w:left w:type="dxa" w:w="108"/>
              <w:bottom w:type="dxa" w:w="0"/>
              <w:right w:type="dxa" w:w="108"/>
            </w:tcMar>
          </w:tcPr>
          <w:p w:rsidRDefault="00A375DA" w:rsidP="00BD4F9C" w:rsidR="00A375DA">
            <w:pPr>
              <w:jc w:val="right"/>
              <w:rPr>
                <w:rFonts w:cs="Tahoma" w:hAnsi="Tahoma" w:ascii="Tahoma"/>
                <w:sz w:val="22"/>
                <w:szCs w:val="22"/>
              </w:rPr>
            </w:pPr>
            <w:r>
              <w:rPr>
                <w:rFonts w:cs="Tahoma" w:hAnsi="Tahoma" w:ascii="Tahoma"/>
                <w:sz w:val="22"/>
                <w:szCs w:val="22"/>
              </w:rPr>
              <w:t>0,00</w:t>
            </w:r>
          </w:p>
        </w:tc>
      </w:tr>
      <w:tr w:rsidTr="00BD4F9C" w:rsidR="00A375DA">
        <w:trPr>
          <w:trHeight w:val="382"/>
        </w:trPr>
        <w:tc>
          <w:tcPr>
            <w:tcW w:type="dxa" w:w="748"/>
            <w:tcBorders>
              <w:left w:space="0" w:sz="4" w:color="000000" w:val="single"/>
              <w:bottom w:space="0" w:sz="4" w:color="000000" w:val="single"/>
              <w:right w:space="0" w:sz="4" w:color="000000" w:val="single"/>
            </w:tcBorders>
            <w:shd w:fill="D9D9D9" w:color="auto" w:val="clear"/>
            <w:noWrap/>
            <w:tcMar>
              <w:top w:type="dxa" w:w="0"/>
              <w:left w:type="dxa" w:w="108"/>
              <w:bottom w:type="dxa" w:w="0"/>
              <w:right w:type="dxa" w:w="108"/>
            </w:tcMar>
            <w:vAlign w:val="center"/>
          </w:tcPr>
          <w:p w:rsidRDefault="00A375DA" w:rsidP="00BD4F9C" w:rsidR="00A375DA">
            <w:pPr>
              <w:jc w:val="center"/>
              <w:rPr>
                <w:rFonts w:cs="Tahoma" w:hAnsi="Tahoma" w:ascii="Tahoma"/>
                <w:b/>
                <w:bCs/>
                <w:sz w:val="22"/>
                <w:szCs w:val="22"/>
              </w:rPr>
            </w:pPr>
            <w:r>
              <w:rPr>
                <w:rFonts w:cs="Tahoma" w:hAnsi="Tahoma" w:ascii="Tahoma"/>
                <w:b/>
                <w:bCs/>
                <w:sz w:val="22"/>
                <w:szCs w:val="22"/>
              </w:rPr>
              <w:t> </w:t>
            </w:r>
          </w:p>
        </w:tc>
        <w:tc>
          <w:tcPr>
            <w:tcW w:type="dxa" w:w="3788"/>
            <w:tcBorders>
              <w:bottom w:space="0" w:sz="4" w:color="000000" w:val="single"/>
              <w:right w:space="0" w:sz="4" w:color="000000" w:val="single"/>
            </w:tcBorders>
            <w:shd w:fill="D9D9D9" w:color="auto" w:val="clear"/>
            <w:tcMar>
              <w:top w:type="dxa" w:w="0"/>
              <w:left w:type="dxa" w:w="108"/>
              <w:bottom w:type="dxa" w:w="0"/>
              <w:right w:type="dxa" w:w="108"/>
            </w:tcMar>
            <w:vAlign w:val="center"/>
          </w:tcPr>
          <w:p w:rsidRDefault="00A375DA" w:rsidP="00BD4F9C" w:rsidR="00A375DA">
            <w:pPr>
              <w:rPr>
                <w:rFonts w:cs="Tahoma" w:hAnsi="Tahoma" w:ascii="Tahoma"/>
                <w:b/>
                <w:bCs/>
                <w:sz w:val="22"/>
                <w:szCs w:val="22"/>
              </w:rPr>
            </w:pPr>
            <w:r>
              <w:rPr>
                <w:rFonts w:cs="Tahoma" w:hAnsi="Tahoma" w:ascii="Tahoma"/>
                <w:b/>
                <w:bCs/>
                <w:sz w:val="22"/>
                <w:szCs w:val="22"/>
              </w:rPr>
              <w:t xml:space="preserve">Ukupno namirenje tražbina vjerovnika </w:t>
            </w:r>
          </w:p>
        </w:tc>
        <w:tc>
          <w:tcPr>
            <w:tcW w:type="dxa" w:w="1843"/>
            <w:tcBorders>
              <w:bottom w:space="0" w:sz="4" w:color="000000" w:val="single"/>
              <w:right w:space="0" w:sz="4" w:color="000000" w:val="single"/>
            </w:tcBorders>
            <w:shd w:fill="D9D9D9" w:color="auto" w:val="clear"/>
            <w:tcMar>
              <w:top w:type="dxa" w:w="0"/>
              <w:left w:type="dxa" w:w="108"/>
              <w:bottom w:type="dxa" w:w="0"/>
              <w:right w:type="dxa" w:w="108"/>
            </w:tcMar>
            <w:vAlign w:val="center"/>
          </w:tcPr>
          <w:p w:rsidRDefault="00A375DA" w:rsidP="00BD4F9C" w:rsidR="00A375DA">
            <w:pPr>
              <w:jc w:val="right"/>
            </w:pPr>
            <w:r>
              <w:rPr>
                <w:rFonts w:cs="Tahoma" w:hAnsi="Tahoma" w:ascii="Tahoma"/>
                <w:b/>
                <w:bCs/>
                <w:sz w:val="22"/>
                <w:szCs w:val="22"/>
              </w:rPr>
              <w:t xml:space="preserve">               13.423,72</w:t>
            </w:r>
          </w:p>
        </w:tc>
        <w:tc>
          <w:tcPr>
            <w:tcW w:type="dxa" w:w="1638"/>
            <w:tcBorders>
              <w:bottom w:space="0" w:sz="4" w:color="000000" w:val="single"/>
              <w:right w:space="0" w:sz="4" w:color="000000" w:val="single"/>
            </w:tcBorders>
            <w:shd w:fill="D9D9D9" w:color="auto" w:val="clear"/>
            <w:tcMar>
              <w:top w:type="dxa" w:w="0"/>
              <w:left w:type="dxa" w:w="108"/>
              <w:bottom w:type="dxa" w:w="0"/>
              <w:right w:type="dxa" w:w="108"/>
            </w:tcMar>
            <w:vAlign w:val="center"/>
          </w:tcPr>
          <w:p w:rsidRDefault="00A375DA" w:rsidP="00BD4F9C" w:rsidR="00A375DA">
            <w:pPr>
              <w:jc w:val="right"/>
            </w:pPr>
            <w:r>
              <w:rPr>
                <w:rFonts w:cs="Tahoma" w:hAnsi="Tahoma" w:ascii="Tahoma"/>
                <w:b/>
                <w:bCs/>
                <w:sz w:val="22"/>
                <w:szCs w:val="22"/>
              </w:rPr>
              <w:t xml:space="preserve">                13.423,72</w:t>
            </w:r>
          </w:p>
        </w:tc>
        <w:tc>
          <w:tcPr>
            <w:tcW w:type="dxa" w:w="1314"/>
            <w:tcBorders>
              <w:bottom w:space="0" w:sz="4" w:color="000000" w:val="single"/>
              <w:right w:space="0" w:sz="4" w:color="000000" w:val="single"/>
            </w:tcBorders>
            <w:shd w:fill="D9D9D9" w:color="auto" w:val="clear"/>
            <w:tcMar>
              <w:top w:type="dxa" w:w="0"/>
              <w:left w:type="dxa" w:w="108"/>
              <w:bottom w:type="dxa" w:w="0"/>
              <w:right w:type="dxa" w:w="108"/>
            </w:tcMar>
            <w:vAlign w:val="center"/>
          </w:tcPr>
          <w:p w:rsidRDefault="00A375DA" w:rsidP="00BD4F9C" w:rsidR="00A375DA">
            <w:pPr>
              <w:jc w:val="right"/>
              <w:rPr>
                <w:rFonts w:cs="Tahoma" w:hAnsi="Tahoma" w:ascii="Tahoma"/>
                <w:b/>
                <w:bCs/>
                <w:sz w:val="22"/>
                <w:szCs w:val="22"/>
              </w:rPr>
            </w:pPr>
            <w:r>
              <w:rPr>
                <w:rFonts w:cs="Tahoma" w:hAnsi="Tahoma" w:ascii="Tahoma"/>
                <w:b/>
                <w:bCs/>
                <w:sz w:val="22"/>
                <w:szCs w:val="22"/>
              </w:rPr>
              <w:t xml:space="preserve">  100,00 %</w:t>
            </w:r>
          </w:p>
        </w:tc>
        <w:tc>
          <w:tcPr>
            <w:tcW w:type="dxa" w:w="1159"/>
            <w:tcBorders>
              <w:bottom w:space="0" w:sz="4" w:color="000000" w:val="single"/>
              <w:right w:space="0" w:sz="4" w:color="000000" w:val="single"/>
            </w:tcBorders>
            <w:shd w:fill="D9D9D9" w:color="auto" w:val="clear"/>
            <w:tcMar>
              <w:top w:type="dxa" w:w="0"/>
              <w:left w:type="dxa" w:w="108"/>
              <w:bottom w:type="dxa" w:w="0"/>
              <w:right w:type="dxa" w:w="108"/>
            </w:tcMar>
          </w:tcPr>
          <w:p w:rsidRDefault="00A375DA" w:rsidP="00BD4F9C" w:rsidR="00A375DA">
            <w:pPr>
              <w:jc w:val="right"/>
              <w:rPr>
                <w:rFonts w:cs="Tahoma" w:hAnsi="Tahoma" w:ascii="Tahoma"/>
                <w:b/>
                <w:bCs/>
                <w:sz w:val="22"/>
                <w:szCs w:val="22"/>
              </w:rPr>
            </w:pPr>
            <w:r>
              <w:rPr>
                <w:rFonts w:cs="Tahoma" w:hAnsi="Tahoma" w:ascii="Tahoma"/>
                <w:b/>
                <w:bCs/>
                <w:sz w:val="22"/>
                <w:szCs w:val="22"/>
              </w:rPr>
              <w:t xml:space="preserve">                    0,00</w:t>
            </w:r>
          </w:p>
        </w:tc>
      </w:tr>
    </w:tbl>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pPr>
      <w:r>
        <w:rPr>
          <w:rFonts w:cs="Tahoma" w:eastAsia="Times New Roman" w:hAnsi="Tahoma" w:ascii="Tahoma"/>
          <w:kern w:val="0"/>
          <w:lang w:bidi="ar-SA" w:eastAsia="hr-HR"/>
        </w:rPr>
        <w:t>•</w:t>
      </w:r>
      <w:r>
        <w:rPr>
          <w:rFonts w:cs="Tahoma" w:eastAsia="Times New Roman" w:hAnsi="Tahoma" w:ascii="Tahoma"/>
          <w:kern w:val="0"/>
          <w:lang w:bidi="ar-SA" w:eastAsia="hr-HR"/>
        </w:rPr>
        <w:tab/>
        <w:t>Održano je ispitno ročište 30.01.2018. godine na kojem su ispitane tražbine stečajnih vjerovnika, a na izvještajnom ročištu utvrđena početna stečajna bilanca (prikaz imovine i obveza) sukladno čl.223. Stečajnog zakona;</w:t>
      </w: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r>
        <w:rPr>
          <w:rFonts w:cs="Tahoma" w:eastAsia="Times New Roman" w:hAnsi="Tahoma" w:ascii="Tahoma"/>
          <w:kern w:val="0"/>
          <w:lang w:bidi="ar-SA" w:eastAsia="hr-HR"/>
        </w:rPr>
        <w:t>•</w:t>
      </w:r>
      <w:r>
        <w:rPr>
          <w:rFonts w:cs="Tahoma" w:eastAsia="Times New Roman" w:hAnsi="Tahoma" w:ascii="Tahoma"/>
          <w:kern w:val="0"/>
          <w:lang w:bidi="ar-SA" w:eastAsia="hr-HR"/>
        </w:rPr>
        <w:tab/>
        <w:t>Unovčena je stečajna masa sukladno čl.229. Stečajnog zakona putem javnih dražbi;</w:t>
      </w: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r>
        <w:rPr>
          <w:rFonts w:cs="Tahoma" w:eastAsia="Times New Roman" w:hAnsi="Tahoma" w:ascii="Tahoma"/>
          <w:kern w:val="0"/>
          <w:lang w:bidi="ar-SA" w:eastAsia="hr-HR"/>
        </w:rPr>
        <w:t>•</w:t>
      </w:r>
      <w:r>
        <w:rPr>
          <w:rFonts w:cs="Tahoma" w:eastAsia="Times New Roman" w:hAnsi="Tahoma" w:ascii="Tahoma"/>
          <w:kern w:val="0"/>
          <w:lang w:bidi="ar-SA" w:eastAsia="hr-HR"/>
        </w:rPr>
        <w:tab/>
        <w:t>Izvršeno je usklađenje u poslovnim knjigama stečajnog dužnika prema procjeni              vrijednosti imovine i prema stvarnim obvezama stečajnog dužnika prema prijavljenim i                   priznatim tražbinama;</w:t>
      </w: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pPr>
      <w:r>
        <w:rPr>
          <w:rFonts w:cs="Tahoma" w:eastAsia="Times New Roman" w:hAnsi="Tahoma" w:ascii="Tahoma"/>
          <w:kern w:val="0"/>
          <w:lang w:bidi="ar-SA" w:eastAsia="hr-HR"/>
        </w:rPr>
        <w:lastRenderedPageBreak/>
        <w:t>•</w:t>
      </w:r>
      <w:r>
        <w:rPr>
          <w:rFonts w:cs="Tahoma" w:eastAsia="Times New Roman" w:hAnsi="Tahoma" w:ascii="Tahoma"/>
          <w:kern w:val="0"/>
          <w:lang w:bidi="ar-SA" w:eastAsia="hr-HR"/>
        </w:rPr>
        <w:tab/>
      </w:r>
      <w:bookmarkStart w:name="_Hlk481745800" w:id="3"/>
      <w:r>
        <w:rPr>
          <w:rFonts w:cs="Tahoma" w:eastAsia="Times New Roman" w:hAnsi="Tahoma" w:ascii="Tahoma"/>
          <w:kern w:val="0"/>
          <w:lang w:bidi="ar-SA" w:eastAsia="hr-HR"/>
        </w:rPr>
        <w:t>Prema djelomičnoj diobi ujedno i završnoj diobi stečajne mase (po unovčenju imovine u stečajnom postupku) podmirene su tražbine I. i II. višeg isplatnog reda, te nastale i dospjele obveze stečajne mase (troškovi stečajnog postupka i ostale obveze stečajne mase) od dana otvaranja stečaja 27.10.2016. do 30.11.2018. u iznosu od 39.219,32 kn;</w:t>
      </w: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bookmarkEnd w:id="3"/>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b/>
          <w:kern w:val="0"/>
          <w:u w:val="single"/>
          <w:lang w:bidi="ar-SA" w:eastAsia="hr-HR"/>
        </w:rPr>
      </w:pPr>
      <w:r>
        <w:rPr>
          <w:rFonts w:cs="Tahoma" w:eastAsia="Times New Roman" w:hAnsi="Tahoma" w:ascii="Tahoma"/>
          <w:b/>
          <w:kern w:val="0"/>
          <w:u w:val="single"/>
          <w:lang w:bidi="ar-SA" w:eastAsia="hr-HR"/>
        </w:rPr>
        <w:t>IV. ZAVRŠNI DIOBNI POPIS</w:t>
      </w: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pPr>
      <w:r>
        <w:rPr>
          <w:rFonts w:cs="Tahoma" w:eastAsia="Times New Roman" w:hAnsi="Tahoma" w:ascii="Tahoma"/>
          <w:kern w:val="0"/>
          <w:lang w:bidi="ar-SA" w:eastAsia="hr-HR"/>
        </w:rPr>
        <w:t>Kako je u ovom stečajnom postupku unovčena sva stečajna masa, a završnim računom prikazano podmirenje svih obveza stečajne mase te završnom diobom prikazano namirenje tražbina vjerovnika I. i II. višeg isplatnog reda, ispunjeni su uvjeti za zaključenje ovog stečajnog postupka, pa stoga stečajni upravitelj predlaže:</w:t>
      </w: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pPr>
      <w:r>
        <w:rPr>
          <w:rFonts w:cs="Tahoma" w:eastAsia="Times New Roman" w:hAnsi="Tahoma" w:ascii="Tahoma"/>
          <w:kern w:val="0"/>
          <w:lang w:bidi="ar-SA" w:eastAsia="hr-HR"/>
        </w:rPr>
        <w:t xml:space="preserve">-  da se na završnom ročištu dana 8.1.2019.g. prihvati završni račun, a temeljem čl. 286.st.1.  SZ-a, donese rješenje o zaključenju stečajnog postupka. </w:t>
      </w: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center"/>
        <w:textAlignment w:val="auto"/>
        <w:rPr>
          <w:rFonts w:cs="Tahoma" w:eastAsia="Times New Roman" w:hAnsi="Tahoma" w:ascii="Tahoma"/>
          <w:kern w:val="0"/>
          <w:lang w:bidi="ar-SA" w:eastAsia="hr-HR"/>
        </w:rPr>
      </w:pPr>
      <w:r>
        <w:rPr>
          <w:rFonts w:cs="Tahoma" w:eastAsia="Times New Roman" w:hAnsi="Tahoma" w:ascii="Tahoma"/>
          <w:kern w:val="0"/>
          <w:lang w:bidi="ar-SA" w:eastAsia="hr-HR"/>
        </w:rPr>
        <w:t xml:space="preserve">                                                                   EMMA VITA d.o.o. u stečaju</w:t>
      </w:r>
    </w:p>
    <w:p w:rsidRDefault="00A375DA" w:rsidP="00A375DA" w:rsidR="00A375DA">
      <w:pPr>
        <w:widowControl/>
        <w:suppressAutoHyphens w:val="false"/>
        <w:spacing w:lineRule="auto" w:line="288" w:after="80"/>
        <w:jc w:val="center"/>
        <w:textAlignment w:val="auto"/>
        <w:rPr>
          <w:rFonts w:cs="Tahoma" w:eastAsia="Times New Roman" w:hAnsi="Tahoma" w:ascii="Tahoma"/>
          <w:kern w:val="0"/>
          <w:lang w:bidi="ar-SA" w:eastAsia="hr-HR"/>
        </w:rPr>
      </w:pPr>
      <w:r>
        <w:rPr>
          <w:rFonts w:cs="Tahoma" w:eastAsia="Times New Roman" w:hAnsi="Tahoma" w:ascii="Tahoma"/>
          <w:kern w:val="0"/>
          <w:lang w:bidi="ar-SA" w:eastAsia="hr-HR"/>
        </w:rPr>
        <w:t xml:space="preserve">                                                                    Zvonko Hrain, stečajni upravitelj</w:t>
      </w:r>
    </w:p>
    <w:p w:rsidRDefault="00A375DA" w:rsidP="00A375DA" w:rsidR="00A375DA">
      <w:pPr>
        <w:widowControl/>
        <w:suppressAutoHyphens w:val="false"/>
        <w:spacing w:lineRule="auto" w:line="288" w:after="80"/>
        <w:jc w:val="right"/>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A375DA" w:rsidP="00A375DA" w:rsidR="00A375DA">
      <w:pPr>
        <w:widowControl/>
        <w:suppressAutoHyphens w:val="false"/>
        <w:spacing w:lineRule="auto" w:line="288" w:after="80"/>
        <w:jc w:val="both"/>
        <w:textAlignment w:val="auto"/>
        <w:rPr>
          <w:rFonts w:cs="Tahoma" w:eastAsia="Times New Roman" w:hAnsi="Tahoma" w:ascii="Tahoma"/>
          <w:kern w:val="0"/>
          <w:lang w:bidi="ar-SA" w:eastAsia="hr-HR"/>
        </w:rPr>
      </w:pPr>
    </w:p>
    <w:p w:rsidRDefault="004D2C6D" w:rsidR="004D2C6D"/>
    <w:sectPr w:rsidR="004D2C6D">
      <w:pgSz w:h="16838" w:w="11906"/>
      <w:pgMar w:gutter="0" w:footer="720" w:header="720" w:left="1134" w:bottom="1134" w:right="1134" w:top="1134"/>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6151"/>
    <w:rsid w:val="00262778"/>
    <w:rsid w:val="004D2C6D"/>
    <w:rsid w:val="00736151"/>
    <w:rsid w:val="00A375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rsid w:val="00A375DA"/>
    <w:pPr>
      <w:widowControl w:val="false"/>
      <w:suppressAutoHyphens/>
      <w:autoSpaceDN w:val="false"/>
      <w:textAlignment w:val="baseline"/>
    </w:pPr>
    <w:rPr>
      <w:rFonts w:cs="Mangal" w:eastAsia="SimSun" w:hAnsi="Times New Roman" w:ascii="Times New Roman"/>
      <w:kern w:val="3"/>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rsid w:val="00A375DA"/>
    <w:pPr>
      <w:widowControl w:val="false"/>
      <w:suppressAutoHyphens/>
      <w:autoSpaceDN w:val="false"/>
      <w:textAlignment w:val="baseline"/>
    </w:pPr>
    <w:rPr>
      <w:rFonts w:cs="Mangal" w:eastAsia="SimSun" w:hAnsi="Times New Roman" w:ascii="Times New Roman"/>
      <w:kern w:val="3"/>
      <w:sz w:val="24"/>
      <w:szCs w:val="24"/>
      <w:lang w:bidi="hi-IN" w:eastAsia="zh-CN"/>
    </w:rPr>
  </w:style>
  <w:style w:styleId="Tekstrezerviranogmjesta" w:type="character">
    <w:name w:val="Placeholder Text"/>
    <w:basedOn w:val="Zadanifontodlomka"/>
    <w:uiPriority w:val="99"/>
    <w:semiHidden/>
    <w:rsid w:val="00262778"/>
    <w:rPr>
      <w:color w:val="808080"/>
      <w:bdr w:space="0" w:sz="0" w:color="auto" w:val="none"/>
      <w:shd w:fill="auto" w:color="auto" w:val="clear"/>
    </w:rPr>
  </w:style>
  <w:style w:customStyle="true" w:styleId="eSPISCCParagraphDefaultFont" w:type="character">
    <w:name w:val="eSPIS_CC_Paragraph Default Font"/>
    <w:basedOn w:val="Zadanifontodlomka"/>
    <w:rsid w:val="0026277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62778"/>
    <w:rPr>
      <w:b/>
      <w:bdr w:space="0" w:sz="0" w:color="auto" w:val="none"/>
      <w:shd w:fill="FFFFCC" w:color="auto" w:val="clear"/>
      <w:lang w:val="hr-HR"/>
    </w:rPr>
  </w:style>
  <w:style w:customStyle="true" w:styleId="PozadinaSvijetloCrvena" w:type="character">
    <w:name w:val="Pozadina_SvijetloCrvena"/>
    <w:basedOn w:val="eSPISCCParagraphDefaultFont"/>
    <w:rsid w:val="0026277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6277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rsid w:val="00A375DA"/>
    <w:pPr>
      <w:widowControl w:val="0"/>
      <w:suppressAutoHyphens/>
      <w:autoSpaceDN w:val="0"/>
      <w:textAlignment w:val="baseline"/>
    </w:pPr>
    <w:rPr>
      <w:rFonts w:ascii="Times New Roman" w:cs="Mangal" w:eastAsia="SimSun" w:hAnsi="Times New Roman"/>
      <w:kern w:val="3"/>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rsid w:val="00A375DA"/>
    <w:pPr>
      <w:widowControl w:val="0"/>
      <w:suppressAutoHyphens/>
      <w:autoSpaceDN w:val="0"/>
      <w:textAlignment w:val="baseline"/>
    </w:pPr>
    <w:rPr>
      <w:rFonts w:ascii="Times New Roman" w:cs="Mangal" w:eastAsia="SimSun" w:hAnsi="Times New Roman"/>
      <w:kern w:val="3"/>
      <w:sz w:val="24"/>
      <w:szCs w:val="24"/>
      <w:lang w:bidi="hi-IN" w:eastAsia="zh-CN"/>
    </w:rPr>
  </w:style>
  <w:style w:styleId="Tekstrezerviranogmjesta" w:type="character">
    <w:name w:val="Placeholder Text"/>
    <w:basedOn w:val="Zadanifontodlomka"/>
    <w:uiPriority w:val="99"/>
    <w:semiHidden/>
    <w:rsid w:val="00262778"/>
    <w:rPr>
      <w:color w:val="808080"/>
      <w:bdr w:color="auto" w:space="0" w:sz="0" w:val="none"/>
      <w:shd w:color="auto" w:fill="auto" w:val="clear"/>
    </w:rPr>
  </w:style>
  <w:style w:customStyle="1" w:styleId="eSPISCCParagraphDefaultFont" w:type="character">
    <w:name w:val="eSPIS_CC_Paragraph Default Font"/>
    <w:basedOn w:val="Zadanifontodlomka"/>
    <w:rsid w:val="0026277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62778"/>
    <w:rPr>
      <w:b/>
      <w:bdr w:color="auto" w:space="0" w:sz="0" w:val="none"/>
      <w:shd w:color="auto" w:fill="FFFFCC" w:val="clear"/>
      <w:lang w:val="hr-HR"/>
    </w:rPr>
  </w:style>
  <w:style w:customStyle="1" w:styleId="PozadinaSvijetloCrvena" w:type="character">
    <w:name w:val="Pozadina_SvijetloCrvena"/>
    <w:basedOn w:val="eSPISCCParagraphDefaultFont"/>
    <w:rsid w:val="0026277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6277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1036</properties:Words>
  <properties:Characters>6199</properties:Characters>
  <properties:Lines>250</properties:Lines>
  <properties:Paragraphs>128</properties:Paragraphs>
  <properties:TotalTime>0</properties:TotalTime>
  <properties:ScaleCrop>false</properties:ScaleCrop>
  <properties:LinksUpToDate>false</properties:LinksUpToDate>
  <properties:CharactersWithSpaces>7673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2019-01-03T07:35:00Z</dcterms:created>
  <dc:creator>Tihana Martinez</dc:creator>
  <dc:description/>
  <cp:keywords/>
  <cp:lastModifiedBy>Tihana Martinez</cp:lastModifiedBy>
  <dcterms:modified xmlns:xsi="http://www.w3.org/2001/XMLSchema-instance" xsi:type="dcterms:W3CDTF">2019-01-03T07:37:00Z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St-510/2015-56 / Podnesak - Završni račun (St-510-15- Završni račun.docx)</vt:lpwstr>
  </prop:property>
  <prop:property name="CC_coloring" pid="4" fmtid="{D5CDD505-2E9C-101B-9397-08002B2CF9AE}">
    <vt:bool>false</vt:bool>
  </prop:property>
  <prop:property name="BrojStranica" pid="5" fmtid="{D5CDD505-2E9C-101B-9397-08002B2CF9AE}">
    <vt:i4>5</vt:i4>
  </prop:property>
</prop:Properties>
</file>