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941402" w14:paraId="a941402" w:rsidRDefault="00CA3255" w:rsidP="00CA3255" w:rsidR="00CA3255">
      <w:pPr>
        <w:jc w:val="both"/>
        <w15:collapsed w:val="false"/>
        <w:rPr>
          <w:rFonts w:hAnsi="Times New Roman" w:ascii="Times New Roman"/>
          <w:color w:themeColor="text1" w:val="000000"/>
          <w:szCs w:val="24"/>
        </w:rPr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796925</wp:posOffset>
            </wp:positionH>
            <wp:positionV relativeFrom="paragraph">
              <wp:posOffset>127635</wp:posOffset>
            </wp:positionV>
            <wp:extent cy="675640" cx="518795"/>
            <wp:effectExtent b="0" r="0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187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D53EBD" w:rsidP="00CA3255" w:rsidR="00D53EBD">
      <w:pPr>
        <w:jc w:val="both"/>
        <w:rPr>
          <w:rFonts w:hAnsi="Times New Roman" w:ascii="Times New Roman"/>
          <w:color w:themeColor="text1" w:val="000000"/>
          <w:szCs w:val="24"/>
        </w:rPr>
      </w:pPr>
    </w:p>
    <w:p w:rsidRDefault="00CA3255" w:rsidP="00CA3255" w:rsidR="00CA3255">
      <w:pPr>
        <w:jc w:val="both"/>
        <w:rPr>
          <w:rFonts w:hAnsi="Times New Roman" w:ascii="Times New Roman"/>
          <w:color w:themeColor="text1" w:val="000000"/>
          <w:szCs w:val="24"/>
        </w:rPr>
      </w:pPr>
    </w:p>
    <w:p w:rsidRDefault="00CA3255" w:rsidP="00CA3255" w:rsidR="00CA3255">
      <w:pPr>
        <w:jc w:val="both"/>
        <w:rPr>
          <w:rFonts w:hAnsi="Times New Roman" w:ascii="Times New Roman"/>
          <w:color w:themeColor="text1" w:val="000000"/>
          <w:szCs w:val="24"/>
        </w:rPr>
      </w:pPr>
    </w:p>
    <w:p w:rsidRDefault="00A01F01" w:rsidP="00CA3255" w:rsidR="00CA3255">
      <w:pPr>
        <w:pStyle w:val="Zaglavlje"/>
        <w:ind w:left="426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</w:t>
      </w:r>
    </w:p>
    <w:p w:rsidRDefault="00CA3255" w:rsidP="00CA3255" w:rsidR="00CA3255">
      <w:pPr>
        <w:pStyle w:val="Zaglavlje"/>
        <w:ind w:left="426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REPUBLIKA HRVATSKA</w:t>
      </w:r>
    </w:p>
    <w:p w:rsidRDefault="00CA3255" w:rsidP="00CA3255" w:rsidR="00CA3255">
      <w:pPr>
        <w:pStyle w:val="Zaglavlje"/>
        <w:ind w:left="426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Trgovački sud u Zagrebu</w:t>
      </w:r>
    </w:p>
    <w:p w:rsidRDefault="00CA3255" w:rsidP="00CA3255" w:rsidR="00CA3255">
      <w:pPr>
        <w:pStyle w:val="Zaglavlje"/>
        <w:ind w:left="426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Zagreb, Amruševa 2/II, desno (p.p. 432)</w:t>
      </w:r>
    </w:p>
    <w:p w:rsidRDefault="00CA3255" w:rsidP="00CA3255" w:rsidR="00CA3255">
      <w:pPr>
        <w:jc w:val="both"/>
        <w:rPr>
          <w:rFonts w:hAnsi="Times New Roman" w:ascii="Times New Roman"/>
          <w:color w:themeColor="text1" w:val="000000"/>
          <w:szCs w:val="24"/>
        </w:rPr>
      </w:pPr>
    </w:p>
    <w:p w:rsidRDefault="00CA3255" w:rsidP="00CA3255" w:rsidR="00CA3255">
      <w:pPr>
        <w:ind w:firstLine="708" w:left="6372"/>
        <w:jc w:val="right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>20. St-</w:t>
      </w:r>
      <w:r w:rsidR="00CA48AF">
        <w:rPr>
          <w:rFonts w:hAnsi="Times New Roman" w:ascii="Times New Roman"/>
          <w:color w:themeColor="text1" w:val="000000"/>
          <w:szCs w:val="24"/>
        </w:rPr>
        <w:t>3130</w:t>
      </w:r>
      <w:r w:rsidR="00573669">
        <w:rPr>
          <w:rFonts w:hAnsi="Times New Roman" w:ascii="Times New Roman"/>
          <w:color w:themeColor="text1" w:val="000000"/>
          <w:szCs w:val="24"/>
        </w:rPr>
        <w:t>/16-</w:t>
      </w:r>
      <w:r w:rsidR="00886896">
        <w:rPr>
          <w:rFonts w:hAnsi="Times New Roman" w:ascii="Times New Roman"/>
          <w:color w:themeColor="text1" w:val="000000"/>
          <w:szCs w:val="24"/>
        </w:rPr>
        <w:t>16</w:t>
      </w:r>
    </w:p>
    <w:p w:rsidRDefault="00CA3255" w:rsidP="00CA3255" w:rsidR="00CA3255">
      <w:pPr>
        <w:jc w:val="center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>U  I M E  R E P U B L I K E  H R V A T S K E</w:t>
      </w:r>
    </w:p>
    <w:p w:rsidRDefault="00CA3255" w:rsidP="00CA3255" w:rsidR="00CA3255">
      <w:pPr>
        <w:jc w:val="both"/>
        <w:rPr>
          <w:rFonts w:hAnsi="Times New Roman" w:ascii="Times New Roman"/>
          <w:color w:themeColor="text1" w:val="000000"/>
          <w:szCs w:val="24"/>
        </w:rPr>
      </w:pPr>
    </w:p>
    <w:p w:rsidRDefault="00CA3255" w:rsidP="00CA3255" w:rsidR="00CA3255">
      <w:pPr>
        <w:jc w:val="center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>R J E Š E N J E</w:t>
      </w:r>
    </w:p>
    <w:p w:rsidRDefault="00CA3255" w:rsidP="00CA3255" w:rsidR="00CA3255">
      <w:pPr>
        <w:jc w:val="both"/>
        <w:rPr>
          <w:rFonts w:hAnsi="Times New Roman" w:ascii="Times New Roman"/>
          <w:color w:themeColor="text1" w:val="000000"/>
          <w:szCs w:val="24"/>
        </w:rPr>
      </w:pPr>
    </w:p>
    <w:p w:rsidRDefault="00CA3255" w:rsidP="00D53EBD" w:rsidR="00CA3255">
      <w:pPr>
        <w:ind w:firstLine="720"/>
        <w:jc w:val="both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 xml:space="preserve">Trgovački sud u Zagrebu, po sucu Luciji Butigan, </w:t>
      </w:r>
      <w:r w:rsidR="00C559F4" w:rsidRPr="00C559F4">
        <w:rPr>
          <w:rFonts w:hAnsi="Times New Roman" w:ascii="Times New Roman"/>
          <w:color w:themeColor="text1" w:val="000000"/>
          <w:szCs w:val="24"/>
        </w:rPr>
        <w:t>u stečajnom postupku</w:t>
      </w:r>
      <w:r w:rsidR="00C559F4">
        <w:rPr>
          <w:rFonts w:hAnsi="Times New Roman" w:ascii="Times New Roman"/>
          <w:color w:themeColor="text1" w:val="000000"/>
          <w:szCs w:val="24"/>
        </w:rPr>
        <w:t xml:space="preserve"> povodom prijedloga</w:t>
      </w:r>
      <w:r w:rsidR="00C559F4" w:rsidRPr="00C559F4">
        <w:rPr>
          <w:rFonts w:hAnsi="Times New Roman" w:ascii="Times New Roman"/>
          <w:color w:themeColor="text1" w:val="000000"/>
          <w:szCs w:val="24"/>
        </w:rPr>
        <w:t xml:space="preserve"> Financijske agencije Zagreb, Regionalni centar Zagreb, Trg svibanjskih žrtava 1995, 1.</w:t>
      </w:r>
      <w:r w:rsidR="00C559F4">
        <w:rPr>
          <w:rFonts w:hAnsi="Times New Roman" w:ascii="Times New Roman"/>
          <w:color w:themeColor="text1" w:val="000000"/>
          <w:szCs w:val="24"/>
        </w:rPr>
        <w:t>,</w:t>
      </w:r>
      <w:r w:rsidR="00C559F4" w:rsidRPr="00C559F4">
        <w:rPr>
          <w:rFonts w:hAnsi="Times New Roman" w:ascii="Times New Roman"/>
          <w:color w:themeColor="text1" w:val="000000"/>
          <w:szCs w:val="24"/>
        </w:rPr>
        <w:t xml:space="preserve"> </w:t>
      </w:r>
      <w:r w:rsidR="00357E36" w:rsidRPr="001D55A4">
        <w:rPr>
          <w:rFonts w:hAnsi="Times New Roman" w:ascii="Times New Roman"/>
          <w:color w:val="000000"/>
          <w:szCs w:val="24"/>
        </w:rPr>
        <w:t xml:space="preserve">za otvaranje stečajnog postupka </w:t>
      </w:r>
      <w:r w:rsidR="00C559F4" w:rsidRPr="00C559F4">
        <w:rPr>
          <w:rFonts w:hAnsi="Times New Roman" w:ascii="Times New Roman"/>
          <w:color w:themeColor="text1" w:val="000000"/>
          <w:szCs w:val="24"/>
        </w:rPr>
        <w:t xml:space="preserve">nad dužnikom </w:t>
      </w:r>
      <w:r w:rsidR="00CA48AF" w:rsidRPr="00CA48AF">
        <w:rPr>
          <w:rFonts w:hAnsi="Times New Roman" w:ascii="Times New Roman"/>
          <w:color w:themeColor="text1" w:val="000000"/>
          <w:szCs w:val="24"/>
        </w:rPr>
        <w:t>HOGAČ j.d.o.o., Zagreb, Gornji Laduč, Stari dvor 4, OIB:54504869247</w:t>
      </w:r>
      <w:r w:rsidR="00D53EBD">
        <w:rPr>
          <w:rFonts w:hAnsi="Times New Roman" w:ascii="Times New Roman"/>
          <w:color w:themeColor="text1" w:val="000000"/>
          <w:szCs w:val="24"/>
        </w:rPr>
        <w:t>,</w:t>
      </w:r>
      <w:r w:rsidR="00F54B7C">
        <w:rPr>
          <w:rFonts w:hAnsi="Times New Roman" w:ascii="Times New Roman"/>
          <w:color w:themeColor="text1" w:val="000000"/>
          <w:szCs w:val="24"/>
        </w:rPr>
        <w:t xml:space="preserve"> dana 22</w:t>
      </w:r>
      <w:r>
        <w:rPr>
          <w:rFonts w:hAnsi="Times New Roman" w:ascii="Times New Roman"/>
          <w:color w:themeColor="text1" w:val="000000"/>
          <w:szCs w:val="24"/>
        </w:rPr>
        <w:t xml:space="preserve">. </w:t>
      </w:r>
      <w:r w:rsidR="00F07C2E">
        <w:rPr>
          <w:rFonts w:hAnsi="Times New Roman" w:ascii="Times New Roman"/>
          <w:color w:themeColor="text1" w:val="000000"/>
          <w:szCs w:val="24"/>
        </w:rPr>
        <w:t>ožujka</w:t>
      </w:r>
      <w:r w:rsidR="00573669">
        <w:rPr>
          <w:rFonts w:hAnsi="Times New Roman" w:ascii="Times New Roman"/>
          <w:color w:themeColor="text1" w:val="000000"/>
          <w:szCs w:val="24"/>
        </w:rPr>
        <w:t xml:space="preserve"> 2018</w:t>
      </w:r>
      <w:r>
        <w:rPr>
          <w:rFonts w:hAnsi="Times New Roman" w:ascii="Times New Roman"/>
          <w:color w:themeColor="text1" w:val="000000"/>
          <w:szCs w:val="24"/>
        </w:rPr>
        <w:t>.</w:t>
      </w:r>
    </w:p>
    <w:p w:rsidRDefault="00573669" w:rsidP="00CA3255" w:rsidR="00573669">
      <w:pPr>
        <w:ind w:firstLine="720"/>
        <w:jc w:val="both"/>
        <w:rPr>
          <w:rFonts w:hAnsi="Times New Roman" w:ascii="Times New Roman"/>
          <w:color w:themeColor="text1" w:val="000000"/>
          <w:szCs w:val="24"/>
        </w:rPr>
      </w:pPr>
    </w:p>
    <w:p w:rsidRDefault="00CA3255" w:rsidP="00CA3255" w:rsidR="00CA3255">
      <w:pPr>
        <w:jc w:val="center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>r i j e š i o   j e</w:t>
      </w:r>
    </w:p>
    <w:p w:rsidRDefault="00CA3255" w:rsidP="00CA3255" w:rsidR="00CA3255">
      <w:pPr>
        <w:jc w:val="both"/>
        <w:rPr>
          <w:rFonts w:hAnsi="Times New Roman" w:ascii="Times New Roman"/>
          <w:color w:themeColor="text1" w:val="000000"/>
          <w:szCs w:val="24"/>
        </w:rPr>
      </w:pPr>
    </w:p>
    <w:p w:rsidRDefault="00CA3255" w:rsidP="00CA48AF" w:rsidR="00CA3255">
      <w:pPr>
        <w:pStyle w:val="Odlomakpopisa"/>
        <w:numPr>
          <w:ilvl w:val="0"/>
          <w:numId w:val="1"/>
        </w:numPr>
        <w:overflowPunct/>
        <w:autoSpaceDE/>
        <w:adjustRightInd/>
        <w:jc w:val="both"/>
        <w:rPr>
          <w:rFonts w:hAnsi="Times New Roman" w:ascii="Times New Roman"/>
          <w:color w:themeColor="text1" w:val="000000"/>
          <w:sz w:val="24"/>
          <w:szCs w:val="24"/>
          <w:u w:val="single"/>
        </w:rPr>
      </w:pPr>
      <w:r>
        <w:rPr>
          <w:rFonts w:hAnsi="Times New Roman" w:ascii="Times New Roman"/>
          <w:color w:themeColor="text1" w:val="000000"/>
          <w:sz w:val="24"/>
          <w:szCs w:val="24"/>
        </w:rPr>
        <w:t xml:space="preserve">Otvara se stečajni postupak nad dužnikom </w:t>
      </w:r>
      <w:r w:rsidR="00CA48AF" w:rsidRPr="00CA48AF">
        <w:rPr>
          <w:rFonts w:hAnsi="Times New Roman" w:ascii="Times New Roman"/>
          <w:sz w:val="24"/>
          <w:szCs w:val="24"/>
        </w:rPr>
        <w:t>HOGAČ j.d.o.o., Zagreb, Gornji Laduč, Stari dvor 4, OIB:54504869247</w:t>
      </w:r>
      <w:r w:rsidR="00353229">
        <w:rPr>
          <w:rFonts w:hAnsi="Times New Roman" w:ascii="Times New Roman"/>
          <w:sz w:val="24"/>
          <w:szCs w:val="24"/>
        </w:rPr>
        <w:t>.</w:t>
      </w:r>
    </w:p>
    <w:p w:rsidRDefault="00CA3255" w:rsidP="00CA48AF" w:rsidR="00CA48AF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  <w:color w:themeColor="text1" w:val="000000"/>
          <w:sz w:val="24"/>
          <w:szCs w:val="24"/>
        </w:rPr>
      </w:pPr>
      <w:r w:rsidRPr="00573669">
        <w:rPr>
          <w:rFonts w:hAnsi="Times New Roman" w:ascii="Times New Roman"/>
          <w:color w:themeColor="text1" w:val="000000"/>
          <w:sz w:val="24"/>
          <w:szCs w:val="24"/>
        </w:rPr>
        <w:t xml:space="preserve">Za stečajnog upravitelja imenuje se </w:t>
      </w:r>
      <w:r w:rsidR="00CA48AF">
        <w:rPr>
          <w:rFonts w:hAnsi="Times New Roman" w:ascii="Times New Roman"/>
          <w:color w:themeColor="text1" w:val="000000"/>
          <w:sz w:val="24"/>
          <w:szCs w:val="24"/>
        </w:rPr>
        <w:t>Nina Markovinović Belamarić, Zagreb, Kralja Držislava 10, OIB 49920167790.</w:t>
      </w:r>
    </w:p>
    <w:p w:rsidRDefault="00CA3255" w:rsidP="00CA48AF" w:rsidR="006B5EDB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  <w:color w:themeColor="text1" w:val="000000"/>
          <w:sz w:val="24"/>
          <w:szCs w:val="24"/>
        </w:rPr>
      </w:pPr>
      <w:r w:rsidRPr="006B5EDB">
        <w:rPr>
          <w:rFonts w:hAnsi="Times New Roman" w:ascii="Times New Roman"/>
          <w:color w:themeColor="text1" w:val="000000"/>
          <w:sz w:val="24"/>
          <w:szCs w:val="24"/>
        </w:rPr>
        <w:t xml:space="preserve">Zaključuje se stečajni postupak nad dužnikom </w:t>
      </w:r>
      <w:r w:rsidR="00CA48AF" w:rsidRPr="00CA48AF">
        <w:rPr>
          <w:rFonts w:hAnsi="Times New Roman" w:ascii="Times New Roman"/>
          <w:sz w:val="24"/>
          <w:szCs w:val="24"/>
        </w:rPr>
        <w:t>HOGAČ j.d.o.o., Zagreb, Gornji Laduč, Stari dvor 4, OIB:54504869247</w:t>
      </w:r>
      <w:r w:rsidR="00F54B7C" w:rsidRPr="00F54B7C">
        <w:rPr>
          <w:rFonts w:hAnsi="Times New Roman" w:ascii="Times New Roman"/>
          <w:sz w:val="24"/>
          <w:szCs w:val="24"/>
        </w:rPr>
        <w:t xml:space="preserve">, </w:t>
      </w:r>
      <w:r w:rsidRPr="006B5EDB">
        <w:rPr>
          <w:rFonts w:hAnsi="Times New Roman" w:ascii="Times New Roman"/>
          <w:color w:themeColor="text1" w:val="000000"/>
          <w:sz w:val="24"/>
          <w:szCs w:val="24"/>
        </w:rPr>
        <w:t>temeljem odr</w:t>
      </w:r>
      <w:r w:rsidR="006B5EDB">
        <w:rPr>
          <w:rFonts w:hAnsi="Times New Roman" w:ascii="Times New Roman"/>
          <w:color w:themeColor="text1" w:val="000000"/>
          <w:sz w:val="24"/>
          <w:szCs w:val="24"/>
        </w:rPr>
        <w:t>edbe čl. 132. Stečajnog zakona.</w:t>
      </w:r>
    </w:p>
    <w:p w:rsidRDefault="00CA3255" w:rsidP="00573669" w:rsidR="00CA3255" w:rsidRPr="006B5EDB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  <w:color w:themeColor="text1" w:val="000000"/>
          <w:sz w:val="24"/>
          <w:szCs w:val="24"/>
        </w:rPr>
      </w:pPr>
      <w:r w:rsidRPr="006B5EDB">
        <w:rPr>
          <w:rFonts w:hAnsi="Times New Roman" w:ascii="Times New Roman"/>
          <w:color w:themeColor="text1" w:val="000000"/>
          <w:sz w:val="24"/>
          <w:szCs w:val="24"/>
        </w:rPr>
        <w:t>Ovo će se rješenje objaviti na mrežnoj stranici e-Oglasna ploča Trgovačkog suda u Zagrebu, a nakon pravomoćnosti će se dostaviti sudskom registru radi brisanja dužnika iz istoga.</w:t>
      </w:r>
    </w:p>
    <w:p w:rsidRDefault="00573669" w:rsidP="00573669" w:rsidR="00573669" w:rsidRPr="00573669">
      <w:pPr>
        <w:pStyle w:val="Odlomakpopisa"/>
        <w:ind w:left="1080"/>
        <w:jc w:val="both"/>
        <w:rPr>
          <w:rFonts w:hAnsi="Times New Roman" w:ascii="Times New Roman"/>
          <w:color w:themeColor="text1" w:val="000000"/>
          <w:sz w:val="24"/>
          <w:szCs w:val="24"/>
        </w:rPr>
      </w:pPr>
    </w:p>
    <w:p w:rsidRDefault="00CA3255" w:rsidP="00CA3255" w:rsidR="00CA3255">
      <w:pPr>
        <w:jc w:val="center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>Obrazloženje</w:t>
      </w:r>
    </w:p>
    <w:p w:rsidRDefault="00CA3255" w:rsidP="00CA3255" w:rsidR="00CA3255">
      <w:pPr>
        <w:jc w:val="center"/>
        <w:rPr>
          <w:rFonts w:hAnsi="Times New Roman" w:ascii="Times New Roman"/>
          <w:color w:themeColor="text1" w:val="000000"/>
          <w:szCs w:val="24"/>
        </w:rPr>
      </w:pPr>
    </w:p>
    <w:p w:rsidRDefault="00CA3255" w:rsidP="00CA3255" w:rsidR="00CA3255">
      <w:pPr>
        <w:ind w:firstLine="709"/>
        <w:jc w:val="both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szCs w:val="24"/>
        </w:rPr>
        <w:t xml:space="preserve">Financijska agencija, Regionalni centar Zagreb, podnijela je ovom sudu prijedlog za otvaranje stečajnog postupka nad dužnikom </w:t>
      </w:r>
      <w:r w:rsidR="00CA48AF" w:rsidRPr="00CA48AF">
        <w:rPr>
          <w:rFonts w:hAnsi="Times New Roman" w:ascii="Times New Roman"/>
          <w:szCs w:val="24"/>
        </w:rPr>
        <w:t>HOGAČ j.d.o.o., Zagreb, Gornji Laduč, Stari dvor 4, OIB:54504869247</w:t>
      </w:r>
      <w:r w:rsidR="004E69E0">
        <w:rPr>
          <w:rFonts w:hAnsi="Times New Roman" w:ascii="Times New Roman"/>
          <w:color w:themeColor="text1" w:val="000000"/>
          <w:szCs w:val="24"/>
        </w:rPr>
        <w:t>.</w:t>
      </w:r>
    </w:p>
    <w:p w:rsidRDefault="00CA3255" w:rsidP="00CA3255" w:rsidR="00CA3255">
      <w:pPr>
        <w:ind w:firstLine="709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Prijedlog je podnesen na temelju čl. 444. st. 2. Stečajnog zakona („Narodne novine“ broj 71/15, dalje: SZ). Prema odredbi čl. 444. st. 2. SZ-a Financijska agencija je dužna  podnijeti prijedlog za otvaranje stečajnog postupka za pravne osobe koje na dan stupanja na snagu stečajnog zakona u Očevidniku redoslijeda osnova za plaćanje imaju evidentirane neizvršene osnove za plaćanje u neprekinutom razdoblju od 120 dana:</w:t>
      </w:r>
    </w:p>
    <w:p w:rsidRDefault="00CA3255" w:rsidP="00CA3255" w:rsidR="00CA3255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najkasnije osam mjeseci, ali ne ranije od šest mjeseci od dana stupanja na snagu stečajnog zakona za pravnu osobu koja u Očevidniku redoslijeda osnova za plaćanje ima evidentirane neizvršene osnove za plaćanje u neprekinutom razdoblju od 120 dana i jednog zaposlenog.  </w:t>
      </w:r>
    </w:p>
    <w:p w:rsidRDefault="00CA3255" w:rsidP="00CA3255" w:rsidR="00CA3255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najkasnije deset mjeseci, ali ne ranije od osam mjeseci od dana stupanja na snagu stečajnog zakona za pravnu osobu koja u Očevidniku redoslijeda osnova za plaćanje ima evidentirane neizvršene osnove za plaćanje u neprekinutom razdoblju od 120 dana i dva ili više zaposlenih.  </w:t>
      </w:r>
    </w:p>
    <w:p w:rsidRDefault="00CA3255" w:rsidP="00CA3255" w:rsidR="00CA3255">
      <w:pPr>
        <w:ind w:firstLine="709"/>
        <w:jc w:val="both"/>
        <w:rPr>
          <w:rFonts w:hAnsi="Times New Roman" w:ascii="Times New Roman"/>
          <w:szCs w:val="24"/>
        </w:rPr>
      </w:pPr>
    </w:p>
    <w:p w:rsidRDefault="00CA3255" w:rsidP="00CA3255" w:rsidR="00573669">
      <w:pPr>
        <w:ind w:firstLine="709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Financijska agencija, kao predlagatelj, navela je u prijedlogu za otvaranje stečajnog postupka kako dužnik na dan 1. rujna 2015. u Očevidniku redoslijeda osnova za plaćanje ima evidentirane neizvršene osnove za plaćanje</w:t>
      </w:r>
      <w:r w:rsidR="00C559F4">
        <w:rPr>
          <w:rFonts w:hAnsi="Times New Roman" w:ascii="Times New Roman"/>
          <w:szCs w:val="24"/>
        </w:rPr>
        <w:t xml:space="preserve"> u n</w:t>
      </w:r>
      <w:r w:rsidR="00C94E14">
        <w:rPr>
          <w:rFonts w:hAnsi="Times New Roman" w:ascii="Times New Roman"/>
          <w:szCs w:val="24"/>
        </w:rPr>
        <w:t xml:space="preserve">eprekinutom razdoblju od </w:t>
      </w:r>
      <w:r w:rsidR="00CA48AF">
        <w:rPr>
          <w:rFonts w:hAnsi="Times New Roman" w:ascii="Times New Roman"/>
          <w:szCs w:val="24"/>
        </w:rPr>
        <w:t>334</w:t>
      </w:r>
      <w:r>
        <w:rPr>
          <w:rFonts w:hAnsi="Times New Roman" w:ascii="Times New Roman"/>
          <w:szCs w:val="24"/>
        </w:rPr>
        <w:t xml:space="preserve"> dana, u ukupnom iznosu od </w:t>
      </w:r>
      <w:r w:rsidR="00CA48AF">
        <w:rPr>
          <w:rFonts w:hAnsi="Times New Roman" w:ascii="Times New Roman"/>
          <w:szCs w:val="24"/>
        </w:rPr>
        <w:t>9.887,57</w:t>
      </w:r>
      <w:r w:rsidR="00E453CB">
        <w:rPr>
          <w:rFonts w:hAnsi="Times New Roman" w:ascii="Times New Roman"/>
          <w:szCs w:val="24"/>
        </w:rPr>
        <w:t xml:space="preserve"> </w:t>
      </w:r>
      <w:r w:rsidR="00573669">
        <w:rPr>
          <w:rFonts w:hAnsi="Times New Roman" w:ascii="Times New Roman"/>
          <w:szCs w:val="24"/>
        </w:rPr>
        <w:t>kn</w:t>
      </w:r>
      <w:r>
        <w:rPr>
          <w:rFonts w:hAnsi="Times New Roman" w:ascii="Times New Roman"/>
          <w:szCs w:val="24"/>
        </w:rPr>
        <w:t xml:space="preserve">. </w:t>
      </w:r>
    </w:p>
    <w:p w:rsidRDefault="004E69E0" w:rsidP="00CA3255" w:rsidR="004E69E0">
      <w:pPr>
        <w:ind w:firstLine="709"/>
        <w:jc w:val="both"/>
        <w:rPr>
          <w:rFonts w:hAnsi="Times New Roman" w:ascii="Times New Roman"/>
          <w:szCs w:val="24"/>
        </w:rPr>
      </w:pPr>
    </w:p>
    <w:p w:rsidRDefault="00CA3255" w:rsidP="00CA3255" w:rsidR="00CA3255">
      <w:pPr>
        <w:ind w:firstLine="709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S obzirom na to da predlagatelj vodi Očevidnik redoslijeda osnova za plaćanje, sud je prihvatio predlagateljeve tvrdnje o neprekinutom razdoblju evidentiranih neizvršenih osnova za plaćanje koji su zavedeni u Očevidniku  redoslijeda osnova za plaćanje. </w:t>
      </w:r>
    </w:p>
    <w:p w:rsidRDefault="00D53EBD" w:rsidP="00CA3255" w:rsidR="00D53EBD">
      <w:pPr>
        <w:ind w:firstLine="709"/>
        <w:jc w:val="both"/>
        <w:rPr>
          <w:rFonts w:hAnsi="Times New Roman" w:ascii="Times New Roman"/>
          <w:szCs w:val="24"/>
        </w:rPr>
      </w:pPr>
    </w:p>
    <w:p w:rsidRDefault="00CA3255" w:rsidP="00CA3255" w:rsidR="00CA3255">
      <w:pPr>
        <w:ind w:firstLine="709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Odredbom čl. 115. st. 1. SZ-a propisano je da sud na temelju prijedloga za otvaranje stečajnoga postupka donosi rješenje o pokretanju prethodnoga postupka radi utvrđivanja pretpostavki za otvaranje stečajnoga postupka (prethodni postupak). </w:t>
      </w:r>
    </w:p>
    <w:p w:rsidRDefault="00D53EBD" w:rsidP="00CA3255" w:rsidR="00D53EBD">
      <w:pPr>
        <w:ind w:firstLine="709"/>
        <w:jc w:val="both"/>
        <w:rPr>
          <w:rFonts w:hAnsi="Times New Roman" w:ascii="Times New Roman"/>
          <w:szCs w:val="24"/>
        </w:rPr>
      </w:pPr>
    </w:p>
    <w:p w:rsidRDefault="00CA3255" w:rsidP="00F07C2E" w:rsidR="00C94E14">
      <w:pPr>
        <w:tabs>
          <w:tab w:pos="708" w:val="left"/>
          <w:tab w:pos="1290" w:val="left"/>
        </w:tabs>
        <w:jc w:val="both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ab/>
      </w:r>
      <w:r w:rsidR="00C94E14">
        <w:rPr>
          <w:rFonts w:hAnsi="Times New Roman" w:ascii="Times New Roman"/>
          <w:color w:themeColor="text1" w:val="000000"/>
          <w:szCs w:val="24"/>
        </w:rPr>
        <w:t>Izvršenim elektronskim pretraživanjem, a u odnosu na popis nekretnina ovog dužnika, utvrđeno je da isti ne raspolož</w:t>
      </w:r>
      <w:r w:rsidR="00073310">
        <w:rPr>
          <w:rFonts w:hAnsi="Times New Roman" w:ascii="Times New Roman"/>
          <w:color w:themeColor="text1" w:val="000000"/>
          <w:szCs w:val="24"/>
        </w:rPr>
        <w:t>e nikakvim nekretninama (list</w:t>
      </w:r>
      <w:r w:rsidR="003E1559">
        <w:rPr>
          <w:rFonts w:hAnsi="Times New Roman" w:ascii="Times New Roman"/>
          <w:color w:themeColor="text1" w:val="000000"/>
          <w:szCs w:val="24"/>
        </w:rPr>
        <w:t xml:space="preserve"> </w:t>
      </w:r>
      <w:r w:rsidR="00CA48AF">
        <w:rPr>
          <w:rFonts w:hAnsi="Times New Roman" w:ascii="Times New Roman"/>
          <w:color w:themeColor="text1" w:val="000000"/>
          <w:szCs w:val="24"/>
        </w:rPr>
        <w:t>13</w:t>
      </w:r>
      <w:r w:rsidR="00A40FE1">
        <w:rPr>
          <w:rFonts w:hAnsi="Times New Roman" w:ascii="Times New Roman"/>
          <w:color w:themeColor="text1" w:val="000000"/>
          <w:szCs w:val="24"/>
        </w:rPr>
        <w:t xml:space="preserve"> </w:t>
      </w:r>
      <w:r w:rsidR="002A37AC">
        <w:rPr>
          <w:rFonts w:hAnsi="Times New Roman" w:ascii="Times New Roman"/>
          <w:color w:themeColor="text1" w:val="000000"/>
          <w:szCs w:val="24"/>
        </w:rPr>
        <w:t>spisa)</w:t>
      </w:r>
      <w:r w:rsidR="00AE58A7">
        <w:rPr>
          <w:rFonts w:hAnsi="Times New Roman" w:ascii="Times New Roman"/>
          <w:color w:themeColor="text1" w:val="000000"/>
          <w:szCs w:val="24"/>
        </w:rPr>
        <w:t>, a iz dostavljenog dopisa  RH, MUP-a da isti nije evident</w:t>
      </w:r>
      <w:r w:rsidR="00AA216C">
        <w:rPr>
          <w:rFonts w:hAnsi="Times New Roman" w:ascii="Times New Roman"/>
          <w:color w:themeColor="text1" w:val="000000"/>
          <w:szCs w:val="24"/>
        </w:rPr>
        <w:t xml:space="preserve">iran kao vlasnik </w:t>
      </w:r>
      <w:r w:rsidR="00CA48AF">
        <w:rPr>
          <w:rFonts w:hAnsi="Times New Roman" w:ascii="Times New Roman"/>
          <w:color w:themeColor="text1" w:val="000000"/>
          <w:szCs w:val="24"/>
        </w:rPr>
        <w:t>vozila (list 22</w:t>
      </w:r>
      <w:r w:rsidR="00AE58A7">
        <w:rPr>
          <w:rFonts w:hAnsi="Times New Roman" w:ascii="Times New Roman"/>
          <w:color w:themeColor="text1" w:val="000000"/>
          <w:szCs w:val="24"/>
        </w:rPr>
        <w:t xml:space="preserve"> spisa).</w:t>
      </w:r>
    </w:p>
    <w:p w:rsidRDefault="00D53EBD" w:rsidP="00F07C2E" w:rsidR="00D53EBD">
      <w:pPr>
        <w:tabs>
          <w:tab w:pos="708" w:val="left"/>
          <w:tab w:pos="1290" w:val="left"/>
        </w:tabs>
        <w:jc w:val="both"/>
        <w:rPr>
          <w:rFonts w:hAnsi="Times New Roman" w:ascii="Times New Roman"/>
          <w:color w:themeColor="text1" w:val="000000"/>
          <w:szCs w:val="24"/>
        </w:rPr>
      </w:pPr>
    </w:p>
    <w:p w:rsidRDefault="00CA3255" w:rsidP="00CA3255" w:rsidR="00CA3255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>Odredba  čl. 132. SZ-a propisuje da, ako prije otvaranja stečajnog postupka sud utvrdi da imovina dužnika koja bi ušla u stečajnu masu nije dovoljna ni za namirenje troškova toga postupka ili je neznatne vrijednosti, rješenjem će pozvati osobe koje imaju pravni interes za provedbom stečajnog postupka da u roku od 15 dana uplate predujam za namirenje troškova prethodnog i otvorenog stečajnog postupka.</w:t>
      </w:r>
    </w:p>
    <w:p w:rsidRDefault="00F07C2E" w:rsidP="00CA3255" w:rsidR="00F07C2E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</w:p>
    <w:p w:rsidRDefault="00CA48AF" w:rsidP="00CA3255" w:rsidR="00CA3255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>Sud je Rješenjem od 26</w:t>
      </w:r>
      <w:r w:rsidR="00CA3255">
        <w:rPr>
          <w:rFonts w:hAnsi="Times New Roman" w:ascii="Times New Roman"/>
          <w:color w:themeColor="text1" w:val="000000"/>
          <w:szCs w:val="24"/>
        </w:rPr>
        <w:t xml:space="preserve">. </w:t>
      </w:r>
      <w:r w:rsidR="00D53EBD">
        <w:rPr>
          <w:rFonts w:hAnsi="Times New Roman" w:ascii="Times New Roman"/>
          <w:color w:themeColor="text1" w:val="000000"/>
          <w:szCs w:val="24"/>
        </w:rPr>
        <w:t>rujna</w:t>
      </w:r>
      <w:r w:rsidR="00E453CB">
        <w:rPr>
          <w:rFonts w:hAnsi="Times New Roman" w:ascii="Times New Roman"/>
          <w:color w:themeColor="text1" w:val="000000"/>
          <w:szCs w:val="24"/>
        </w:rPr>
        <w:t xml:space="preserve"> 2017</w:t>
      </w:r>
      <w:r w:rsidR="00CA3255">
        <w:rPr>
          <w:rFonts w:hAnsi="Times New Roman" w:ascii="Times New Roman"/>
          <w:color w:themeColor="text1" w:val="000000"/>
          <w:szCs w:val="24"/>
        </w:rPr>
        <w:t>. godine pozvao osobe koje imaju pravni interes za provedbom stečajnog postupka nad ovim dužnikom, da u roku od 15 dana predujme troškove prethodnog i stečajnog postupka, a koje rješenje je objavljeno na mrežnoj stranici e-Oglasna ploča Trgovačkog suda u Zagrebu, te sukladno odredbi čl. 12. SZ-a smatra se objavljenim istekom osmog dana od dana objave, a kako protekom roka od 15 dana nitko od pozvanih nije predujmio zatraženi iznos, to su ispunjeni uvjeti iz čl. 132. st. 2. SZ-a, odnosno ispunjeni su uvjeti za donošenjem rješenja o otvaranju i zaključenju stečajnog postupka, te je stoga odlučeno kao u izreci ovog rješenja.</w:t>
      </w:r>
    </w:p>
    <w:p w:rsidRDefault="00F07C2E" w:rsidP="00CA3255" w:rsidR="00F07C2E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</w:p>
    <w:p w:rsidRDefault="00CA3255" w:rsidP="00CA3255" w:rsidR="00CA3255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>Izbor stečajnog upravitelja obavljen je metodom slučajnog odabira s liste A stečajnih upravitelja za područje nadležnog suda, odnosno putem automatskog odabira, te sukladno čl. 84 st. 1 SZ te zatim na temelju izbora stečajnog upravitelja, sud je imenovao stečajnog upravitelja sukladno čl. 85 st. 1 SZ.</w:t>
      </w:r>
    </w:p>
    <w:p w:rsidRDefault="00F07C2E" w:rsidP="00CA3255" w:rsidR="00F07C2E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</w:p>
    <w:p w:rsidRDefault="00CA3255" w:rsidP="00CA3255" w:rsidR="00CA3255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>Ovo rješenje će se objaviti na mrežnoj stranici e-Oglasna ploča Trgovačkog suda u Zagrebu, istog dana kada je i doneseno, sukladno čl. 132. st. 3. SZ-a.</w:t>
      </w:r>
    </w:p>
    <w:p w:rsidRDefault="00F07C2E" w:rsidP="00CA3255" w:rsidR="00F07C2E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</w:p>
    <w:p w:rsidRDefault="00CA3255" w:rsidP="00CA3255" w:rsidR="00CA3255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 xml:space="preserve">Nakon zaključenja ovog stečajnog postupka stečajni upravitelj može u ime i za račun stečajne mase unovčiti eventualno novopronađenu imovinu dužnika i namiriti troškove sukladno odredbi čl. 133. SZ-a, a ukoliko se ispune pretpostavke za nastavkom postupka, sukladno odredbi čl. 289. SZ-a, sud će posebnim rješenjem isti nastaviti temeljem odredbe čl. 133. st. 5. i 6. SZ-a te 289. SZ-a. </w:t>
      </w:r>
    </w:p>
    <w:p w:rsidRDefault="00CA3255" w:rsidP="00CA3255" w:rsidR="00CA3255">
      <w:pPr>
        <w:jc w:val="both"/>
        <w:rPr>
          <w:rFonts w:hAnsi="Times New Roman" w:ascii="Times New Roman"/>
          <w:color w:themeColor="text1" w:val="000000"/>
          <w:szCs w:val="24"/>
        </w:rPr>
      </w:pPr>
    </w:p>
    <w:p w:rsidRDefault="004E69E0" w:rsidP="00CA3255" w:rsidR="00CA3255">
      <w:pPr>
        <w:jc w:val="center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>U Zagrebu, 22</w:t>
      </w:r>
      <w:r w:rsidR="00CA3255">
        <w:rPr>
          <w:rFonts w:hAnsi="Times New Roman" w:ascii="Times New Roman"/>
          <w:color w:themeColor="text1" w:val="000000"/>
          <w:szCs w:val="24"/>
        </w:rPr>
        <w:t xml:space="preserve">. </w:t>
      </w:r>
      <w:r w:rsidR="00F07C2E">
        <w:rPr>
          <w:rFonts w:hAnsi="Times New Roman" w:ascii="Times New Roman"/>
          <w:color w:themeColor="text1" w:val="000000"/>
          <w:szCs w:val="24"/>
        </w:rPr>
        <w:t>ožujka</w:t>
      </w:r>
      <w:r w:rsidR="00573669">
        <w:rPr>
          <w:rFonts w:hAnsi="Times New Roman" w:ascii="Times New Roman"/>
          <w:color w:themeColor="text1" w:val="000000"/>
          <w:szCs w:val="24"/>
        </w:rPr>
        <w:t xml:space="preserve"> 2018</w:t>
      </w:r>
      <w:r w:rsidR="00CA3255">
        <w:rPr>
          <w:rFonts w:hAnsi="Times New Roman" w:ascii="Times New Roman"/>
          <w:color w:themeColor="text1" w:val="000000"/>
          <w:szCs w:val="24"/>
        </w:rPr>
        <w:t>.</w:t>
      </w:r>
    </w:p>
    <w:p w:rsidRDefault="00CA3255" w:rsidP="00CA3255" w:rsidR="00CA3255">
      <w:pPr>
        <w:jc w:val="center"/>
        <w:rPr>
          <w:rFonts w:hAnsi="Times New Roman" w:ascii="Times New Roman"/>
          <w:color w:themeColor="text1" w:val="000000"/>
          <w:szCs w:val="24"/>
        </w:rPr>
      </w:pPr>
    </w:p>
    <w:p w:rsidRDefault="00CA3255" w:rsidP="00CA3255" w:rsidR="00CA3255">
      <w:pPr>
        <w:jc w:val="both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ab/>
      </w:r>
      <w:r>
        <w:rPr>
          <w:rFonts w:hAnsi="Times New Roman" w:ascii="Times New Roman"/>
          <w:color w:themeColor="text1" w:val="000000"/>
          <w:szCs w:val="24"/>
        </w:rPr>
        <w:tab/>
      </w:r>
      <w:r>
        <w:rPr>
          <w:rFonts w:hAnsi="Times New Roman" w:ascii="Times New Roman"/>
          <w:color w:themeColor="text1" w:val="000000"/>
          <w:szCs w:val="24"/>
        </w:rPr>
        <w:tab/>
      </w:r>
      <w:r>
        <w:rPr>
          <w:rFonts w:hAnsi="Times New Roman" w:ascii="Times New Roman"/>
          <w:color w:themeColor="text1" w:val="000000"/>
          <w:szCs w:val="24"/>
        </w:rPr>
        <w:tab/>
      </w:r>
      <w:r>
        <w:rPr>
          <w:rFonts w:hAnsi="Times New Roman" w:ascii="Times New Roman"/>
          <w:color w:themeColor="text1" w:val="000000"/>
          <w:szCs w:val="24"/>
        </w:rPr>
        <w:tab/>
      </w:r>
      <w:r>
        <w:rPr>
          <w:rFonts w:hAnsi="Times New Roman" w:ascii="Times New Roman"/>
          <w:color w:themeColor="text1" w:val="000000"/>
          <w:szCs w:val="24"/>
        </w:rPr>
        <w:tab/>
      </w:r>
      <w:r>
        <w:rPr>
          <w:rFonts w:hAnsi="Times New Roman" w:ascii="Times New Roman"/>
          <w:color w:themeColor="text1" w:val="000000"/>
          <w:szCs w:val="24"/>
        </w:rPr>
        <w:tab/>
      </w:r>
      <w:r>
        <w:rPr>
          <w:rFonts w:hAnsi="Times New Roman" w:ascii="Times New Roman"/>
          <w:color w:themeColor="text1" w:val="000000"/>
          <w:szCs w:val="24"/>
        </w:rPr>
        <w:tab/>
        <w:t xml:space="preserve">       </w:t>
      </w:r>
      <w:r>
        <w:rPr>
          <w:rFonts w:hAnsi="Times New Roman" w:ascii="Times New Roman"/>
          <w:color w:themeColor="text1" w:val="000000"/>
          <w:szCs w:val="24"/>
        </w:rPr>
        <w:tab/>
        <w:t xml:space="preserve"> </w:t>
      </w:r>
      <w:r>
        <w:rPr>
          <w:rFonts w:hAnsi="Times New Roman" w:ascii="Times New Roman"/>
          <w:color w:themeColor="text1" w:val="000000"/>
          <w:szCs w:val="24"/>
        </w:rPr>
        <w:tab/>
        <w:t xml:space="preserve">     SUDAC:</w:t>
      </w:r>
    </w:p>
    <w:p w:rsidRDefault="00CA3255" w:rsidP="00CA3255" w:rsidR="00CA3255">
      <w:pPr>
        <w:jc w:val="both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ab/>
      </w:r>
      <w:r>
        <w:rPr>
          <w:rFonts w:hAnsi="Times New Roman" w:ascii="Times New Roman"/>
          <w:color w:themeColor="text1" w:val="000000"/>
          <w:szCs w:val="24"/>
        </w:rPr>
        <w:tab/>
      </w:r>
      <w:r>
        <w:rPr>
          <w:rFonts w:hAnsi="Times New Roman" w:ascii="Times New Roman"/>
          <w:color w:themeColor="text1" w:val="000000"/>
          <w:szCs w:val="24"/>
        </w:rPr>
        <w:tab/>
      </w:r>
      <w:r>
        <w:rPr>
          <w:rFonts w:hAnsi="Times New Roman" w:ascii="Times New Roman"/>
          <w:color w:themeColor="text1" w:val="000000"/>
          <w:szCs w:val="24"/>
        </w:rPr>
        <w:tab/>
      </w:r>
      <w:r>
        <w:rPr>
          <w:rFonts w:hAnsi="Times New Roman" w:ascii="Times New Roman"/>
          <w:color w:themeColor="text1" w:val="000000"/>
          <w:szCs w:val="24"/>
        </w:rPr>
        <w:tab/>
      </w:r>
      <w:r>
        <w:rPr>
          <w:rFonts w:hAnsi="Times New Roman" w:ascii="Times New Roman"/>
          <w:color w:themeColor="text1" w:val="000000"/>
          <w:szCs w:val="24"/>
        </w:rPr>
        <w:tab/>
      </w:r>
      <w:r>
        <w:rPr>
          <w:rFonts w:hAnsi="Times New Roman" w:ascii="Times New Roman"/>
          <w:color w:themeColor="text1" w:val="000000"/>
          <w:szCs w:val="24"/>
        </w:rPr>
        <w:tab/>
        <w:t xml:space="preserve">             </w:t>
      </w:r>
      <w:r>
        <w:rPr>
          <w:rFonts w:hAnsi="Times New Roman" w:ascii="Times New Roman"/>
          <w:color w:themeColor="text1" w:val="000000"/>
          <w:szCs w:val="24"/>
        </w:rPr>
        <w:tab/>
        <w:t xml:space="preserve">  </w:t>
      </w:r>
      <w:r w:rsidR="00573669">
        <w:rPr>
          <w:rFonts w:hAnsi="Times New Roman" w:ascii="Times New Roman"/>
          <w:color w:themeColor="text1" w:val="000000"/>
          <w:szCs w:val="24"/>
        </w:rPr>
        <w:t>LUCIJA BUTIGA</w:t>
      </w:r>
      <w:r w:rsidR="00DB342D">
        <w:rPr>
          <w:rFonts w:hAnsi="Times New Roman" w:ascii="Times New Roman"/>
          <w:color w:themeColor="text1" w:val="000000"/>
          <w:szCs w:val="24"/>
        </w:rPr>
        <w:t>N</w:t>
      </w:r>
      <w:r w:rsidR="00886896">
        <w:rPr>
          <w:rFonts w:hAnsi="Times New Roman" w:ascii="Times New Roman"/>
          <w:color w:themeColor="text1" w:val="000000"/>
          <w:szCs w:val="24"/>
        </w:rPr>
        <w:t>,v.r.</w:t>
      </w:r>
    </w:p>
    <w:p w:rsidRDefault="00CA3255" w:rsidP="00CA3255" w:rsidR="00CA3255">
      <w:pPr>
        <w:jc w:val="both"/>
        <w:rPr>
          <w:rFonts w:hAnsi="Times New Roman" w:ascii="Times New Roman"/>
          <w:color w:themeColor="text1" w:val="000000"/>
          <w:szCs w:val="24"/>
        </w:rPr>
      </w:pPr>
    </w:p>
    <w:p w:rsidRDefault="004E69E0" w:rsidP="00CA3255" w:rsidR="004E69E0">
      <w:pPr>
        <w:jc w:val="both"/>
        <w:rPr>
          <w:rFonts w:hAnsi="Times New Roman" w:ascii="Times New Roman"/>
          <w:color w:themeColor="text1" w:val="000000"/>
          <w:szCs w:val="24"/>
        </w:rPr>
      </w:pPr>
    </w:p>
    <w:p w:rsidRDefault="004E69E0" w:rsidP="00CA3255" w:rsidR="004E69E0">
      <w:pPr>
        <w:jc w:val="both"/>
        <w:rPr>
          <w:rFonts w:hAnsi="Times New Roman" w:ascii="Times New Roman"/>
          <w:color w:themeColor="text1" w:val="000000"/>
          <w:szCs w:val="24"/>
        </w:rPr>
      </w:pPr>
    </w:p>
    <w:p w:rsidRDefault="004E69E0" w:rsidP="00CA3255" w:rsidR="004E69E0">
      <w:pPr>
        <w:jc w:val="both"/>
        <w:rPr>
          <w:rFonts w:hAnsi="Times New Roman" w:ascii="Times New Roman"/>
          <w:color w:themeColor="text1" w:val="000000"/>
          <w:szCs w:val="24"/>
        </w:rPr>
      </w:pPr>
    </w:p>
    <w:p w:rsidRDefault="004E69E0" w:rsidP="00CA3255" w:rsidR="004E69E0">
      <w:pPr>
        <w:jc w:val="both"/>
        <w:rPr>
          <w:rFonts w:hAnsi="Times New Roman" w:ascii="Times New Roman"/>
          <w:color w:themeColor="text1" w:val="000000"/>
          <w:szCs w:val="24"/>
        </w:rPr>
      </w:pPr>
    </w:p>
    <w:p w:rsidRDefault="004E69E0" w:rsidP="00CA3255" w:rsidR="004E69E0">
      <w:pPr>
        <w:jc w:val="both"/>
        <w:rPr>
          <w:rFonts w:hAnsi="Times New Roman" w:ascii="Times New Roman"/>
          <w:color w:themeColor="text1" w:val="000000"/>
          <w:szCs w:val="24"/>
        </w:rPr>
      </w:pPr>
    </w:p>
    <w:p w:rsidRDefault="00CA3255" w:rsidP="00CA3255" w:rsidR="00CA3255">
      <w:pPr>
        <w:jc w:val="both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>Uputa o pravnom lijeku:</w:t>
      </w:r>
    </w:p>
    <w:p w:rsidRDefault="00CA3255" w:rsidP="00CA3255" w:rsidR="00CA3255">
      <w:pPr>
        <w:jc w:val="both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>Protiv rješenja dopuštena je žalba Visokom trgovačkom sudu RH, u roku od 8 dana, a koja se podnosi putem ovog suda u 3 primjerka.</w:t>
      </w:r>
    </w:p>
    <w:p w:rsidRDefault="00CA3255" w:rsidP="00CA3255" w:rsidR="00CA3255">
      <w:pPr>
        <w:jc w:val="both"/>
        <w:rPr>
          <w:rFonts w:hAnsi="Times New Roman" w:ascii="Times New Roman"/>
          <w:color w:themeColor="text1" w:val="000000"/>
          <w:szCs w:val="24"/>
        </w:rPr>
      </w:pPr>
    </w:p>
    <w:p w:rsidRDefault="00C559F4" w:rsidR="00C559F4"/>
    <w:p w:rsidRDefault="00886896" w:rsidP="00886896" w:rsidR="00886896" w:rsidRPr="00886896">
      <w:pPr>
        <w:ind w:left="4956"/>
        <w:rPr>
          <w:rFonts w:hAnsi="Times New Roman" w:ascii="Times New Roman"/>
        </w:rPr>
      </w:pPr>
      <w:r w:rsidRPr="00886896">
        <w:rPr>
          <w:rFonts w:hAnsi="Times New Roman" w:ascii="Times New Roman"/>
        </w:rPr>
        <w:t>Za točnost otpravka-ovlašteni službenik</w:t>
      </w:r>
    </w:p>
    <w:p w:rsidRDefault="00886896" w:rsidP="00886896" w:rsidR="00886896" w:rsidRPr="00886896">
      <w:pPr>
        <w:ind w:left="4956"/>
        <w:rPr>
          <w:rFonts w:hAnsi="Times New Roman" w:ascii="Times New Roman"/>
        </w:rPr>
      </w:pPr>
      <w:r w:rsidRPr="00886896">
        <w:rPr>
          <w:rFonts w:hAnsi="Times New Roman" w:ascii="Times New Roman"/>
        </w:rPr>
        <w:tab/>
        <w:t xml:space="preserve">   Monika Grbac</w:t>
      </w:r>
    </w:p>
    <w:p w:rsidRDefault="00C559F4" w:rsidP="00886896" w:rsidR="00C559F4" w:rsidRPr="00886896">
      <w:pPr>
        <w:pStyle w:val="Odlomakpopisa"/>
        <w:rPr>
          <w:rFonts w:hAnsi="Times New Roman" w:ascii="Times New Roman"/>
          <w:sz w:val="24"/>
          <w:szCs w:val="24"/>
        </w:rPr>
      </w:pPr>
    </w:p>
    <w:p w:rsidRDefault="00573669" w:rsidP="00C559F4" w:rsidR="00573669" w:rsidRPr="00573669">
      <w:pPr>
        <w:pStyle w:val="Odlomakpopisa"/>
        <w:rPr>
          <w:rFonts w:hAnsi="Times New Roman" w:ascii="Times New Roman"/>
          <w:sz w:val="24"/>
          <w:szCs w:val="24"/>
        </w:rPr>
      </w:pPr>
    </w:p>
    <w:sectPr w:rsidSect="004E69E0" w:rsidR="00573669" w:rsidRPr="00573669">
      <w:headerReference w:type="default" r:id="rId10"/>
      <w:pgSz w:h="16838" w:w="11906"/>
      <w:pgMar w:gutter="0" w:footer="708" w:header="708" w:left="1417" w:bottom="993" w:right="1417" w:top="56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342D" w:rsidP="00DB342D" w:rsidR="00DB342D">
      <w:r>
        <w:separator/>
      </w:r>
    </w:p>
  </w:endnote>
  <w:endnote w:id="0" w:type="continuationSeparator">
    <w:p w:rsidRDefault="00DB342D" w:rsidP="00DB342D" w:rsidR="00DB34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342D" w:rsidP="00DB342D" w:rsidR="00DB342D">
      <w:r>
        <w:separator/>
      </w:r>
    </w:p>
  </w:footnote>
  <w:footnote w:id="0" w:type="continuationSeparator">
    <w:p w:rsidRDefault="00DB342D" w:rsidP="00DB342D" w:rsidR="00DB342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840124579"/>
      <w:docPartObj>
        <w:docPartGallery w:val="Page Numbers (Top of Page)"/>
        <w:docPartUnique/>
      </w:docPartObj>
    </w:sdtPr>
    <w:sdtEndPr/>
    <w:sdtContent>
      <w:p w:rsidRDefault="00DB342D" w:rsidP="00DB342D" w:rsidR="00DB342D">
        <w:pPr>
          <w:ind w:firstLine="708" w:left="3540"/>
          <w:rPr>
            <w:rFonts w:hAnsi="Times New Roman" w:ascii="Times New Roman"/>
            <w:color w:themeColor="text1" w:val="000000"/>
            <w:szCs w:val="24"/>
          </w:rPr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86896">
          <w:rPr>
            <w:noProof/>
          </w:rPr>
          <w:t>3</w:t>
        </w:r>
        <w:r>
          <w:fldChar w:fldCharType="end"/>
        </w:r>
        <w:r>
          <w:t xml:space="preserve"> </w:t>
        </w:r>
        <w:r>
          <w:tab/>
        </w:r>
        <w:r>
          <w:tab/>
        </w:r>
        <w:r>
          <w:tab/>
        </w:r>
        <w:r>
          <w:tab/>
        </w:r>
        <w:r>
          <w:rPr>
            <w:rFonts w:hAnsi="Times New Roman" w:ascii="Times New Roman"/>
            <w:color w:themeColor="text1" w:val="000000"/>
            <w:szCs w:val="24"/>
          </w:rPr>
          <w:t>20. St-</w:t>
        </w:r>
        <w:r w:rsidR="00CA48AF">
          <w:rPr>
            <w:rFonts w:hAnsi="Times New Roman" w:ascii="Times New Roman"/>
            <w:color w:themeColor="text1" w:val="000000"/>
            <w:szCs w:val="24"/>
          </w:rPr>
          <w:t>3130</w:t>
        </w:r>
        <w:r>
          <w:rPr>
            <w:rFonts w:hAnsi="Times New Roman" w:ascii="Times New Roman"/>
            <w:color w:themeColor="text1" w:val="000000"/>
            <w:szCs w:val="24"/>
          </w:rPr>
          <w:t>/16-</w:t>
        </w:r>
      </w:p>
      <w:p w:rsidRDefault="00886896" w:rsidR="00DB342D">
        <w:pPr>
          <w:pStyle w:val="Zaglavlje"/>
          <w:jc w:val="center"/>
        </w:pPr>
      </w:p>
    </w:sdtContent>
  </w:sdt>
  <w:p w:rsidRDefault="00DB342D" w:rsidR="00DB342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8E31D2"/>
    <w:multiLevelType w:val="hybridMultilevel"/>
    <w:tmpl w:val="0AA850E6"/>
    <w:lvl w:tplc="AD2ACD8C" w:ilvl="0">
      <w:start w:val="14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1">
    <w:nsid w:val="26670818"/>
    <w:multiLevelType w:val="hybridMultilevel"/>
    <w:tmpl w:val="95205426"/>
    <w:lvl w:tplc="8EAE3A28" w:ilvl="0">
      <w:start w:val="1"/>
      <w:numFmt w:val="upperRoman"/>
      <w:lvlText w:val="%1)"/>
      <w:lvlJc w:val="left"/>
      <w:pPr>
        <w:ind w:hanging="720" w:left="1080"/>
      </w:pPr>
      <w:rPr>
        <w:strike w:val="false"/>
        <w:dstrike w:val="false"/>
        <w:color w:val="auto"/>
        <w:u w:val="none"/>
        <w:effect w:val="none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2890044"/>
    <w:multiLevelType w:val="hybridMultilevel"/>
    <w:tmpl w:val="C0947DB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A3255"/>
    <w:rsid w:val="00040A7D"/>
    <w:rsid w:val="00073310"/>
    <w:rsid w:val="00086150"/>
    <w:rsid w:val="000F21F3"/>
    <w:rsid w:val="00125ACC"/>
    <w:rsid w:val="001A5C87"/>
    <w:rsid w:val="00217CEF"/>
    <w:rsid w:val="00230B46"/>
    <w:rsid w:val="002A37AC"/>
    <w:rsid w:val="002B4A0D"/>
    <w:rsid w:val="002E153D"/>
    <w:rsid w:val="00353229"/>
    <w:rsid w:val="00357E36"/>
    <w:rsid w:val="003C43BB"/>
    <w:rsid w:val="003E1559"/>
    <w:rsid w:val="004A2099"/>
    <w:rsid w:val="004B1D0C"/>
    <w:rsid w:val="004E69E0"/>
    <w:rsid w:val="004F45B9"/>
    <w:rsid w:val="00573669"/>
    <w:rsid w:val="005C7713"/>
    <w:rsid w:val="006B5EDB"/>
    <w:rsid w:val="00765DCA"/>
    <w:rsid w:val="007912D7"/>
    <w:rsid w:val="0082176B"/>
    <w:rsid w:val="00886896"/>
    <w:rsid w:val="00960B59"/>
    <w:rsid w:val="009A5463"/>
    <w:rsid w:val="009C35D5"/>
    <w:rsid w:val="009F7839"/>
    <w:rsid w:val="00A01F01"/>
    <w:rsid w:val="00A40FE1"/>
    <w:rsid w:val="00AA216C"/>
    <w:rsid w:val="00AE58A7"/>
    <w:rsid w:val="00B544A2"/>
    <w:rsid w:val="00C559F4"/>
    <w:rsid w:val="00C94E14"/>
    <w:rsid w:val="00CA3255"/>
    <w:rsid w:val="00CA48AF"/>
    <w:rsid w:val="00CF4FC5"/>
    <w:rsid w:val="00D53EBD"/>
    <w:rsid w:val="00D62A8A"/>
    <w:rsid w:val="00DB342D"/>
    <w:rsid w:val="00DB7A2D"/>
    <w:rsid w:val="00E453CB"/>
    <w:rsid w:val="00EA6146"/>
    <w:rsid w:val="00F07C2E"/>
    <w:rsid w:val="00F54B7C"/>
    <w:rsid w:val="00FB03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A3255"/>
    <w:pPr>
      <w:overflowPunct w:val="false"/>
      <w:autoSpaceDE w:val="false"/>
      <w:autoSpaceDN w:val="false"/>
      <w:adjustRightInd w:val="false"/>
    </w:pPr>
    <w:rPr>
      <w:rFonts w:cs="Times New Roman" w:eastAsia="Times New Roman" w:hAnsi="Arial" w:ascii="Arial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A3255"/>
    <w:pPr>
      <w:tabs>
        <w:tab w:pos="4536" w:val="center"/>
        <w:tab w:pos="9072" w:val="right"/>
      </w:tabs>
      <w:overflowPunct/>
      <w:autoSpaceDE/>
      <w:autoSpaceDN/>
      <w:adjustRightInd/>
    </w:pPr>
  </w:style>
  <w:style w:customStyle="true" w:styleId="ZaglavljeChar" w:type="character">
    <w:name w:val="Zaglavlje Char"/>
    <w:basedOn w:val="Zadanifontodlomka"/>
    <w:link w:val="Zaglavlje"/>
    <w:uiPriority w:val="99"/>
    <w:rsid w:val="00CA3255"/>
    <w:rPr>
      <w:rFonts w:cs="Times New Roman" w:eastAsia="Times New Roman" w:hAnsi="Arial" w:ascii="Arial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CA3255"/>
    <w:pPr>
      <w:ind w:left="720"/>
      <w:contextualSpacing/>
    </w:pPr>
    <w:rPr>
      <w:sz w:val="20"/>
    </w:rPr>
  </w:style>
  <w:style w:styleId="Podnoje" w:type="paragraph">
    <w:name w:val="footer"/>
    <w:basedOn w:val="Normal"/>
    <w:link w:val="PodnojeChar"/>
    <w:uiPriority w:val="99"/>
    <w:unhideWhenUsed/>
    <w:rsid w:val="00DB342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B342D"/>
    <w:rPr>
      <w:rFonts w:cs="Times New Roman" w:eastAsia="Times New Roman" w:hAnsi="Arial" w:ascii="Arial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B1D0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B1D0C"/>
    <w:rPr>
      <w:rFonts w:cs="Times New Roman" w:hAnsi="Times New Roman" w:ascii="Times New Roman"/>
      <w:color w:themeColor="text1" w:val="000000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B1D0C"/>
    <w:rPr>
      <w:rFonts w:hAnsi="Times New Roman" w:ascii="Times New Roman"/>
      <w:color w:themeColor="text1" w:val="000000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B1D0C"/>
    <w:rPr>
      <w:rFonts w:cs="Times New Roman" w:hAnsi="Times New Roman" w:ascii="Times New Roman"/>
      <w:color w:themeColor="text1" w:val="000000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B1D0C"/>
    <w:rPr>
      <w:rFonts w:cs="Times New Roman" w:hAnsi="Times New Roman" w:ascii="Times New Roman"/>
      <w:color w:themeColor="text1" w:val="000000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A3255"/>
    <w:pPr>
      <w:overflowPunct w:val="0"/>
      <w:autoSpaceDE w:val="0"/>
      <w:autoSpaceDN w:val="0"/>
      <w:adjustRightInd w:val="0"/>
    </w:pPr>
    <w:rPr>
      <w:rFonts w:ascii="Arial" w:cs="Times New Roman" w:eastAsia="Times New Roman" w:hAnsi="Arial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A3255"/>
    <w:pPr>
      <w:tabs>
        <w:tab w:pos="4536" w:val="center"/>
        <w:tab w:pos="9072" w:val="right"/>
      </w:tabs>
      <w:overflowPunct/>
      <w:autoSpaceDE/>
      <w:autoSpaceDN/>
      <w:adjustRightInd/>
    </w:pPr>
  </w:style>
  <w:style w:customStyle="1" w:styleId="ZaglavljeChar" w:type="character">
    <w:name w:val="Zaglavlje Char"/>
    <w:basedOn w:val="Zadanifontodlomka"/>
    <w:link w:val="Zaglavlje"/>
    <w:uiPriority w:val="99"/>
    <w:rsid w:val="00CA3255"/>
    <w:rPr>
      <w:rFonts w:ascii="Arial" w:cs="Times New Roman" w:eastAsia="Times New Roman" w:hAnsi="Arial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CA3255"/>
    <w:pPr>
      <w:ind w:left="720"/>
      <w:contextualSpacing/>
    </w:pPr>
    <w:rPr>
      <w:sz w:val="20"/>
    </w:rPr>
  </w:style>
  <w:style w:styleId="Podnoje" w:type="paragraph">
    <w:name w:val="footer"/>
    <w:basedOn w:val="Normal"/>
    <w:link w:val="PodnojeChar"/>
    <w:uiPriority w:val="99"/>
    <w:unhideWhenUsed/>
    <w:rsid w:val="00DB342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B342D"/>
    <w:rPr>
      <w:rFonts w:ascii="Arial" w:cs="Times New Roman" w:eastAsia="Times New Roman" w:hAnsi="Arial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B1D0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B1D0C"/>
    <w:rPr>
      <w:rFonts w:ascii="Times New Roman" w:cs="Times New Roman" w:hAnsi="Times New Roman"/>
      <w:color w:themeColor="text1" w:val="000000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B1D0C"/>
    <w:rPr>
      <w:rFonts w:ascii="Times New Roman" w:hAnsi="Times New Roman"/>
      <w:color w:themeColor="text1" w:val="000000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B1D0C"/>
    <w:rPr>
      <w:rFonts w:ascii="Times New Roman" w:cs="Times New Roman" w:hAnsi="Times New Roman"/>
      <w:color w:themeColor="text1" w:val="00000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B1D0C"/>
    <w:rPr>
      <w:rFonts w:ascii="Times New Roman" w:cs="Times New Roman" w:hAnsi="Times New Roman"/>
      <w:color w:themeColor="text1" w:val="00000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159931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96720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ožujka 2018.</izvorni_sadrzaj>
    <derivirana_varijabla naziv="DomainObject.DatumDonosenjaOdluke_1">22.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St-3130/2016-16</izvorni_sadrzaj>
    <derivirana_varijabla naziv="DomainObject.Oznaka_1">St-3130/2016-16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3130</izvorni_sadrzaj>
    <derivirana_varijabla naziv="DomainObject.Predmet.Broj_1">3130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ožujka 2016.</izvorni_sadrzaj>
    <derivirana_varijabla naziv="DomainObject.Predmet.DatumOsnivanja_1">30.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St-3130/2016</izvorni_sadrzaj>
    <derivirana_varijabla naziv="DomainObject.Predmet.OznakaBroj_1">St-3130/2016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poziv 132</izvorni_sadrzaj>
    <derivirana_varijabla naziv="DomainObject.Predmet.PrimjedbaSuca_1">poziv 132</derivirana_varijabla>
  </DomainObject.Predmet.PrimjedbaSuca>
  <DomainObject.Predmet.ProtustrankaFormated>
    <izvorni_sadrzaj>  HOGAČ j.d.o.o.</izvorni_sadrzaj>
    <derivirana_varijabla naziv="DomainObject.Predmet.ProtustrankaFormated_1">  HOGAČ j.d.o.o.</derivirana_varijabla>
  </DomainObject.Predmet.ProtustrankaFormated>
  <DomainObject.Predmet.ProtustrankaFormatedOIB>
    <izvorni_sadrzaj>  HOGAČ j.d.o.o., OIB 54504869247</izvorni_sadrzaj>
    <derivirana_varijabla naziv="DomainObject.Predmet.ProtustrankaFormatedOIB_1">  HOGAČ j.d.o.o., OIB 54504869247</derivirana_varijabla>
  </DomainObject.Predmet.ProtustrankaFormatedOIB>
  <DomainObject.Predmet.ProtustrankaFormatedWithAdress>
    <izvorni_sadrzaj> HOGAČ j.d.o.o., Stari dvor 4, 10292 Gornji Laduč</izvorni_sadrzaj>
    <derivirana_varijabla naziv="DomainObject.Predmet.ProtustrankaFormatedWithAdress_1"> HOGAČ j.d.o.o., Stari dvor 4, 10292 Gornji Laduč</derivirana_varijabla>
  </DomainObject.Predmet.ProtustrankaFormatedWithAdress>
  <DomainObject.Predmet.ProtustrankaFormatedWithAdressOIB>
    <izvorni_sadrzaj> HOGAČ j.d.o.o., OIB 54504869247, Stari dvor 4, 10292 Gornji Laduč</izvorni_sadrzaj>
    <derivirana_varijabla naziv="DomainObject.Predmet.ProtustrankaFormatedWithAdressOIB_1"> HOGAČ j.d.o.o., OIB 54504869247, Stari dvor 4, 10292 Gornji Laduč</derivirana_varijabla>
  </DomainObject.Predmet.ProtustrankaFormatedWithAdressOIB>
  <DomainObject.Predmet.ProtustrankaWithAdress>
    <izvorni_sadrzaj>HOGAČ j.d.o.o. Stari dvor 4, 10292 Gornji Laduč</izvorni_sadrzaj>
    <derivirana_varijabla naziv="DomainObject.Predmet.ProtustrankaWithAdress_1">HOGAČ j.d.o.o. Stari dvor 4, 10292 Gornji Laduč</derivirana_varijabla>
  </DomainObject.Predmet.ProtustrankaWithAdress>
  <DomainObject.Predmet.ProtustrankaWithAdressOIB>
    <izvorni_sadrzaj>HOGAČ j.d.o.o., OIB 54504869247, Stari dvor 4, 10292 Gornji Laduč</izvorni_sadrzaj>
    <derivirana_varijabla naziv="DomainObject.Predmet.ProtustrankaWithAdressOIB_1">HOGAČ j.d.o.o., OIB 54504869247, Stari dvor 4, 10292 Gornji Laduč</derivirana_varijabla>
  </DomainObject.Predmet.ProtustrankaWithAdressOIB>
  <DomainObject.Predmet.ProtustrankaNazivFormated>
    <izvorni_sadrzaj>HOGAČ j.d.o.o.</izvorni_sadrzaj>
    <derivirana_varijabla naziv="DomainObject.Predmet.ProtustrankaNazivFormated_1">HOGAČ j.d.o.o.</derivirana_varijabla>
  </DomainObject.Predmet.ProtustrankaNazivFormated>
  <DomainObject.Predmet.ProtustrankaNazivFormatedOIB>
    <izvorni_sadrzaj>HOGAČ j.d.o.o., OIB 54504869247</izvorni_sadrzaj>
    <derivirana_varijabla naziv="DomainObject.Predmet.ProtustrankaNazivFormatedOIB_1">HOGAČ j.d.o.o., OIB 54504869247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HOGAČ j.d.o.o.</item>
    </izvorni_sadrzaj>
    <derivirana_varijabla naziv="DomainObject.Predmet.ProtuStrankaListFormated_1">
      <item>HOGAČ j.d.o.o.</item>
    </derivirana_varijabla>
  </DomainObject.Predmet.ProtuStrankaListFormated>
  <DomainObject.Predmet.ProtuStrankaListFormatedOIB>
    <izvorni_sadrzaj>
      <item>HOGAČ j.d.o.o., OIB 54504869247</item>
    </izvorni_sadrzaj>
    <derivirana_varijabla naziv="DomainObject.Predmet.ProtuStrankaListFormatedOIB_1">
      <item>HOGAČ j.d.o.o., OIB 54504869247</item>
    </derivirana_varijabla>
  </DomainObject.Predmet.ProtuStrankaListFormatedOIB>
  <DomainObject.Predmet.ProtuStrankaListFormatedWithAdress>
    <izvorni_sadrzaj>
      <item>HOGAČ j.d.o.o., Stari dvor 4, 10292 Gornji Laduč</item>
    </izvorni_sadrzaj>
    <derivirana_varijabla naziv="DomainObject.Predmet.ProtuStrankaListFormatedWithAdress_1">
      <item>HOGAČ j.d.o.o., Stari dvor 4, 10292 Gornji Laduč</item>
    </derivirana_varijabla>
  </DomainObject.Predmet.ProtuStrankaListFormatedWithAdress>
  <DomainObject.Predmet.ProtuStrankaListFormatedWithAdressOIB>
    <izvorni_sadrzaj>
      <item>HOGAČ j.d.o.o., OIB 54504869247, Stari dvor 4, 10292 Gornji Laduč</item>
    </izvorni_sadrzaj>
    <derivirana_varijabla naziv="DomainObject.Predmet.ProtuStrankaListFormatedWithAdressOIB_1">
      <item>HOGAČ j.d.o.o., OIB 54504869247, Stari dvor 4, 10292 Gornji Laduč</item>
    </derivirana_varijabla>
  </DomainObject.Predmet.ProtuStrankaListFormatedWithAdressOIB>
  <DomainObject.Predmet.ProtuStrankaListNazivFormated>
    <izvorni_sadrzaj>
      <item>HOGAČ j.d.o.o.</item>
    </izvorni_sadrzaj>
    <derivirana_varijabla naziv="DomainObject.Predmet.ProtuStrankaListNazivFormated_1">
      <item>HOGAČ j.d.o.o.</item>
    </derivirana_varijabla>
  </DomainObject.Predmet.ProtuStrankaListNazivFormated>
  <DomainObject.Predmet.ProtuStrankaListNazivFormatedOIB>
    <izvorni_sadrzaj>
      <item>HOGAČ j.d.o.o., OIB 54504869247</item>
    </izvorni_sadrzaj>
    <derivirana_varijabla naziv="DomainObject.Predmet.ProtuStrankaListNazivFormatedOIB_1">
      <item>HOGAČ j.d.o.o., OIB 54504869247</item>
    </derivirana_varijabla>
  </DomainObject.Predmet.ProtuStrankaListNazivFormatedOIB>
  <DomainObject.Predmet.OstaliListFormated>
    <izvorni_sadrzaj>
      <item>Luka Hogač</item>
    </izvorni_sadrzaj>
    <derivirana_varijabla naziv="DomainObject.Predmet.OstaliListFormated_1">
      <item>Luka Hogač</item>
    </derivirana_varijabla>
  </DomainObject.Predmet.OstaliListFormated>
  <DomainObject.Predmet.OstaliListFormatedOIB>
    <izvorni_sadrzaj>
      <item>Luka Hogač, OIB 80492273342</item>
    </izvorni_sadrzaj>
    <derivirana_varijabla naziv="DomainObject.Predmet.OstaliListFormatedOIB_1">
      <item>Luka Hogač, OIB 80492273342</item>
    </derivirana_varijabla>
  </DomainObject.Predmet.OstaliListFormatedOIB>
  <DomainObject.Predmet.OstaliListFormatedWithAdress>
    <izvorni_sadrzaj>
      <item>Luka Hogač, Voćarska ulica 11, 10291 Sveti Križ</item>
    </izvorni_sadrzaj>
    <derivirana_varijabla naziv="DomainObject.Predmet.OstaliListFormatedWithAdress_1">
      <item>Luka Hogač, Voćarska ulica 11, 10291 Sveti Križ</item>
    </derivirana_varijabla>
  </DomainObject.Predmet.OstaliListFormatedWithAdress>
  <DomainObject.Predmet.OstaliListFormatedWithAdressOIB>
    <izvorni_sadrzaj>
      <item>Luka Hogač, OIB 80492273342, Voćarska ulica 11, 10291 Sveti Križ</item>
    </izvorni_sadrzaj>
    <derivirana_varijabla naziv="DomainObject.Predmet.OstaliListFormatedWithAdressOIB_1">
      <item>Luka Hogač, OIB 80492273342, Voćarska ulica 11, 10291 Sveti Križ</item>
    </derivirana_varijabla>
  </DomainObject.Predmet.OstaliListFormatedWithAdressOIB>
  <DomainObject.Predmet.OstaliListNazivFormated>
    <izvorni_sadrzaj>
      <item>Luka Hogač</item>
    </izvorni_sadrzaj>
    <derivirana_varijabla naziv="DomainObject.Predmet.OstaliListNazivFormated_1">
      <item>Luka Hogač</item>
    </derivirana_varijabla>
  </DomainObject.Predmet.OstaliListNazivFormated>
  <DomainObject.Predmet.OstaliListNazivFormatedOIB>
    <izvorni_sadrzaj>
      <item>Luka Hogač, OIB 80492273342</item>
    </izvorni_sadrzaj>
    <derivirana_varijabla naziv="DomainObject.Predmet.OstaliListNazivFormatedOIB_1">
      <item>Luka Hogač, OIB 80492273342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ožujka 2018.</izvorni_sadrzaj>
    <derivirana_varijabla naziv="DomainObject.Datum_1">22. ožujka 2018.</derivirana_varijabla>
  </DomainObject.Datum>
  <DomainObject.PoslovniBrojDokumenta>
    <izvorni_sadrzaj>St-3130/2016-16</izvorni_sadrzaj>
    <derivirana_varijabla naziv="DomainObject.PoslovniBrojDokumenta_1">St-3130/2016-16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HOGAČ j.d.o.o.</izvorni_sadrzaj>
    <derivirana_varijabla naziv="DomainObject.Predmet.ProtustrankaIDrugi_1">HOGAČ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HOGAČ j.d.o.o., OIB 54504869247, Stari dvor 4, 10292 Gornji Laduč</izvorni_sadrzaj>
    <derivirana_varijabla naziv="DomainObject.Predmet.ProtustrankaIDrugiAdressOIB_1">HOGAČ j.d.o.o., OIB 54504869247, Stari dvor 4, 10292 Gornji Laduč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HOGAČ j.d.o.o.</item>
      <item>Luka Hogač</item>
    </izvorni_sadrzaj>
    <derivirana_varijabla naziv="DomainObject.Predmet.SudioniciListNaziv_1">
      <item>FINA Regionalni centar Zagreb</item>
      <item>HOGAČ j.d.o.o.</item>
      <item>Luka Hogač</item>
    </derivirana_varijabla>
  </DomainObject.Predmet.SudioniciListNaziv>
  <DomainObject.Predmet.SudioniciListAdressOIB>
    <izvorni_sadrzaj>
      <item>FINA Regionalni centar Zagreb, OIB 85821130368, Trg svibanjskih žrtava 1995. 1,10000 Zagreb</item>
      <item>HOGAČ j.d.o.o., OIB 54504869247, Stari dvor 4,10292 Gornji Laduč</item>
      <item>Luka Hogač, OIB 80492273342, Voćarska ulica 11,10291 Sveti Križ</item>
    </izvorni_sadrzaj>
    <derivirana_varijabla naziv="DomainObject.Predmet.SudioniciListAdressOIB_1">
      <item>FINA Regionalni centar Zagreb, OIB 85821130368, Trg svibanjskih žrtava 1995. 1,10000 Zagreb</item>
      <item>HOGAČ j.d.o.o., OIB 54504869247, Stari dvor 4,10292 Gornji Laduč</item>
      <item>Luka Hogač, OIB 80492273342, Voćarska ulica 11,10291 Sveti Križ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54504869247</item>
      <item>, OIB 80492273342</item>
    </izvorni_sadrzaj>
    <derivirana_varijabla naziv="DomainObject.Predmet.SudioniciListNazivOIB_1">
      <item>, OIB 85821130368</item>
      <item>, OIB 54504869247</item>
      <item>, OIB 80492273342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841</properties:Words>
  <properties:Characters>4603</properties:Characters>
  <properties:Lines>115</properties:Lines>
  <properties:Paragraphs>33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5480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2018-03-22T13:43:00Z</dcterms:created>
  <dc:creator>Monika Grbac</dc:creator>
  <cp:lastModifiedBy>Monika Grbac</cp:lastModifiedBy>
  <cp:lastPrinted>2018-02-26T12:20:00Z</cp:lastPrinted>
  <dcterms:modified xmlns:xsi="http://www.w3.org/2001/XMLSchema-instance" xsi:type="dcterms:W3CDTF">2018-03-22T13:46:00Z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St-3130/2016-16 / Odluka - Rješenje - otvaranje i zaključenje stečajnog postupka (čl. 132) (st-3130-16_HOGAČ.docx)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