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d3e32" w14:paraId="0dd3e32" w:rsidRDefault="009E6382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1322070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E6382" w:rsidP="009E6382" w:rsidR="00AE649C">
      <w:pPr>
        <w:pStyle w:val="Bezproreda"/>
      </w:pPr>
      <w:r>
        <w:t xml:space="preserve">     Republika Hrvatska</w:t>
      </w:r>
    </w:p>
    <w:p w:rsidRDefault="009E6382" w:rsidP="009E6382" w:rsidR="009E6382">
      <w:pPr>
        <w:pStyle w:val="Bezproreda"/>
      </w:pPr>
      <w:r>
        <w:t>Trgovački sud u Bjelovaru</w:t>
      </w:r>
    </w:p>
    <w:p w:rsidRDefault="009E6382" w:rsidP="009E6382" w:rsidR="009E6382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9E6382" w:rsidP="009E6382" w:rsidR="009E6382">
      <w:pPr>
        <w:pStyle w:val="Bezproreda"/>
      </w:pPr>
    </w:p>
    <w:p w:rsidRDefault="009E6382" w:rsidP="009E6382" w:rsidR="009E6382">
      <w:pPr>
        <w:pStyle w:val="Bezproreda"/>
        <w:ind w:firstLine="708" w:left="3540"/>
        <w:jc w:val="center"/>
      </w:pPr>
      <w:r>
        <w:t>Poslovni broj: 1 St-182/2016-63</w:t>
      </w:r>
    </w:p>
    <w:p w:rsidRDefault="009E6382" w:rsidP="009E6382" w:rsidR="009E6382">
      <w:pPr>
        <w:pStyle w:val="Bezproreda"/>
        <w:jc w:val="center"/>
      </w:pPr>
    </w:p>
    <w:p w:rsidRDefault="009E6382" w:rsidP="009E6382" w:rsidR="009E6382">
      <w:pPr>
        <w:pStyle w:val="Bezproreda"/>
      </w:pPr>
    </w:p>
    <w:p w:rsidRDefault="009E6382" w:rsidP="009E6382" w:rsidR="009E6382">
      <w:pPr>
        <w:pStyle w:val="Bezproreda"/>
      </w:pPr>
    </w:p>
    <w:p w:rsidRDefault="009E6382" w:rsidP="009E6382" w:rsidR="009E6382">
      <w:pPr>
        <w:pStyle w:val="Bezproreda"/>
        <w:jc w:val="center"/>
      </w:pPr>
      <w:r>
        <w:t>R E P U B L I K A       H R V A T S K A</w:t>
      </w:r>
    </w:p>
    <w:p w:rsidRDefault="009E6382" w:rsidP="009E6382" w:rsidR="009E6382">
      <w:pPr>
        <w:pStyle w:val="Bezproreda"/>
        <w:jc w:val="center"/>
      </w:pPr>
    </w:p>
    <w:p w:rsidRDefault="009E6382" w:rsidP="009E6382" w:rsidR="009E6382">
      <w:pPr>
        <w:pStyle w:val="Bezproreda"/>
        <w:jc w:val="center"/>
      </w:pPr>
      <w:r>
        <w:t>R J E Š E N J E</w:t>
      </w:r>
    </w:p>
    <w:p w:rsidRDefault="009E6382" w:rsidP="009E6382" w:rsidR="009E6382">
      <w:pPr>
        <w:pStyle w:val="Bezproreda"/>
      </w:pPr>
    </w:p>
    <w:p w:rsidRDefault="009E6382" w:rsidP="009E6382" w:rsidR="009E6382">
      <w:pPr>
        <w:pStyle w:val="Bezproreda"/>
      </w:pPr>
    </w:p>
    <w:p w:rsidRDefault="009E6382" w:rsidP="009E6382" w:rsidR="009E6382">
      <w:pPr>
        <w:pStyle w:val="Bezproreda"/>
        <w:ind w:firstLine="708"/>
      </w:pPr>
      <w:r>
        <w:t xml:space="preserve">TRGOVAČKI SUD U BJELOVARU,  po  sucu Branki Pleskalt, u predmetu stečaja  nad Stečajnom masom iza VITAFLORE d.o.o. u stečaju, Osijek, Vijenac I. Meštrovića 74, OIB: 24736040978,  20. lipnja 2018. </w:t>
      </w:r>
    </w:p>
    <w:p w:rsidRDefault="009E6382" w:rsidP="009E6382" w:rsidR="009E6382">
      <w:pPr>
        <w:pStyle w:val="Bezproreda"/>
      </w:pPr>
    </w:p>
    <w:p w:rsidRDefault="009E6382" w:rsidP="009E6382" w:rsidR="009E6382">
      <w:pPr>
        <w:pStyle w:val="Bezproreda"/>
        <w:jc w:val="center"/>
      </w:pPr>
      <w:r>
        <w:t>r i j e š i o      j e</w:t>
      </w:r>
    </w:p>
    <w:p w:rsidRDefault="009E6382" w:rsidP="009E6382" w:rsidR="009E6382">
      <w:pPr>
        <w:pStyle w:val="Bezproreda"/>
      </w:pPr>
    </w:p>
    <w:p w:rsidRDefault="009E6382" w:rsidP="009E6382" w:rsidR="009E6382">
      <w:pPr>
        <w:pStyle w:val="Bezproreda"/>
        <w:ind w:firstLine="708"/>
      </w:pPr>
      <w:r>
        <w:t xml:space="preserve">Stečajnom upravitelju Miji Rončević iz Osijeka, I. Meštrovića 74,   odobrava se isplata putnih troškova u bruto iznosu od  3.448,29 kuna,  u skladu s odredbom članka 29. Stečajnog zakona sa žiro-račun Stečajne </w:t>
      </w:r>
      <w:r w:rsidR="00CB79AD">
        <w:t>mase iza stečajnog dužnika VITA</w:t>
      </w:r>
      <w:r>
        <w:t xml:space="preserve">FLORA d.o.o. u stečaju, Osijek,  na njegov žiro-račun.  </w:t>
      </w:r>
    </w:p>
    <w:p w:rsidRDefault="009E6382" w:rsidP="009E6382" w:rsidR="009E6382">
      <w:pPr>
        <w:pStyle w:val="Bezproreda"/>
      </w:pPr>
    </w:p>
    <w:p w:rsidRDefault="009E6382" w:rsidP="009E6382" w:rsidR="009E6382">
      <w:pPr>
        <w:pStyle w:val="Bezproreda"/>
        <w:jc w:val="center"/>
      </w:pPr>
      <w:r>
        <w:t>Obrazloženje</w:t>
      </w:r>
    </w:p>
    <w:p w:rsidRDefault="009E6382" w:rsidP="009E6382" w:rsidR="009E6382">
      <w:pPr>
        <w:pStyle w:val="Bezproreda"/>
        <w:jc w:val="center"/>
      </w:pPr>
    </w:p>
    <w:p w:rsidRDefault="009E6382" w:rsidP="009E6382" w:rsidR="009E6382">
      <w:pPr>
        <w:pStyle w:val="Bezproreda"/>
        <w:ind w:firstLine="708"/>
      </w:pPr>
      <w:r>
        <w:t>Podneskom koji je zaprimljen dana 15. svibnja  2018. godine u stečajnom predmetu  nad Stečajnom masom iza stečajnim dužnikom VITAFLORA d.o.o. u stečaju, stečajni upravitelj Mijo Rončević iz Osijeka zatražio je isplatu putnih troškova  za razdoblje od 2. studenog 2017. godine do 12. svibnja 2018. godine u ukupnom bruto iznosu od 3.448,29 kuna  te je na okolnost visine zatraženih troškova dostavio na spis obračune putnih i stvarnih troškova.</w:t>
      </w:r>
    </w:p>
    <w:p w:rsidRDefault="009E6382" w:rsidP="009E6382" w:rsidR="009E6382">
      <w:pPr>
        <w:pStyle w:val="Bezproreda"/>
      </w:pPr>
    </w:p>
    <w:p w:rsidRDefault="009E6382" w:rsidP="009E6382" w:rsidR="009E6382">
      <w:pPr>
        <w:pStyle w:val="Bezproreda"/>
        <w:ind w:firstLine="708"/>
      </w:pPr>
      <w:r>
        <w:t>U skladu sa odredbom članka 29. Stečajnog zakona (NN br. 44/96, 29/99, 123/03, 82/06, 116/10, 25/12 i 133/12, dalje : SZ),  sudac je uzimajući u obzir obujam poslova i rad stečajnog upravitelja odobrio isplatu naknade  te odlučio kao  u izreci ovog rješenja.</w:t>
      </w:r>
    </w:p>
    <w:p w:rsidRDefault="009E6382" w:rsidP="009E6382" w:rsidR="009E6382">
      <w:pPr>
        <w:pStyle w:val="Bezproreda"/>
      </w:pPr>
    </w:p>
    <w:p w:rsidRDefault="009E6382" w:rsidP="009E6382" w:rsidR="009E6382">
      <w:pPr>
        <w:pStyle w:val="Bezproreda"/>
        <w:ind w:firstLine="708"/>
      </w:pPr>
      <w:r>
        <w:t>U Bjelovaru, 20. lipnja  2018.</w:t>
      </w:r>
    </w:p>
    <w:p w:rsidRDefault="009E6382" w:rsidP="009E6382" w:rsidR="009E6382">
      <w:pPr>
        <w:pStyle w:val="Bezproreda"/>
      </w:pPr>
    </w:p>
    <w:p w:rsidRDefault="009E6382" w:rsidP="009E6382" w:rsidR="009E6382">
      <w:pPr>
        <w:pStyle w:val="Bezproreda"/>
        <w:ind w:firstLine="708" w:left="4248"/>
      </w:pPr>
      <w:r>
        <w:t xml:space="preserve">       S u d a c</w:t>
      </w:r>
    </w:p>
    <w:p w:rsidRDefault="009E6382" w:rsidP="009E6382" w:rsidR="009E6382">
      <w:pPr>
        <w:pStyle w:val="Bezproreda"/>
      </w:pPr>
    </w:p>
    <w:p w:rsidRDefault="009E6382" w:rsidP="009E6382" w:rsidR="009E6382">
      <w:pPr>
        <w:pStyle w:val="Bezproreda"/>
      </w:pPr>
      <w:r>
        <w:t xml:space="preserve">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Branka Pleskalt v.r.</w:t>
      </w:r>
    </w:p>
    <w:p w:rsidRDefault="009E6382" w:rsidP="009E6382" w:rsidR="009E6382">
      <w:pPr>
        <w:pStyle w:val="Bezproreda"/>
      </w:pPr>
    </w:p>
    <w:p w:rsidRDefault="009E6382" w:rsidP="009E6382" w:rsidR="009E638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9E6382" w:rsidP="009E6382" w:rsidR="009E6382" w:rsidRPr="00B76F3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Vesna Dragišić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382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B79AD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9E6382"/>
    <w:rPr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lineRule="auto" w:line="240" w:after="240" w:before="480"/>
      <w:outlineLvl w:val="0"/>
    </w:pPr>
    <w:rPr>
      <w:rFonts w:cstheme="majorBidi" w:eastAsiaTheme="majorEastAsia" w:hAnsi="Times New Roman" w:ascii="Times New Roman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lineRule="auto" w:line="240" w:after="240"/>
      <w:outlineLvl w:val="1"/>
    </w:pPr>
    <w:rPr>
      <w:rFonts w:hAnsi="Times New Roman" w:ascii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lineRule="auto" w:line="240"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sz w:val="24"/>
      <w:szCs w:val="24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lineRule="auto" w:line="240"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 w:val="24"/>
      <w:szCs w:val="24"/>
    </w:rPr>
  </w:style>
  <w:style w:styleId="Naslov5" w:type="paragraph">
    <w:name w:val="heading 5"/>
    <w:basedOn w:val="Normal"/>
    <w:next w:val="Normal"/>
    <w:link w:val="Naslov5Char"/>
    <w:rsid w:val="00EB0D4C"/>
    <w:pPr>
      <w:spacing w:lineRule="auto" w:line="240" w:after="0" w:before="120"/>
      <w:ind w:hanging="432" w:left="1008"/>
      <w:outlineLvl w:val="4"/>
    </w:pPr>
    <w:rPr>
      <w:rFonts w:eastAsia="Times New Roman" w:hAnsi="Arial" w:ascii="Arial"/>
      <w:noProof/>
      <w:kern w:val="22"/>
      <w:szCs w:val="24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lineRule="auto" w:line="240"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Cs w:val="24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lineRule="auto" w:line="240" w:after="0" w:before="120"/>
      <w:ind w:hanging="288" w:left="1296"/>
      <w:outlineLvl w:val="6"/>
    </w:pPr>
    <w:rPr>
      <w:rFonts w:eastAsia="Times New Roman" w:hAnsi="Arial" w:ascii="Arial"/>
      <w:noProof/>
      <w:kern w:val="20"/>
      <w:szCs w:val="24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lineRule="auto" w:line="240"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Cs w:val="24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lineRule="auto" w:line="240"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lineRule="auto" w:line="240" w:after="480" w:before="480"/>
      <w:jc w:val="center"/>
    </w:pPr>
    <w:rPr>
      <w:rFonts w:hAnsi="Times New Roman" w:ascii="Times New Roman"/>
      <w:caps/>
      <w:spacing w:val="100"/>
      <w:sz w:val="24"/>
      <w:szCs w:val="24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lineRule="auto" w:line="240" w:after="480" w:before="480"/>
      <w:jc w:val="center"/>
    </w:pPr>
    <w:rPr>
      <w:rFonts w:hAnsi="Times New Roman" w:ascii="Times New Roman"/>
      <w:spacing w:val="100"/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lineRule="auto" w:line="240" w:after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lineRule="auto" w:line="240" w:after="120"/>
      <w:ind w:left="4820"/>
    </w:pPr>
    <w:rPr>
      <w:rFonts w:hAnsi="Times New Roman" w:ascii="Times New Roman"/>
      <w:noProof/>
      <w:sz w:val="24"/>
      <w:szCs w:val="24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lineRule="auto" w:line="240" w:after="120"/>
    </w:pPr>
    <w:rPr>
      <w:rFonts w:hAnsi="Times New Roman" w:ascii="Times New Roman"/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lineRule="auto" w:line="240" w:after="400" w:before="240"/>
      <w:jc w:val="center"/>
    </w:pPr>
    <w:rPr>
      <w:rFonts w:hAnsi="Times New Roman" w:ascii="Times New Roman"/>
      <w:sz w:val="24"/>
      <w:szCs w:val="24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lineRule="auto" w:line="240" w:after="0"/>
      <w:contextualSpacing/>
    </w:pPr>
    <w:rPr>
      <w:rFonts w:hAnsi="Times New Roman" w:ascii="Times New Roman"/>
      <w:noProof/>
      <w:sz w:val="20"/>
      <w:szCs w:val="24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lineRule="auto" w:line="240" w:after="240"/>
      <w:ind w:left="2880"/>
    </w:pPr>
    <w:rPr>
      <w:rFonts w:cstheme="majorBidi" w:eastAsiaTheme="majorEastAsia" w:hAnsiTheme="majorHAnsi" w:asciiTheme="majorHAnsi"/>
      <w:sz w:val="24"/>
      <w:szCs w:val="24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lineRule="auto" w:line="240" w:after="120" w:before="600"/>
    </w:pPr>
    <w:rPr>
      <w:rFonts w:hAnsi="Times New Roman" w:ascii="Times New Roman"/>
      <w:b/>
      <w:caps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lineRule="auto" w:line="240" w:after="0"/>
      <w:jc w:val="right"/>
    </w:pPr>
    <w:rPr>
      <w:rFonts w:hAnsi="Times New Roman" w:ascii="Times New Roman"/>
      <w:noProof/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lineRule="auto" w:line="240" w:after="60"/>
    </w:pPr>
    <w:rPr>
      <w:rFonts w:hAnsi="Times New Roman" w:ascii="Times New Roman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lineRule="auto" w:line="240" w:after="480"/>
      <w:jc w:val="right"/>
    </w:pPr>
    <w:rPr>
      <w:rFonts w:hAnsi="Times New Roman" w:ascii="Times New Roman"/>
      <w:noProof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lineRule="auto" w:line="240" w:after="280" w:before="200"/>
      <w:ind w:right="936" w:left="936"/>
    </w:pPr>
    <w:rPr>
      <w:rFonts w:hAnsi="Times New Roman" w:ascii="Times New Roman"/>
      <w:b/>
      <w:bCs/>
      <w:i/>
      <w:iCs/>
      <w:color w:themeColor="accent1" w:val="4F81BD"/>
      <w:sz w:val="24"/>
      <w:szCs w:val="24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lineRule="auto" w:line="240" w:after="0" w:before="6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lineRule="auto" w:line="240" w:after="0" w:before="120"/>
    </w:pPr>
    <w:rPr>
      <w:rFonts w:hAnsi="Times New Roman" w:ascii="Times New Roman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lineRule="auto" w:line="240" w:after="480" w:before="480"/>
      <w:jc w:val="center"/>
    </w:pPr>
    <w:rPr>
      <w:rFonts w:hAnsi="Times New Roman" w:ascii="Times New Roman"/>
      <w:b/>
      <w:caps/>
      <w:spacing w:val="100"/>
      <w:sz w:val="24"/>
      <w:szCs w:val="24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lineRule="auto" w:line="240" w:after="240"/>
      <w:ind w:left="720"/>
    </w:pPr>
    <w:rPr>
      <w:rFonts w:hAnsi="Times New Roman" w:ascii="Times New Roman"/>
      <w:sz w:val="24"/>
      <w:szCs w:val="24"/>
    </w:rPr>
  </w:style>
  <w:style w:customStyle="true" w:styleId="Normal-NoSpace" w:type="paragraph">
    <w:name w:val="Normal-No Space"/>
    <w:basedOn w:val="Normal"/>
    <w:rsid w:val="00EB0D4C"/>
    <w:pPr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lineRule="auto" w:line="240" w:after="240"/>
      <w:jc w:val="right"/>
    </w:pPr>
    <w:rPr>
      <w:rFonts w:hAnsi="Times New Roman" w:ascii="Times New Roman"/>
      <w:noProof/>
      <w:sz w:val="24"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lineRule="auto" w:line="240" w:after="240"/>
    </w:pPr>
    <w:rPr>
      <w:rFonts w:hAnsi="Times New Roman" w:ascii="Times New Roman"/>
      <w:i/>
      <w:iCs/>
      <w:color w:themeColor="text1" w:val="000000"/>
      <w:sz w:val="24"/>
      <w:szCs w:val="24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lineRule="auto" w:line="240" w:after="240"/>
    </w:pPr>
    <w:rPr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lineRule="auto" w:line="240" w:after="0"/>
    </w:pPr>
    <w:rPr>
      <w:rFonts w:hAnsi="Times New Roman" w:ascii="Times New Roman"/>
      <w:noProof/>
      <w:sz w:val="24"/>
      <w:szCs w:val="24"/>
    </w:rPr>
  </w:style>
  <w:style w:customStyle="true" w:styleId="SudNaziv" w:type="paragraph">
    <w:name w:val="Sud_Naziv"/>
    <w:basedOn w:val="Normal"/>
    <w:rsid w:val="00EB0D4C"/>
    <w:pPr>
      <w:spacing w:lineRule="auto" w:line="240" w:after="0"/>
    </w:pPr>
    <w:rPr>
      <w:rFonts w:hAnsi="Times New Roman" w:ascii="Times New Roman"/>
      <w:b/>
      <w:noProof/>
      <w:sz w:val="24"/>
      <w:szCs w:val="24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lineRule="auto" w:line="240" w:after="0" w:before="400"/>
      <w:ind w:left="5387"/>
      <w:contextualSpacing/>
    </w:pPr>
    <w:rPr>
      <w:rFonts w:hAnsi="Times New Roman" w:ascii="Times New Roman"/>
      <w:noProof/>
      <w:sz w:val="24"/>
      <w:szCs w:val="24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lineRule="auto" w:line="240" w:after="360" w:before="480"/>
      <w:ind w:left="5387"/>
    </w:pPr>
    <w:rPr>
      <w:rFonts w:hAnsi="Times New Roman" w:ascii="Times New Roman"/>
      <w:noProof/>
      <w:sz w:val="24"/>
      <w:szCs w:val="24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lineRule="auto" w:line="240" w:after="120" w:before="360"/>
    </w:pPr>
    <w:rPr>
      <w:rFonts w:hAnsi="Times New Roman" w:ascii="Times New Roman"/>
      <w:sz w:val="24"/>
      <w:szCs w:val="24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lineRule="auto" w:line="240" w:after="360" w:before="360"/>
      <w:ind w:left="5387"/>
    </w:pPr>
    <w:rPr>
      <w:rFonts w:hAnsi="Times New Roman" w:ascii="Times New Roman"/>
      <w:noProof/>
      <w:sz w:val="24"/>
      <w:szCs w:val="24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lineRule="auto" w:line="240" w:after="120" w:before="360"/>
      <w:ind w:left="5387"/>
    </w:pPr>
    <w:rPr>
      <w:rFonts w:hAnsi="Times New Roman" w:ascii="Times New Roman"/>
      <w:noProof/>
      <w:sz w:val="24"/>
      <w:szCs w:val="24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lineRule="auto" w:line="240" w:after="480" w:before="480"/>
      <w:jc w:val="center"/>
    </w:pPr>
    <w:rPr>
      <w:rFonts w:hAnsi="Times New Roman" w:ascii="Times New Roman"/>
      <w:sz w:val="24"/>
      <w:szCs w:val="24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lineRule="auto" w:line="240" w:after="240"/>
      <w:ind w:firstLine="567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lineRule="auto" w:line="240"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lineRule="auto" w:line="240" w:after="0" w:before="360"/>
      <w:ind w:left="5387"/>
    </w:pPr>
    <w:rPr>
      <w:rFonts w:hAnsi="Times New Roman" w:ascii="Times New Roman"/>
      <w:noProof/>
      <w:sz w:val="24"/>
      <w:szCs w:val="24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lineRule="auto" w:line="240"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hAnsi="Times New Roman" w:ascii="Times New Roman"/>
      <w:sz w:val="24"/>
      <w:szCs w:val="24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lineRule="auto" w:line="240" w:after="120"/>
    </w:pPr>
    <w:rPr>
      <w:rFonts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hAnsi="Times New Roman" w:ascii="Times New Roman"/>
      <w:sz w:val="24"/>
      <w:szCs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lineRule="auto" w:line="240" w:after="120"/>
      <w:ind w:left="283"/>
    </w:pPr>
    <w:rPr>
      <w:rFonts w:hAnsi="Times New Roman" w:ascii="Times New Roman"/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hAnsi="Times New Roman" w:ascii="Times New Roman"/>
      <w:sz w:val="24"/>
      <w:szCs w:val="24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lineRule="auto" w:line="240"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hAnsi="Times New Roman" w:ascii="Times New Roman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lineRule="auto" w:line="240" w:after="0"/>
      <w:ind w:left="4252"/>
    </w:pPr>
    <w:rPr>
      <w:rFonts w:hAnsi="Times New Roman" w:ascii="Times New Roman"/>
      <w:sz w:val="24"/>
      <w:szCs w:val="24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lineRule="auto" w:line="240" w:after="240"/>
    </w:pPr>
    <w:rPr>
      <w:rFonts w:hAnsi="Times New Roman" w:ascii="Times New Roman"/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lineRule="auto" w:line="240" w:after="0"/>
    </w:pPr>
    <w:rPr>
      <w:rFonts w:hAnsi="Times New Roman" w:ascii="Times New Roman"/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lineRule="auto" w:line="240" w:after="0"/>
    </w:pPr>
    <w:rPr>
      <w:rFonts w:hAnsi="Times New Roman" w:ascii="Times New Roman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40"/>
    </w:pPr>
    <w:rPr>
      <w:rFonts w:hAnsi="Times New Roman" w:ascii="Times New Roman"/>
      <w:sz w:val="24"/>
      <w:szCs w:val="24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480"/>
    </w:pPr>
    <w:rPr>
      <w:rFonts w:hAnsi="Times New Roman" w:ascii="Times New Roman"/>
      <w:sz w:val="24"/>
      <w:szCs w:val="24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720"/>
    </w:pPr>
    <w:rPr>
      <w:rFonts w:hAnsi="Times New Roman" w:ascii="Times New Roman"/>
      <w:sz w:val="24"/>
      <w:szCs w:val="24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960"/>
    </w:pPr>
    <w:rPr>
      <w:rFonts w:hAnsi="Times New Roman" w:ascii="Times New Roman"/>
      <w:sz w:val="24"/>
      <w:szCs w:val="24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200"/>
    </w:pPr>
    <w:rPr>
      <w:rFonts w:hAnsi="Times New Roman" w:ascii="Times New Roman"/>
      <w:sz w:val="24"/>
      <w:szCs w:val="24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440"/>
    </w:pPr>
    <w:rPr>
      <w:rFonts w:hAnsi="Times New Roman" w:ascii="Times New Roman"/>
      <w:sz w:val="24"/>
      <w:szCs w:val="24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680"/>
    </w:pPr>
    <w:rPr>
      <w:rFonts w:hAnsi="Times New Roman" w:ascii="Times New Roman"/>
      <w:sz w:val="24"/>
      <w:szCs w:val="24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920"/>
    </w:pPr>
    <w:rPr>
      <w:rFonts w:hAnsi="Times New Roman" w:ascii="Times New Roman"/>
      <w:sz w:val="24"/>
      <w:szCs w:val="24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160"/>
    </w:pPr>
    <w:rPr>
      <w:rFonts w:hAnsi="Times New Roman" w:ascii="Times New Roman"/>
      <w:sz w:val="24"/>
      <w:szCs w:val="24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lineRule="auto" w:line="240" w:after="240"/>
    </w:pPr>
    <w:rPr>
      <w:rFonts w:cstheme="majorBidi" w:eastAsiaTheme="majorEastAsia" w:hAnsiTheme="majorHAnsi" w:asciiTheme="majorHAnsi"/>
      <w:b/>
      <w:bCs/>
      <w:sz w:val="24"/>
      <w:szCs w:val="24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lineRule="auto" w:line="240" w:after="240"/>
    </w:pPr>
    <w:rPr>
      <w:rFonts w:hAnsi="Times New Roman" w:ascii="Times New Roman"/>
      <w:sz w:val="24"/>
      <w:szCs w:val="24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lineRule="auto" w:line="240" w:after="0"/>
      <w:ind w:left="4252"/>
    </w:pPr>
    <w:rPr>
      <w:rFonts w:hAnsi="Times New Roman" w:ascii="Times New Roman"/>
      <w:sz w:val="24"/>
      <w:szCs w:val="24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lineRule="auto" w:line="240" w:after="0"/>
      <w:ind w:hanging="240" w:left="240"/>
    </w:pPr>
    <w:rPr>
      <w:rFonts w:hAnsi="Times New Roman" w:ascii="Times New Roman"/>
      <w:sz w:val="24"/>
      <w:szCs w:val="24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lineRule="auto" w:line="240" w:after="240" w:before="120"/>
    </w:pPr>
    <w:rPr>
      <w:rFonts w:cstheme="majorBidi" w:eastAsiaTheme="majorEastAsia" w:hAnsiTheme="majorHAnsi" w:asciiTheme="majorHAnsi"/>
      <w:b/>
      <w:bCs/>
      <w:sz w:val="24"/>
      <w:szCs w:val="24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lineRule="auto" w:line="240" w:after="100"/>
    </w:pPr>
    <w:rPr>
      <w:rFonts w:hAnsi="Times New Roman" w:ascii="Times New Roman"/>
      <w:sz w:val="24"/>
      <w:szCs w:val="24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240"/>
    </w:pPr>
    <w:rPr>
      <w:rFonts w:hAnsi="Times New Roman" w:ascii="Times New Roman"/>
      <w:sz w:val="24"/>
      <w:szCs w:val="24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480"/>
    </w:pPr>
    <w:rPr>
      <w:rFonts w:hAnsi="Times New Roman" w:ascii="Times New Roman"/>
      <w:sz w:val="24"/>
      <w:szCs w:val="24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720"/>
    </w:pPr>
    <w:rPr>
      <w:rFonts w:hAnsi="Times New Roman" w:ascii="Times New Roman"/>
      <w:sz w:val="24"/>
      <w:szCs w:val="24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960"/>
    </w:pPr>
    <w:rPr>
      <w:rFonts w:hAnsi="Times New Roman" w:ascii="Times New Roman"/>
      <w:sz w:val="24"/>
      <w:szCs w:val="24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200"/>
    </w:pPr>
    <w:rPr>
      <w:rFonts w:hAnsi="Times New Roman" w:ascii="Times New Roman"/>
      <w:sz w:val="24"/>
      <w:szCs w:val="24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440"/>
    </w:pPr>
    <w:rPr>
      <w:rFonts w:hAnsi="Times New Roman" w:ascii="Times New Roman"/>
      <w:sz w:val="24"/>
      <w:szCs w:val="24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680"/>
    </w:pPr>
    <w:rPr>
      <w:rFonts w:hAnsi="Times New Roman" w:ascii="Times New Roman"/>
      <w:sz w:val="24"/>
      <w:szCs w:val="24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920"/>
    </w:pPr>
    <w:rPr>
      <w:rFonts w:hAnsi="Times New Roman" w:ascii="Times New Roman"/>
      <w:sz w:val="24"/>
      <w:szCs w:val="24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lineRule="auto" w:line="240" w:after="0" w:before="360"/>
    </w:pPr>
    <w:rPr>
      <w:rFonts w:hAnsi="Times New Roman" w:ascii="Times New Roman"/>
      <w:sz w:val="20"/>
      <w:szCs w:val="24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lineRule="auto" w:line="240" w:after="0"/>
    </w:pPr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lineRule="auto" w:line="240" w:after="0" w:before="240"/>
    </w:pPr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lineRule="auto" w:line="240" w:after="0"/>
    </w:pPr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lineRule="auto" w:line="240" w:after="0" w:before="360"/>
    </w:pPr>
    <w:rPr>
      <w:rFonts w:hAnsi="Times New Roman" w:ascii="Times New Roman"/>
      <w:noProof/>
      <w:sz w:val="24"/>
      <w:szCs w:val="24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lineRule="auto" w:line="240" w:after="0"/>
    </w:pPr>
    <w:rPr>
      <w:rFonts w:cs="Times New Roman" w:eastAsia="Calibri" w:hAnsi="Times New Roman" w:ascii="Times New Roman"/>
      <w:color w:val="000000"/>
      <w:sz w:val="24"/>
      <w:szCs w:val="24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lineRule="auto" w:line="240" w:after="0" w:before="360"/>
    </w:pPr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lineRule="auto" w:line="240" w:after="240"/>
      <w:jc w:val="both"/>
    </w:pPr>
    <w:rPr>
      <w:rFonts w:hAnsi="Times New Roman" w:ascii="Times New Roman"/>
      <w:sz w:val="24"/>
      <w:szCs w:val="24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lineRule="auto" w:line="240" w:after="120" w:before="480"/>
      <w:ind w:hanging="992" w:left="1559"/>
    </w:pPr>
    <w:rPr>
      <w:rFonts w:hAnsi="Times New Roman" w:ascii="Times New Roman"/>
      <w:sz w:val="24"/>
      <w:szCs w:val="24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9E6382"/>
    <w:rPr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 w:line="240" w:lineRule="auto"/>
      <w:outlineLvl w:val="0"/>
    </w:pPr>
    <w:rPr>
      <w:rFonts w:ascii="Times New Roman" w:cstheme="majorBidi" w:eastAsiaTheme="majorEastAsia" w:hAnsi="Times New Roman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 w:line="240" w:lineRule="auto"/>
      <w:outlineLvl w:val="1"/>
    </w:pPr>
    <w:rPr>
      <w:rFonts w:ascii="Times New Roman" w:hAnsi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 w:line="240" w:lineRule="auto"/>
      <w:ind w:hanging="432" w:left="720"/>
      <w:outlineLvl w:val="2"/>
    </w:pPr>
    <w:rPr>
      <w:rFonts w:ascii="Times New Roman" w:cstheme="majorBidi" w:eastAsiaTheme="majorEastAsia" w:hAnsi="Times New Roman"/>
      <w:b/>
      <w:bCs/>
      <w:sz w:val="24"/>
      <w:szCs w:val="24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 w:line="240" w:lineRule="auto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 w:val="24"/>
      <w:szCs w:val="24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 w:line="240" w:lineRule="auto"/>
      <w:ind w:hanging="432" w:left="1008"/>
      <w:outlineLvl w:val="4"/>
    </w:pPr>
    <w:rPr>
      <w:rFonts w:ascii="Arial" w:eastAsia="Times New Roman" w:hAnsi="Arial"/>
      <w:noProof/>
      <w:kern w:val="22"/>
      <w:szCs w:val="24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 w:line="240" w:lineRule="auto"/>
      <w:ind w:hanging="432" w:left="1152"/>
      <w:outlineLvl w:val="5"/>
    </w:pPr>
    <w:rPr>
      <w:rFonts w:ascii="Arial" w:eastAsia="Times New Roman" w:hAnsi="Arial"/>
      <w:i/>
      <w:noProof/>
      <w:kern w:val="22"/>
      <w:szCs w:val="24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 w:line="240" w:lineRule="auto"/>
      <w:ind w:hanging="288" w:left="1296"/>
      <w:outlineLvl w:val="6"/>
    </w:pPr>
    <w:rPr>
      <w:rFonts w:ascii="Arial" w:eastAsia="Times New Roman" w:hAnsi="Arial"/>
      <w:noProof/>
      <w:kern w:val="20"/>
      <w:szCs w:val="24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 w:line="240" w:lineRule="auto"/>
      <w:ind w:hanging="432" w:left="1440"/>
      <w:outlineLvl w:val="7"/>
    </w:pPr>
    <w:rPr>
      <w:rFonts w:ascii="Arial" w:eastAsia="Times New Roman" w:hAnsi="Arial"/>
      <w:i/>
      <w:noProof/>
      <w:kern w:val="20"/>
      <w:szCs w:val="24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 w:line="240" w:lineRule="auto"/>
      <w:ind w:hanging="144" w:left="1584"/>
      <w:outlineLvl w:val="8"/>
    </w:pPr>
    <w:rPr>
      <w:rFonts w:ascii="Arial" w:eastAsia="Times New Roman" w:hAnsi="Arial"/>
      <w:i/>
      <w:noProof/>
      <w:kern w:val="18"/>
      <w:sz w:val="18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 w:line="240" w:lineRule="auto"/>
      <w:jc w:val="center"/>
    </w:pPr>
    <w:rPr>
      <w:rFonts w:ascii="Times New Roman" w:hAnsi="Times New Roman"/>
      <w:caps/>
      <w:spacing w:val="100"/>
      <w:sz w:val="24"/>
      <w:szCs w:val="24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 w:line="240" w:lineRule="auto"/>
      <w:jc w:val="center"/>
    </w:pPr>
    <w:rPr>
      <w:rFonts w:ascii="Times New Roman" w:hAnsi="Times New Roman"/>
      <w:spacing w:val="100"/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 w:line="240" w:lineRule="auto"/>
      <w:ind w:left="4820"/>
    </w:pPr>
    <w:rPr>
      <w:rFonts w:ascii="Times New Roman" w:hAnsi="Times New Roman"/>
      <w:noProof/>
      <w:sz w:val="24"/>
      <w:szCs w:val="24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 w:line="240" w:lineRule="auto"/>
    </w:pPr>
    <w:rPr>
      <w:rFonts w:ascii="Times New Roman" w:hAnsi="Times New Roman"/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 w:line="240" w:lineRule="auto"/>
      <w:jc w:val="center"/>
    </w:pPr>
    <w:rPr>
      <w:rFonts w:ascii="Times New Roman" w:hAnsi="Times New Roman"/>
      <w:sz w:val="24"/>
      <w:szCs w:val="24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 w:line="240" w:lineRule="auto"/>
      <w:contextualSpacing/>
    </w:pPr>
    <w:rPr>
      <w:rFonts w:ascii="Times New Roman" w:hAnsi="Times New Roman"/>
      <w:noProof/>
      <w:sz w:val="20"/>
      <w:szCs w:val="24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 w:line="240" w:lineRule="auto"/>
      <w:ind w:left="2880"/>
    </w:pPr>
    <w:rPr>
      <w:rFonts w:asciiTheme="majorHAnsi" w:cstheme="majorBidi" w:eastAsiaTheme="majorEastAsia" w:hAnsiTheme="majorHAnsi"/>
      <w:sz w:val="24"/>
      <w:szCs w:val="24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 w:line="240" w:lineRule="auto"/>
    </w:pPr>
    <w:rPr>
      <w:rFonts w:ascii="Times New Roman" w:hAnsi="Times New Roman"/>
      <w:b/>
      <w:caps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 w:line="240" w:lineRule="auto"/>
      <w:jc w:val="right"/>
    </w:pPr>
    <w:rPr>
      <w:rFonts w:ascii="Times New Roman" w:hAnsi="Times New Roman"/>
      <w:noProof/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 w:line="240" w:lineRule="auto"/>
    </w:pPr>
    <w:rPr>
      <w:rFonts w:ascii="Times New Roman" w:hAnsi="Times New Roman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 w:line="240" w:lineRule="auto"/>
      <w:jc w:val="right"/>
    </w:pPr>
    <w:rPr>
      <w:rFonts w:ascii="Times New Roman" w:hAnsi="Times New Roman"/>
      <w:noProof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 w:line="240" w:lineRule="auto"/>
      <w:ind w:left="936" w:right="936"/>
    </w:pPr>
    <w:rPr>
      <w:rFonts w:ascii="Times New Roman" w:hAnsi="Times New Roman"/>
      <w:b/>
      <w:bCs/>
      <w:i/>
      <w:iCs/>
      <w:color w:themeColor="accent1" w:val="4F81BD"/>
      <w:sz w:val="24"/>
      <w:szCs w:val="24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 w:line="240" w:lineRule="auto"/>
    </w:pPr>
    <w:rPr>
      <w:rFonts w:ascii="Times New Roman" w:hAnsi="Times New Roman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 w:line="240" w:lineRule="auto"/>
      <w:jc w:val="center"/>
    </w:pPr>
    <w:rPr>
      <w:rFonts w:ascii="Times New Roman" w:hAnsi="Times New Roman"/>
      <w:b/>
      <w:caps/>
      <w:spacing w:val="100"/>
      <w:sz w:val="24"/>
      <w:szCs w:val="24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 w:line="240" w:lineRule="auto"/>
      <w:ind w:left="720"/>
    </w:pPr>
    <w:rPr>
      <w:rFonts w:ascii="Times New Roman" w:hAnsi="Times New Roman"/>
      <w:sz w:val="24"/>
      <w:szCs w:val="24"/>
    </w:rPr>
  </w:style>
  <w:style w:customStyle="1" w:styleId="Normal-NoSpace" w:type="paragraph">
    <w:name w:val="Normal-No Space"/>
    <w:basedOn w:val="Normal"/>
    <w:rsid w:val="00EB0D4C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 w:line="240" w:lineRule="auto"/>
      <w:jc w:val="right"/>
    </w:pPr>
    <w:rPr>
      <w:rFonts w:ascii="Times New Roman" w:hAnsi="Times New Roman"/>
      <w:noProof/>
      <w:sz w:val="24"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 w:line="240" w:lineRule="auto"/>
    </w:pPr>
    <w:rPr>
      <w:rFonts w:ascii="Times New Roman" w:hAnsi="Times New Roman"/>
      <w:i/>
      <w:iCs/>
      <w:color w:themeColor="text1" w:val="000000"/>
      <w:sz w:val="24"/>
      <w:szCs w:val="24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 w:line="240" w:lineRule="auto"/>
    </w:pPr>
    <w:rPr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 w:line="240" w:lineRule="auto"/>
    </w:pPr>
    <w:rPr>
      <w:rFonts w:ascii="Times New Roman" w:hAnsi="Times New Roman"/>
      <w:noProof/>
      <w:sz w:val="24"/>
      <w:szCs w:val="24"/>
    </w:rPr>
  </w:style>
  <w:style w:customStyle="1" w:styleId="SudNaziv" w:type="paragraph">
    <w:name w:val="Sud_Naziv"/>
    <w:basedOn w:val="Normal"/>
    <w:rsid w:val="00EB0D4C"/>
    <w:pPr>
      <w:spacing w:after="0" w:line="240" w:lineRule="auto"/>
    </w:pPr>
    <w:rPr>
      <w:rFonts w:ascii="Times New Roman" w:hAnsi="Times New Roman"/>
      <w:b/>
      <w:noProof/>
      <w:sz w:val="24"/>
      <w:szCs w:val="24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 w:line="240" w:lineRule="auto"/>
      <w:ind w:left="5387"/>
      <w:contextualSpacing/>
    </w:pPr>
    <w:rPr>
      <w:rFonts w:ascii="Times New Roman" w:hAnsi="Times New Roman"/>
      <w:noProof/>
      <w:sz w:val="24"/>
      <w:szCs w:val="24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 w:line="240" w:lineRule="auto"/>
      <w:ind w:left="5387"/>
    </w:pPr>
    <w:rPr>
      <w:rFonts w:ascii="Times New Roman" w:hAnsi="Times New Roman"/>
      <w:noProof/>
      <w:sz w:val="24"/>
      <w:szCs w:val="24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 w:line="240" w:lineRule="auto"/>
    </w:pPr>
    <w:rPr>
      <w:rFonts w:ascii="Times New Roman" w:hAnsi="Times New Roman"/>
      <w:sz w:val="24"/>
      <w:szCs w:val="24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 w:line="240" w:lineRule="auto"/>
      <w:ind w:left="5387"/>
    </w:pPr>
    <w:rPr>
      <w:rFonts w:ascii="Times New Roman" w:hAnsi="Times New Roman"/>
      <w:noProof/>
      <w:sz w:val="24"/>
      <w:szCs w:val="24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 w:line="240" w:lineRule="auto"/>
      <w:ind w:left="5387"/>
    </w:pPr>
    <w:rPr>
      <w:rFonts w:ascii="Times New Roman" w:hAnsi="Times New Roman"/>
      <w:noProof/>
      <w:sz w:val="24"/>
      <w:szCs w:val="24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 w:line="240" w:lineRule="auto"/>
      <w:jc w:val="center"/>
    </w:pPr>
    <w:rPr>
      <w:rFonts w:ascii="Times New Roman" w:hAnsi="Times New Roman"/>
      <w:sz w:val="24"/>
      <w:szCs w:val="24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 w:line="240" w:lineRule="auto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 w:line="240" w:lineRule="auto"/>
      <w:ind w:left="5387"/>
    </w:pPr>
    <w:rPr>
      <w:rFonts w:ascii="Times New Roman" w:hAnsi="Times New Roman"/>
      <w:noProof/>
      <w:sz w:val="24"/>
      <w:szCs w:val="24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 w:line="240" w:lineRule="auto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ascii="Times New Roman" w:hAnsi="Times New Roman"/>
      <w:sz w:val="24"/>
      <w:szCs w:val="24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eastAsiaTheme="minorEastAsia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 w:line="240" w:lineRule="auto"/>
    </w:pPr>
    <w:rPr>
      <w:rFonts w:ascii="Times New Roman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ascii="Times New Roman" w:hAnsi="Times New Roman"/>
      <w:sz w:val="24"/>
      <w:szCs w:val="24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ascii="Times New Roman" w:hAnsi="Times New Roman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 w:line="240" w:lineRule="auto"/>
      <w:ind w:left="4252"/>
    </w:pPr>
    <w:rPr>
      <w:rFonts w:ascii="Times New Roman" w:hAnsi="Times New Roman"/>
      <w:sz w:val="24"/>
      <w:szCs w:val="24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 w:line="240" w:lineRule="auto"/>
    </w:pPr>
    <w:rPr>
      <w:rFonts w:ascii="Times New Roman" w:hAnsi="Times New Roman"/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 w:line="240" w:lineRule="auto"/>
    </w:pPr>
    <w:rPr>
      <w:rFonts w:ascii="Times New Roman" w:hAnsi="Times New Roman"/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 w:line="240" w:lineRule="auto"/>
    </w:pPr>
    <w:rPr>
      <w:rFonts w:ascii="Times New Roman" w:hAnsi="Times New Roman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40"/>
    </w:pPr>
    <w:rPr>
      <w:rFonts w:ascii="Times New Roman" w:hAnsi="Times New Roman"/>
      <w:sz w:val="24"/>
      <w:szCs w:val="24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480"/>
    </w:pPr>
    <w:rPr>
      <w:rFonts w:ascii="Times New Roman" w:hAnsi="Times New Roman"/>
      <w:sz w:val="24"/>
      <w:szCs w:val="24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720"/>
    </w:pPr>
    <w:rPr>
      <w:rFonts w:ascii="Times New Roman" w:hAnsi="Times New Roman"/>
      <w:sz w:val="24"/>
      <w:szCs w:val="24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960"/>
    </w:pPr>
    <w:rPr>
      <w:rFonts w:ascii="Times New Roman" w:hAnsi="Times New Roman"/>
      <w:sz w:val="24"/>
      <w:szCs w:val="24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200"/>
    </w:pPr>
    <w:rPr>
      <w:rFonts w:ascii="Times New Roman" w:hAnsi="Times New Roman"/>
      <w:sz w:val="24"/>
      <w:szCs w:val="24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440"/>
    </w:pPr>
    <w:rPr>
      <w:rFonts w:ascii="Times New Roman" w:hAnsi="Times New Roman"/>
      <w:sz w:val="24"/>
      <w:szCs w:val="24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680"/>
    </w:pPr>
    <w:rPr>
      <w:rFonts w:ascii="Times New Roman" w:hAnsi="Times New Roman"/>
      <w:sz w:val="24"/>
      <w:szCs w:val="24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920"/>
    </w:pPr>
    <w:rPr>
      <w:rFonts w:ascii="Times New Roman" w:hAnsi="Times New Roman"/>
      <w:sz w:val="24"/>
      <w:szCs w:val="24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160"/>
    </w:pPr>
    <w:rPr>
      <w:rFonts w:ascii="Times New Roman" w:hAnsi="Times New Roman"/>
      <w:sz w:val="24"/>
      <w:szCs w:val="24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 w:line="240" w:lineRule="auto"/>
    </w:pPr>
    <w:rPr>
      <w:rFonts w:asciiTheme="majorHAnsi" w:cstheme="majorBidi" w:eastAsiaTheme="majorEastAsia" w:hAnsiTheme="majorHAnsi"/>
      <w:b/>
      <w:bCs/>
      <w:sz w:val="24"/>
      <w:szCs w:val="24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 w:line="240" w:lineRule="auto"/>
    </w:pPr>
    <w:rPr>
      <w:rFonts w:ascii="Times New Roman" w:hAnsi="Times New Roman"/>
      <w:sz w:val="24"/>
      <w:szCs w:val="24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 w:line="240" w:lineRule="auto"/>
      <w:ind w:left="4252"/>
    </w:pPr>
    <w:rPr>
      <w:rFonts w:ascii="Times New Roman" w:hAnsi="Times New Roman"/>
      <w:sz w:val="24"/>
      <w:szCs w:val="24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 w:line="240" w:lineRule="auto"/>
      <w:ind w:hanging="240" w:left="240"/>
    </w:pPr>
    <w:rPr>
      <w:rFonts w:ascii="Times New Roman" w:hAnsi="Times New Roman"/>
      <w:sz w:val="24"/>
      <w:szCs w:val="24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 w:line="240" w:lineRule="auto"/>
    </w:pPr>
    <w:rPr>
      <w:rFonts w:asciiTheme="majorHAnsi" w:cstheme="majorBidi" w:eastAsiaTheme="majorEastAsia" w:hAnsiTheme="majorHAnsi"/>
      <w:b/>
      <w:bCs/>
      <w:sz w:val="24"/>
      <w:szCs w:val="24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 w:line="240" w:lineRule="auto"/>
    </w:pPr>
    <w:rPr>
      <w:rFonts w:ascii="Times New Roman" w:hAnsi="Times New Roman"/>
      <w:sz w:val="24"/>
      <w:szCs w:val="24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240"/>
    </w:pPr>
    <w:rPr>
      <w:rFonts w:ascii="Times New Roman" w:hAnsi="Times New Roman"/>
      <w:sz w:val="24"/>
      <w:szCs w:val="24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480"/>
    </w:pPr>
    <w:rPr>
      <w:rFonts w:ascii="Times New Roman" w:hAnsi="Times New Roman"/>
      <w:sz w:val="24"/>
      <w:szCs w:val="24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720"/>
    </w:pPr>
    <w:rPr>
      <w:rFonts w:ascii="Times New Roman" w:hAnsi="Times New Roman"/>
      <w:sz w:val="24"/>
      <w:szCs w:val="24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960"/>
    </w:pPr>
    <w:rPr>
      <w:rFonts w:ascii="Times New Roman" w:hAnsi="Times New Roman"/>
      <w:sz w:val="24"/>
      <w:szCs w:val="24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200"/>
    </w:pPr>
    <w:rPr>
      <w:rFonts w:ascii="Times New Roman" w:hAnsi="Times New Roman"/>
      <w:sz w:val="24"/>
      <w:szCs w:val="24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440"/>
    </w:pPr>
    <w:rPr>
      <w:rFonts w:ascii="Times New Roman" w:hAnsi="Times New Roman"/>
      <w:sz w:val="24"/>
      <w:szCs w:val="24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680"/>
    </w:pPr>
    <w:rPr>
      <w:rFonts w:ascii="Times New Roman" w:hAnsi="Times New Roman"/>
      <w:sz w:val="24"/>
      <w:szCs w:val="24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920"/>
    </w:pPr>
    <w:rPr>
      <w:rFonts w:ascii="Times New Roman" w:hAnsi="Times New Roman"/>
      <w:sz w:val="24"/>
      <w:szCs w:val="24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 w:line="240" w:lineRule="auto"/>
    </w:pPr>
    <w:rPr>
      <w:rFonts w:ascii="Times New Roman" w:hAnsi="Times New Roman"/>
      <w:sz w:val="20"/>
      <w:szCs w:val="24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 w:line="240" w:lineRule="auto"/>
    </w:pPr>
    <w:rPr>
      <w:rFonts w:ascii="Times New Roman" w:hAnsi="Times New Roman"/>
      <w:noProof/>
      <w:sz w:val="24"/>
      <w:szCs w:val="24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 w:line="240" w:lineRule="auto"/>
    </w:pPr>
    <w:rPr>
      <w:rFonts w:ascii="Times New Roman" w:cs="Times New Roman" w:eastAsia="Calibri" w:hAnsi="Times New Roman"/>
      <w:color w:val="000000"/>
      <w:sz w:val="24"/>
      <w:szCs w:val="24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 w:line="240" w:lineRule="auto"/>
      <w:jc w:val="both"/>
    </w:pPr>
    <w:rPr>
      <w:rFonts w:ascii="Times New Roman" w:hAnsi="Times New Roman"/>
      <w:sz w:val="24"/>
      <w:szCs w:val="24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 w:line="240" w:lineRule="auto"/>
      <w:ind w:hanging="992" w:left="1559"/>
    </w:pPr>
    <w:rPr>
      <w:rFonts w:ascii="Times New Roman" w:hAnsi="Times New Roman"/>
      <w:sz w:val="24"/>
      <w:szCs w:val="24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833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2018.</izvorni_sadrzaj>
    <derivirana_varijabla naziv="DomainObject.DatumDonosenjaOdluke_1">20.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St-182/2016-63</izvorni_sadrzaj>
    <derivirana_varijabla naziv="DomainObject.Oznaka_1">St-182/2016-63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srpnja 2016.</izvorni_sadrzaj>
    <derivirana_varijabla naziv="DomainObject.Predmet.DatumRjesavanja_1">14.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St-182/2016</izvorni_sadrzaj>
    <derivirana_varijabla naziv="DomainObject.Predmet.OznakaBroj_1">St-182/2016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Branka</izvorni_sadrzaj>
    <derivirana_varijabla naziv="DomainObject.Predmet.PredmetRijesio.Ime_1">Branka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Pleskalt</izvorni_sadrzaj>
    <derivirana_varijabla naziv="DomainObject.Predmet.PredmetRijesio.Prezime_1">Pleskalt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VITAFLORA društvo s ograničenom odgovornošću za proizvodnju i trgovinu, Čačinci</izvorni_sadrzaj>
    <derivirana_varijabla naziv="DomainObject.Predmet.ProtustrankaFormated_1">  Stečajna masa iza VITAFLORA društvo s ograničenom odgovornošću za proizvodnju i trgovinu, Čačinci</derivirana_varijabla>
  </DomainObject.Predmet.ProtustrankaFormated>
  <DomainObject.Predmet.ProtustrankaFormatedOIB>
    <izvorni_sadrzaj>  Stečajna masa iza VITAFLORA društvo s ograničenom odgovornošću za proizvodnju i trgovinu, Čačinci, OIB 24736040978</izvorni_sadrzaj>
    <derivirana_varijabla naziv="DomainObject.Predmet.ProtustrankaFormatedOIB_1">  Stečajna masa iza VITAFLORA društvo s ograničenom odgovornošću za proizvodnju i trgovinu, Čačinci, OIB 24736040978</derivirana_varijabla>
  </DomainObject.Predmet.ProtustrankaFormatedOIB>
  <DomainObject.Predmet.ProtustrankaFormatedWithAdress>
    <izvorni_sadrzaj> Stečajna masa iza VITAFLORA društvo s ograničenom odgovornošću za proizvodnju i trgovinu, Čačinci, Vijenac I. Meštrovića 74., 31000 Osijek</izvorni_sadrzaj>
    <derivirana_varijabla naziv="DomainObject.Predmet.ProtustrankaFormatedWithAdress_1"> Stečajna masa iza VITAFLORA društvo s ograničenom odgovornošću za proizvodnju i trgovinu, Čačinci, Vijenac I. Meštrovića 74., 31000 Osijek</derivirana_varijabla>
  </DomainObject.Predmet.ProtustrankaFormatedWithAdress>
  <DomainObject.Predmet.ProtustrankaFormatedWithAdressOIB>
    <izvorni_sadrzaj> Stečajna masa iza VITAFLORA društvo s ograničenom odgovornošću za proizvodnju i trgovinu, Čačinci, OIB 24736040978, Vijenac I. Meštrovića 74., 31000 Osijek</izvorni_sadrzaj>
    <derivirana_varijabla naziv="DomainObject.Predmet.ProtustrankaFormatedWithAdressOIB_1"> Stečajna masa iza VITAFLORA društvo s ograničenom odgovornošću za proizvodnju i trgovinu, Čačinci, OIB 24736040978, Vijenac I. Meštrovića 74., 31000 Osijek</derivirana_varijabla>
  </DomainObject.Predmet.ProtustrankaFormatedWithAdressOIB>
  <DomainObject.Predmet.ProtustrankaWithAdress>
    <izvorni_sadrzaj>Stečajna masa iza VITAFLORA društvo s ograničenom odgovornošću za proizvodnju i trgovinu, Čačinci Vijenac I. Meštrovića 74., 31000 Osijek</izvorni_sadrzaj>
    <derivirana_varijabla naziv="DomainObject.Predmet.ProtustrankaWithAdress_1">Stečajna masa iza VITAFLORA društvo s ograničenom odgovornošću za proizvodnju i trgovinu, Čačinci Vijenac I. Meštrovića 74., 31000 Osijek</derivirana_varijabla>
  </DomainObject.Predmet.ProtustrankaWithAdress>
  <DomainObject.Predmet.ProtustrankaWithAdressOIB>
    <izvorni_sadrzaj>Stečajna masa iza VITAFLORA društvo s ograničenom odgovornošću za proizvodnju i trgovinu, Čačinci, OIB 24736040978, Vijenac I. Meštrovića 74., 31000 Osijek</izvorni_sadrzaj>
    <derivirana_varijabla naziv="DomainObject.Predmet.ProtustrankaWithAdressOIB_1">Stečajna masa iza VITAFLORA društvo s ograničenom odgovornošću za proizvodnju i trgovinu, Čačinci, OIB 24736040978, Vijenac I. Meštrovića 74., 31000 Osijek</derivirana_varijabla>
  </DomainObject.Predmet.ProtustrankaWithAdressOIB>
  <DomainObject.Predmet.ProtustrankaNazivFormated>
    <izvorni_sadrzaj>Stečajna masa iza VITAFLORA društvo s ograničenom odgovornošću za proizvodnju i trgovinu, Čačinci</izvorni_sadrzaj>
    <derivirana_varijabla naziv="DomainObject.Predmet.ProtustrankaNazivFormated_1">Stečajna masa iza VITAFLORA društvo s ograničenom odgovornošću za proizvodnju i trgovinu, Čačinci</derivirana_varijabla>
  </DomainObject.Predmet.ProtustrankaNazivFormated>
  <DomainObject.Predmet.ProtustrankaNazivFormatedOIB>
    <izvorni_sadrzaj>Stečajna masa iza VITAFLORA društvo s ograničenom odgovornošću za proizvodnju i trgovinu, Čačinci, OIB 24736040978</izvorni_sadrzaj>
    <derivirana_varijabla naziv="DomainObject.Predmet.ProtustrankaNazivFormatedOIB_1">Stečajna masa iza VITAFLORA društvo s ograničenom odgovornošću za proizvodnju i trgovinu, Čačinci, OIB 24736040978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Addiko bank d.d.</izvorni_sadrzaj>
    <derivirana_varijabla naziv="DomainObject.Predmet.StrankaFormated_1">  FINA, RC ZAGREB, Podružnica Bjelovar; Addiko bank d.d.</derivirana_varijabla>
  </DomainObject.Predmet.StrankaFormated>
  <DomainObject.Predmet.StrankaFormatedOIB>
    <izvorni_sadrzaj>  FINA, RC ZAGREB, Podružnica Bjelovar, OIB 85821130368; Addiko bank d.d., OIB 14036333877</izvorni_sadrzaj>
    <derivirana_varijabla naziv="DomainObject.Predmet.StrankaFormatedOIB_1">  FINA, RC ZAGREB, Podružnica Bjelovar, OIB 85821130368; Addiko bank d.d., OIB 14036333877</derivirana_varijabla>
  </DomainObject.Predmet.StrankaFormatedOIB>
  <DomainObject.Predmet.StrankaFormatedWithAdress>
    <izvorni_sadrzaj> FINA, RC ZAGREB, Podružnica Bjelovar, F. Supila 4, 43000 Bjelovar; Addiko bank d.d., Slavonska 6., 10000 Zagreb</izvorni_sadrzaj>
    <derivirana_varijabla naziv="DomainObject.Predmet.StrankaFormatedWithAdress_1"> FINA, RC ZAGREB, Podružnica Bjelovar, F. Supila 4, 43000 Bjelovar; Addiko bank d.d., Slavonska 6., 10000 Zagreb</derivirana_varijabla>
  </DomainObject.Predmet.StrankaFormatedWithAdress>
  <DomainObject.Predmet.StrankaFormatedWithAdressOIB>
    <izvorni_sadrzaj> FINA, RC ZAGREB, Podružnica Bjelovar, OIB 85821130368, F. Supila 4, 43000 Bjelovar; Addiko bank d.d., OIB 14036333877, Slavonska 6., 10000 Zagreb</izvorni_sadrzaj>
    <derivirana_varijabla naziv="DomainObject.Predmet.StrankaFormatedWithAdressOIB_1"> FINA, RC ZAGREB, Podružnica Bjelovar, OIB 85821130368, F. Supila 4, 43000 Bjelovar; Addiko bank d.d., OIB 14036333877, Slavonska 6., 10000 Zagreb</derivirana_varijabla>
  </DomainObject.Predmet.StrankaFormatedWithAdressOIB>
  <DomainObject.Predmet.StrankaWithAdress>
    <izvorni_sadrzaj>FINA, RC ZAGREB, Podružnica Bjelovar F. Supila 4,43000 Bjelovar,Addiko bank d.d. Slavonska 6.,10000 Zagreb</izvorni_sadrzaj>
    <derivirana_varijabla naziv="DomainObject.Predmet.StrankaWithAdress_1">FINA, RC ZAGREB, Podružnica Bjelovar F. Supila 4,43000 Bjelovar,Addiko bank d.d. Slavonska 6.,10000 Zagreb</derivirana_varijabla>
  </DomainObject.Predmet.StrankaWithAdress>
  <DomainObject.Predmet.StrankaWithAdressOIB>
    <izvorni_sadrzaj>FINA, RC ZAGREB, Podružnica Bjelovar, OIB 85821130368, F. Supila 4,43000 Bjelovar,Addiko bank d.d., OIB 14036333877, Slavonska 6.,10000 Zagreb</izvorni_sadrzaj>
    <derivirana_varijabla naziv="DomainObject.Predmet.StrankaWithAdressOIB_1">FINA, RC ZAGREB, Podružnica Bjelovar, OIB 85821130368, F. Supila 4,43000 Bjelovar,Addiko bank d.d., OIB 14036333877, Slavonska 6.,10000 Zagreb</derivirana_varijabla>
  </DomainObject.Predmet.StrankaWithAdressOIB>
  <DomainObject.Predmet.StrankaNazivFormated>
    <izvorni_sadrzaj>FINA, RC ZAGREB, Podružnica Bjelovar,Addiko bank d.d.</izvorni_sadrzaj>
    <derivirana_varijabla naziv="DomainObject.Predmet.StrankaNazivFormated_1">FINA, RC ZAGREB, Podružnica Bjelovar,Addiko bank d.d.</derivirana_varijabla>
  </DomainObject.Predmet.StrankaNazivFormated>
  <DomainObject.Predmet.StrankaNazivFormatedOIB>
    <izvorni_sadrzaj>FINA, RC ZAGREB, Podružnica Bjelovar, OIB 85821130368,Addiko bank d.d., OIB 14036333877</izvorni_sadrzaj>
    <derivirana_varijabla naziv="DomainObject.Predmet.StrankaNazivFormatedOIB_1">FINA, RC ZAGREB, Podružnica Bjelovar, OIB 85821130368,Addiko bank d.d., OIB 14036333877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  <item>Addiko bank d.d.</item>
    </izvorni_sadrzaj>
    <derivirana_varijabla naziv="DomainObject.Predmet.StrankaListFormated_1">
      <item>FINA, RC ZAGREB, Podružnica Bjelovar</item>
      <item>Addiko bank d.d.</item>
    </derivirana_varijabla>
  </DomainObject.Predmet.StrankaListFormated>
  <DomainObject.Predmet.StrankaListFormatedOIB>
    <izvorni_sadrzaj>
      <item>FINA, RC ZAGREB, Podružnica Bjelovar, OIB 85821130368</item>
      <item>Addiko bank d.d., OIB 14036333877</item>
    </izvorni_sadrzaj>
    <derivirana_varijabla naziv="DomainObject.Predmet.StrankaListFormatedOIB_1">
      <item>FINA, RC ZAGREB, Podružnica Bjelovar, OIB 85821130368</item>
      <item>Addiko bank d.d., OIB 14036333877</item>
    </derivirana_varijabla>
  </DomainObject.Predmet.StrankaListFormatedOIB>
  <DomainObject.Predmet.StrankaListFormatedWithAdress>
    <izvorni_sadrzaj>
      <item>FINA, RC ZAGREB, Podružnica Bjelovar, F. Supila 4, 43000 Bjelovar</item>
      <item>Addiko bank d.d., Slavonska 6., 10000 Zagreb</item>
    </izvorni_sadrzaj>
    <derivirana_varijabla naziv="DomainObject.Predmet.StrankaListFormatedWithAdress_1">
      <item>FINA, RC ZAGREB, Podružnica Bjelovar, F. Supila 4, 43000 Bjelovar</item>
      <item>Addiko bank d.d., Slavonska 6., 10000 Zagreb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Addiko bank d.d., OIB 14036333877, Slavonska 6., 10000 Zagreb</item>
    </izvorni_sadrzaj>
    <derivirana_varijabla naziv="DomainObject.Predmet.StrankaListFormatedWithAdressOIB_1">
      <item>FINA, RC ZAGREB, Podružnica Bjelovar, OIB 85821130368, F. Supila 4, 43000 Bjelovar</item>
      <item>Addiko bank d.d., OIB 14036333877, Slavonska 6., 10000 Zagreb</item>
    </derivirana_varijabla>
  </DomainObject.Predmet.StrankaListFormatedWithAdressOIB>
  <DomainObject.Predmet.StrankaListNazivFormated>
    <izvorni_sadrzaj>
      <item>FINA, RC ZAGREB, Podružnica Bjelovar</item>
      <item>Addiko bank d.d.</item>
    </izvorni_sadrzaj>
    <derivirana_varijabla naziv="DomainObject.Predmet.StrankaListNazivFormated_1">
      <item>FINA, RC ZAGREB, Podružnica Bjelovar</item>
      <item>Addiko bank d.d.</item>
    </derivirana_varijabla>
  </DomainObject.Predmet.StrankaListNazivFormated>
  <DomainObject.Predmet.StrankaListNazivFormatedOIB>
    <izvorni_sadrzaj>
      <item>FINA, RC ZAGREB, Podružnica Bjelovar, OIB 85821130368</item>
      <item>Addiko bank d.d., OIB 14036333877</item>
    </izvorni_sadrzaj>
    <derivirana_varijabla naziv="DomainObject.Predmet.StrankaListNazivFormatedOIB_1">
      <item>FINA, RC ZAGREB, Podružnica Bjelovar, OIB 85821130368</item>
      <item>Addiko bank d.d., OIB 14036333877</item>
    </derivirana_varijabla>
  </DomainObject.Predmet.StrankaListNazivFormatedOIB>
  <DomainObject.Predmet.ProtuStrankaListFormated>
    <izvorni_sadrzaj>
      <item>Stečajna masa iza VITAFLORA društvo s ograničenom odgovornošću za proizvodnju i trgovinu, Čačinci</item>
    </izvorni_sadrzaj>
    <derivirana_varijabla naziv="DomainObject.Predmet.ProtuStrankaListFormated_1">
      <item>Stečajna masa iza VITAFLORA društvo s ograničenom odgovornošću za proizvodnju i trgovinu, Čačinci</item>
    </derivirana_varijabla>
  </DomainObject.Predmet.ProtuStrankaListFormated>
  <DomainObject.Predmet.ProtuStrankaListFormatedOIB>
    <izvorni_sadrzaj>
      <item>Stečajna masa iza VITAFLORA društvo s ograničenom odgovornošću za proizvodnju i trgovinu, Čačinci, OIB 24736040978</item>
    </izvorni_sadrzaj>
    <derivirana_varijabla naziv="DomainObject.Predmet.ProtuStrankaListFormatedOIB_1">
      <item>Stečajna masa iza VITAFLORA društvo s ograničenom odgovornošću za proizvodnju i trgovinu, Čačinci, OIB 24736040978</item>
    </derivirana_varijabla>
  </DomainObject.Predmet.ProtuStrankaListFormatedOIB>
  <DomainObject.Predmet.ProtuStrankaListFormatedWithAdress>
    <izvorni_sadrzaj>
      <item>Stečajna masa iza VITAFLORA društvo s ograničenom odgovornošću za proizvodnju i trgovinu, Čačinci, Vijenac I. Meštrovića 74., 31000 Osijek</item>
    </izvorni_sadrzaj>
    <derivirana_varijabla naziv="DomainObject.Predmet.ProtuStrankaListFormatedWithAdress_1">
      <item>Stečajna masa iza VITAFLORA društvo s ograničenom odgovornošću za proizvodnju i trgovinu, Čačinci, Vijenac I. Meštrovića 74., 31000 Osijek</item>
    </derivirana_varijabla>
  </DomainObject.Predmet.ProtuStrankaListFormatedWithAdress>
  <DomainObject.Predmet.ProtuStrankaListFormatedWithAdressOIB>
    <izvorni_sadrzaj>
      <item>Stečajna masa iza VITAFLORA društvo s ograničenom odgovornošću za proizvodnju i trgovinu, Čačinci, OIB 24736040978, Vijenac I. Meštrovića 74., 31000 Osijek</item>
    </izvorni_sadrzaj>
    <derivirana_varijabla naziv="DomainObject.Predmet.ProtuStrankaListFormatedWithAdressOIB_1">
      <item>Stečajna masa iza VITAFLORA društvo s ograničenom odgovornošću za proizvodnju i trgovinu, Čačinci, OIB 24736040978, Vijenac I. Meštrovića 74., 31000 Osijek</item>
    </derivirana_varijabla>
  </DomainObject.Predmet.ProtuStrankaListFormatedWithAdressOIB>
  <DomainObject.Predmet.ProtuStrankaListNazivFormated>
    <izvorni_sadrzaj>
      <item>Stečajna masa iza VITAFLORA društvo s ograničenom odgovornošću za proizvodnju i trgovinu, Čačinci</item>
    </izvorni_sadrzaj>
    <derivirana_varijabla naziv="DomainObject.Predmet.ProtuStrankaListNazivFormated_1">
      <item>Stečajna masa iza VITAFLORA društvo s ograničenom odgovornošću za proizvodnju i trgovinu, Čačinci</item>
    </derivirana_varijabla>
  </DomainObject.Predmet.ProtuStrankaListNazivFormated>
  <DomainObject.Predmet.ProtuStrankaListNazivFormatedOIB>
    <izvorni_sadrzaj>
      <item>Stečajna masa iza VITAFLORA društvo s ograničenom odgovornošću za proizvodnju i trgovinu, Čačinci, OIB 24736040978</item>
    </izvorni_sadrzaj>
    <derivirana_varijabla naziv="DomainObject.Predmet.ProtuStrankaListNazivFormatedOIB_1">
      <item>Stečajna masa iza VITAFLORA društvo s ograničenom odgovornošću za proizvodnju i trgovinu, Čačinci, OIB 24736040978</item>
    </derivirana_varijabla>
  </DomainObject.Predmet.ProtuStrankaListNazivFormatedOIB>
  <DomainObject.Predmet.OstaliListFormated>
    <izvorni_sadrzaj>
      <item>Miško Šimon</item>
      <item>ŽDO U BJELOVARU</item>
      <item>POREZNA UPRAVA U VIROVITICI</item>
      <item>sudski registar-ovdje</item>
      <item>Općinski sud u Virovitici,Stalna služba u Slatini</item>
      <item>Addiko bank d.d.</item>
      <item>Solarpit d.o.o.</item>
    </izvorni_sadrzaj>
    <derivirana_varijabla naziv="DomainObject.Predmet.OstaliListFormated_1">
      <item>Miško Šimon</item>
      <item>ŽDO U BJELOVARU</item>
      <item>POREZNA UPRAVA U VIROVITICI</item>
      <item>sudski registar-ovdje</item>
      <item>Općinski sud u Virovitici,Stalna služba u Slatini</item>
      <item>Addiko bank d.d.</item>
      <item>Solarpit d.o.o.</item>
    </derivirana_varijabla>
  </DomainObject.Predmet.OstaliListFormated>
  <DomainObject.Predmet.OstaliListFormatedOIB>
    <izvorni_sadrzaj>
      <item>Miško Šimon, OIB 62802176478</item>
      <item>ŽDO U BJELOVARU, OIB 86821435474</item>
      <item>POREZNA UPRAVA U VIROVITICI</item>
      <item>sudski registar-ovdje</item>
      <item>Općinski sud u Virovitici,Stalna služba u Slatini</item>
      <item>Addiko bank d.d., OIB 14036333877</item>
      <item>Solarpit d.o.o., OIB 16341790945</item>
    </izvorni_sadrzaj>
    <derivirana_varijabla naziv="DomainObject.Predmet.OstaliListFormatedOIB_1">
      <item>Miško Šimon, OIB 62802176478</item>
      <item>ŽDO U BJELOVARU, OIB 86821435474</item>
      <item>POREZNA UPRAVA U VIROVITICI</item>
      <item>sudski registar-ovdje</item>
      <item>Općinski sud u Virovitici,Stalna služba u Slatini</item>
      <item>Addiko bank d.d., OIB 14036333877</item>
      <item>Solarpit d.o.o., OIB 16341790945</item>
    </derivirana_varijabla>
  </DomainObject.Predmet.OstaliListFormatedOIB>
  <DomainObject.Predmet.OstaliListFormatedWithAdress>
    <izvorni_sadrzaj>
      <item>Miško Šimon, Manastirska 5/a., 33515 Duzluk</item>
      <item>ŽDO U BJELOVARU</item>
      <item>POREZNA UPRAVA U VIROVITICI</item>
      <item>sudski registar-ovdje</item>
      <item>Općinski sud u Virovitici,Stalna služba u Slatini, ., 33520 Slatina</item>
      <item>Addiko bank d.d., Slavonska 6., 10000 Zagreb</item>
      <item>Solarpit d.o.o., Trg kralja Tomislava 18., 33405 Pitomača</item>
    </izvorni_sadrzaj>
    <derivirana_varijabla naziv="DomainObject.Predmet.OstaliListFormatedWithAdress_1">
      <item>Miško Šimon, Manastirska 5/a., 33515 Duzluk</item>
      <item>ŽDO U BJELOVARU</item>
      <item>POREZNA UPRAVA U VIROVITICI</item>
      <item>sudski registar-ovdje</item>
      <item>Općinski sud u Virovitici,Stalna služba u Slatini, ., 33520 Slatina</item>
      <item>Addiko bank d.d., Slavonska 6., 10000 Zagreb</item>
      <item>Solarpit d.o.o., Trg kralja Tomislava 18., 33405 Pitomača</item>
    </derivirana_varijabla>
  </DomainObject.Predmet.OstaliListFormatedWithAdress>
  <DomainObject.Predmet.OstaliListFormatedWithAdressOIB>
    <izvorni_sadrzaj>
      <item>Miško Šimon, OIB 62802176478, Manastirska 5/a., 33515 Duzluk</item>
      <item>ŽDO U BJELOVARU, OIB 86821435474</item>
      <item>POREZNA UPRAVA U VIROVITICI</item>
      <item>sudski registar-ovdje</item>
      <item>Općinski sud u Virovitici,Stalna služba u Slatini, ., 33520 Slatina</item>
      <item>Addiko bank d.d., OIB 14036333877, Slavonska 6., 10000 Zagreb</item>
      <item>Solarpit d.o.o., OIB 16341790945, Trg kralja Tomislava 18., 33405 Pitomača</item>
    </izvorni_sadrzaj>
    <derivirana_varijabla naziv="DomainObject.Predmet.OstaliListFormatedWithAdressOIB_1">
      <item>Miško Šimon, OIB 62802176478, Manastirska 5/a., 33515 Duzluk</item>
      <item>ŽDO U BJELOVARU, OIB 86821435474</item>
      <item>POREZNA UPRAVA U VIROVITICI</item>
      <item>sudski registar-ovdje</item>
      <item>Općinski sud u Virovitici,Stalna služba u Slatini, ., 33520 Slatina</item>
      <item>Addiko bank d.d., OIB 14036333877, Slavonska 6., 10000 Zagreb</item>
      <item>Solarpit d.o.o., OIB 16341790945, Trg kralja Tomislava 18., 33405 Pitomača</item>
    </derivirana_varijabla>
  </DomainObject.Predmet.OstaliListFormatedWithAdressOIB>
  <DomainObject.Predmet.OstaliListNazivFormated>
    <izvorni_sadrzaj>
      <item>Miško Šimon</item>
      <item>ŽDO U BJELOVARU</item>
      <item>POREZNA UPRAVA U VIROVITICI</item>
      <item>sudski registar-ovdje</item>
      <item>Općinski sud u Virovitici,Stalna služba u Slatini</item>
      <item>Addiko bank d.d.</item>
      <item>Solarpit d.o.o.</item>
    </izvorni_sadrzaj>
    <derivirana_varijabla naziv="DomainObject.Predmet.OstaliListNazivFormated_1">
      <item>Miško Šimon</item>
      <item>ŽDO U BJELOVARU</item>
      <item>POREZNA UPRAVA U VIROVITICI</item>
      <item>sudski registar-ovdje</item>
      <item>Općinski sud u Virovitici,Stalna služba u Slatini</item>
      <item>Addiko bank d.d.</item>
      <item>Solarpit d.o.o.</item>
    </derivirana_varijabla>
  </DomainObject.Predmet.OstaliListNazivFormated>
  <DomainObject.Predmet.OstaliListNazivFormatedOIB>
    <izvorni_sadrzaj>
      <item>Miško Šimon, OIB 62802176478</item>
      <item>ŽDO U BJELOVARU, OIB 86821435474</item>
      <item>POREZNA UPRAVA U VIROVITICI</item>
      <item>sudski registar-ovdje</item>
      <item>Općinski sud u Virovitici,Stalna služba u Slatini</item>
      <item>Addiko bank d.d., OIB 14036333877</item>
      <item>Solarpit d.o.o., OIB 16341790945</item>
    </izvorni_sadrzaj>
    <derivirana_varijabla naziv="DomainObject.Predmet.OstaliListNazivFormatedOIB_1">
      <item>Miško Šimon, OIB 62802176478</item>
      <item>ŽDO U BJELOVARU, OIB 86821435474</item>
      <item>POREZNA UPRAVA U VIROVITICI</item>
      <item>sudski registar-ovdje</item>
      <item>Općinski sud u Virovitici,Stalna služba u Slatini</item>
      <item>Addiko bank d.d., OIB 14036333877</item>
      <item>Solarpit d.o.o., OIB 16341790945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2018.</izvorni_sadrzaj>
    <derivirana_varijabla naziv="DomainObject.Datum_1">20. lipnja 2018.</derivirana_varijabla>
  </DomainObject.Datum>
  <DomainObject.PoslovniBrojDokumenta>
    <izvorni_sadrzaj>St-182/2016-63</izvorni_sadrzaj>
    <derivirana_varijabla naziv="DomainObject.PoslovniBrojDokumenta_1">St-182/2016-63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Stečajna masa iza VITAFLORA društvo s ograničenom odgovornošću za proizvodnju i trgovinu, Čačinci</izvorni_sadrzaj>
    <derivirana_varijabla naziv="DomainObject.Predmet.ProtustrankaIDrugi_1">Stečajna masa iza VITAFLORA društvo s ograničenom odgovornošću za proizvodnju i trgovinu, Čačinci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Stečajna masa iza VITAFLORA društvo s ograničenom odgovornošću za proizvodnju i trgovinu, Čačinci, OIB 24736040978, Vijenac I. Meštrovića 74., 31000 Osijek</izvorni_sadrzaj>
    <derivirana_varijabla naziv="DomainObject.Predmet.ProtustrankaIDrugiAdressOIB_1">Stečajna masa iza VITAFLORA društvo s ograničenom odgovornošću za proizvodnju i trgovinu, Čačinci, OIB 24736040978, Vijenac I. Meštrovića 74.,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srpnja 2016.</izvorni_sadrzaj>
    <derivirana_varijabla naziv="DomainObject.Predmet.OdlukaRjesenje.DatumDonosenjaOdluke_1">13. srpnja 2016.</derivirana_varijabla>
  </DomainObject.Predmet.OdlukaRjesenje.DatumDonosenjaOdluke>
  <DomainObject.Predmet.OdlukaRjesenje.DatumPravomocnosti>
    <izvorni_sadrzaj>1. kolovoza 2016.</izvorni_sadrzaj>
    <derivirana_varijabla naziv="DomainObject.Predmet.OdlukaRjesenje.DatumPravomocnosti_1">1. kolovoza 2016.</derivirana_varijabla>
  </DomainObject.Predmet.OdlukaRjesenje.DatumPravomocnosti>
  <DomainObject.Predmet.OdlukaRjesenje.Oznaka>
    <izvorni_sadrzaj>St-182/2016-9</izvorni_sadrzaj>
    <derivirana_varijabla naziv="DomainObject.Predmet.OdlukaRjesenje.Oznaka_1">St-182/2016-9</derivirana_varijabla>
  </DomainObject.Predmet.OdlukaRjesenje.Oznaka>
  <DomainObject.Predmet.SudioniciListNaziv>
    <izvorni_sadrzaj>
      <item>FINA, RC ZAGREB, Podružnica Bjelovar</item>
      <item>Stečajna masa iza VITAFLORA društvo s ograničenom odgovornošću za proizvodnju i trgovinu, Čačinci</item>
      <item>Miško Šimon</item>
      <item>ŽDO U BJELOVARU</item>
      <item>POREZNA UPRAVA U VIROVITICI</item>
      <item>sudski registar-ovdje</item>
      <item>Općinski sud u Virovitici,Stalna služba u Slatini</item>
      <item>Addiko bank d.d.</item>
      <item>Addiko bank d.d.</item>
      <item>Solarpit d.o.o.</item>
    </izvorni_sadrzaj>
    <derivirana_varijabla naziv="DomainObject.Predmet.SudioniciListNaziv_1">
      <item>FINA, RC ZAGREB, Podružnica Bjelovar</item>
      <item>Stečajna masa iza VITAFLORA društvo s ograničenom odgovornošću za proizvodnju i trgovinu, Čačinci</item>
      <item>Miško Šimon</item>
      <item>ŽDO U BJELOVARU</item>
      <item>POREZNA UPRAVA U VIROVITICI</item>
      <item>sudski registar-ovdje</item>
      <item>Općinski sud u Virovitici,Stalna služba u Slatini</item>
      <item>Addiko bank d.d.</item>
      <item>Addiko bank d.d.</item>
      <item>Solarpit d.o.o.</item>
    </derivirana_varijabla>
  </DomainObject.Predmet.SudioniciListNaziv>
  <DomainObject.Predmet.SudioniciListAdressOIB>
    <izvorni_sadrzaj>
      <item>FINA, RC ZAGREB, Podružnica Bjelovar, OIB 85821130368, F. Supila 4,43000 Bjelovar</item>
      <item>Stečajna masa iza VITAFLORA društvo s ograničenom odgovornošću za proizvodnju i trgovinu, Čačinci, OIB 24736040978, Vijenac I. Meštrovića 74.,31000 Osijek</item>
      <item>Miško Šimon, OIB 62802176478, Manastirska 5/a.,33515 Duzluk</item>
      <item>ŽDO U BJELOVARU, OIB 86821435474</item>
      <item>POREZNA UPRAVA U VIROVITICI</item>
      <item>sudski registar-ovdje</item>
      <item>Općinski sud u Virovitici,Stalna služba u Slatini, .,33520 Slatina</item>
      <item>Addiko bank d.d., OIB 14036333877, Slavonska 6.,10000 Zagreb</item>
      <item>Addiko bank d.d., OIB 14036333877, Slavonska 6.,10000 Zagreb</item>
      <item>Solarpit d.o.o., OIB 16341790945, Trg kralja Tomislava 18.,33405 Pitomača</item>
    </izvorni_sadrzaj>
    <derivirana_varijabla naziv="DomainObject.Predmet.SudioniciListAdressOIB_1">
      <item>FINA, RC ZAGREB, Podružnica Bjelovar, OIB 85821130368, F. Supila 4,43000 Bjelovar</item>
      <item>Stečajna masa iza VITAFLORA društvo s ograničenom odgovornošću za proizvodnju i trgovinu, Čačinci, OIB 24736040978, Vijenac I. Meštrovića 74.,31000 Osijek</item>
      <item>Miško Šimon, OIB 62802176478, Manastirska 5/a.,33515 Duzluk</item>
      <item>ŽDO U BJELOVARU, OIB 86821435474</item>
      <item>POREZNA UPRAVA U VIROVITICI</item>
      <item>sudski registar-ovdje</item>
      <item>Općinski sud u Virovitici,Stalna služba u Slatini, .,33520 Slatina</item>
      <item>Addiko bank d.d., OIB 14036333877, Slavonska 6.,10000 Zagreb</item>
      <item>Addiko bank d.d., OIB 14036333877, Slavonska 6.,10000 Zagreb</item>
      <item>Solarpit d.o.o., OIB 16341790945, Trg kralja Tomislava 18.,33405 Pitomača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30FD07-166C-466C-85F4-6F2C18909D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1233</properties:Characters>
  <properties:Lines>46</properties:Lines>
  <properties:Paragraphs>17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2018-06-20T08:33:00Z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St-182/2016-63 / Odluka - Rješenje - trošak (odluka_St-182_2016-63.docx)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