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0c27" w14:paraId="bcf0c27" w:rsidRDefault="00B46EF9" w:rsidP="00B46EF9" w:rsidR="00B46EF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B46EF9" w:rsidP="00B46EF9" w:rsidR="00B46EF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46EF9" w:rsidP="00B46EF9" w:rsidR="00B46EF9">
      <w:pPr>
        <w:jc w:val="center"/>
        <w:rPr>
          <w:rFonts w:hAnsi="Times New Roman" w:ascii="Times New Roman"/>
          <w:sz w:val="24"/>
        </w:rPr>
      </w:pPr>
    </w:p>
    <w:p w:rsidRDefault="00B46EF9" w:rsidP="00B46EF9" w:rsidR="00B46EF9" w:rsidRPr="003726DD">
      <w:pPr>
        <w:jc w:val="center"/>
        <w:rPr>
          <w:rFonts w:hAnsi="Times New Roman" w:ascii="Times New Roman"/>
          <w:sz w:val="24"/>
        </w:rPr>
      </w:pPr>
    </w:p>
    <w:p w:rsidRDefault="00B46EF9" w:rsidP="00B46EF9" w:rsidR="00B46EF9"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B46EF9" w:rsidP="00B46EF9" w:rsidR="00B46EF9"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B46EF9" w:rsidP="00B46EF9" w:rsidR="00B46EF9"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46EF9" w:rsidP="00B46EF9" w:rsidR="00B46EF9"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B46EF9" w:rsidP="00B46EF9" w:rsidR="00B46EF9"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B46EF9" w:rsidP="00B46EF9" w:rsidR="00B46EF9">
      <w:pPr>
        <w:jc w:val="center"/>
        <w:rPr>
          <w:rFonts w:hAnsi="Bookman Old Style" w:ascii="Bookman Old Style"/>
          <w:sz w:val="24"/>
          <w:szCs w:val="24"/>
          <w:lang w:val="pl-PL"/>
        </w:rPr>
      </w:pPr>
    </w:p>
    <w:p w:rsidRDefault="00B46EF9" w:rsidP="00B46EF9" w:rsidR="00B46EF9" w:rsidRPr="008C7A84">
      <w:pPr>
        <w:jc w:val="cente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09291B">
        <w:rPr>
          <w:rFonts w:hAnsi="Bookman Old Style" w:ascii="Bookman Old Style"/>
          <w:sz w:val="24"/>
          <w:szCs w:val="24"/>
          <w:lang w:val="pl-PL"/>
        </w:rPr>
        <w:t>26.04</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09291B">
        <w:rPr>
          <w:rFonts w:hAnsi="Bookman Old Style" w:ascii="Bookman Old Style"/>
          <w:sz w:val="24"/>
          <w:szCs w:val="24"/>
          <w:lang w:val="pl-PL"/>
        </w:rPr>
        <w:t>26.07</w:t>
      </w:r>
      <w:r>
        <w:rPr>
          <w:rFonts w:hAnsi="Bookman Old Style" w:ascii="Bookman Old Style"/>
          <w:sz w:val="24"/>
          <w:szCs w:val="24"/>
          <w:lang w:val="pl-PL"/>
        </w:rPr>
        <w:t>.2018. godine.</w:t>
      </w:r>
    </w:p>
    <w:p w:rsidRDefault="00B46EF9" w:rsidP="00B46EF9" w:rsidR="00B46EF9" w:rsidRPr="008C7A84">
      <w:pPr>
        <w:rPr>
          <w:rFonts w:hAnsi="Bookman Old Style" w:ascii="Bookman Old Style"/>
          <w:sz w:val="24"/>
          <w:szCs w:val="24"/>
          <w:lang w:val="pl-PL"/>
        </w:rPr>
      </w:pPr>
    </w:p>
    <w:p w:rsidRDefault="00B46EF9" w:rsidP="00B46EF9" w:rsidR="00B46EF9"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B46EF9" w:rsidP="00B46EF9" w:rsidR="00B46EF9">
      <w:pPr>
        <w:spacing w:after="0"/>
        <w:rPr>
          <w:rFonts w:hAnsi="Bookman Old Style" w:ascii="Bookman Old Style"/>
          <w:sz w:val="24"/>
          <w:szCs w:val="24"/>
          <w:lang w:val="pl-PL"/>
        </w:rPr>
      </w:pPr>
    </w:p>
    <w:p w:rsidRDefault="00B46EF9" w:rsidP="00B46EF9" w:rsidR="00B46EF9">
      <w:pPr>
        <w:pStyle w:val="Tijeloteksta"/>
      </w:pPr>
      <w:r>
        <w:t>U proteklom periodu nako</w:t>
      </w:r>
      <w:r w:rsidR="00D5235E">
        <w:t>n posljednjeg Izvješća, poduzete su</w:t>
      </w:r>
      <w:r>
        <w:t xml:space="preserve"> slijedeće aktivnosti:</w:t>
      </w:r>
    </w:p>
    <w:p w:rsidRDefault="00B46EF9" w:rsidP="00B46EF9" w:rsidR="00B46EF9">
      <w:pPr>
        <w:pStyle w:val="Tijeloteksta"/>
        <w:ind w:left="720"/>
      </w:pPr>
    </w:p>
    <w:p w:rsidRDefault="00B46EF9" w:rsidP="00D5235E" w:rsidR="00B46EF9">
      <w:pPr>
        <w:pStyle w:val="Tijeloteksta"/>
        <w:numPr>
          <w:ilvl w:val="0"/>
          <w:numId w:val="4"/>
        </w:numPr>
      </w:pPr>
      <w:r>
        <w:t>Dana 26. siječnja 2018. godine, Trgovačkom sudu u Zagrebu, uputila sam prijedlog prodaje nekretnina stečajnog dužnika na kojima postoji razlučno pravo.</w:t>
      </w:r>
    </w:p>
    <w:p w:rsidRDefault="00B46EF9" w:rsidP="00B46EF9" w:rsidR="00B46EF9">
      <w:pPr>
        <w:pStyle w:val="Tijeloteksta"/>
        <w:ind w:left="720"/>
      </w:pPr>
      <w:r>
        <w:t xml:space="preserve">Do danas sud nije donio rješenje o prodaji predmetnih nekretnina putem FINA-e, iz razloga što je na nekretninama </w:t>
      </w:r>
      <w:r w:rsidRPr="0088794A">
        <w:t>upisana zabilježba spora</w:t>
      </w:r>
      <w:r>
        <w:t xml:space="preserve"> </w:t>
      </w:r>
      <w:r w:rsidRPr="0088794A">
        <w:t>- tužbe radi utvrđenja i uspostave ranijeg zemljišno-knjižnog stanja podnesena sudu pod posl</w:t>
      </w:r>
      <w:r>
        <w:t>ovnim brojem</w:t>
      </w:r>
      <w:r w:rsidRPr="0088794A">
        <w:t xml:space="preserve"> P-3996/16</w:t>
      </w:r>
      <w:r>
        <w:t>, od</w:t>
      </w:r>
      <w:r w:rsidRPr="0088794A">
        <w:t xml:space="preserve"> 21.06.2016.</w:t>
      </w:r>
      <w:r>
        <w:t xml:space="preserve"> godine.</w:t>
      </w:r>
    </w:p>
    <w:p w:rsidRDefault="00A93537" w:rsidP="00A93537" w:rsidR="00A93537">
      <w:pPr>
        <w:pStyle w:val="Tijeloteksta"/>
      </w:pPr>
    </w:p>
    <w:p w:rsidRDefault="00A93537" w:rsidP="00A93537" w:rsidR="00A93537">
      <w:pPr>
        <w:pStyle w:val="Tijeloteksta"/>
        <w:numPr>
          <w:ilvl w:val="0"/>
          <w:numId w:val="4"/>
        </w:numPr>
      </w:pPr>
      <w:r>
        <w:t>Dana 5. lipnja 2018. godine, uputili smo Trgovačkom sudu u Zagrebu, Prijedlog za sazivanje skupštine vjerovnika</w:t>
      </w:r>
      <w:r w:rsidR="00CD0118">
        <w:t xml:space="preserve"> s predloženim dnevnim redom:</w:t>
      </w:r>
    </w:p>
    <w:p w:rsidRDefault="00CD0118" w:rsidP="00CD0118" w:rsidR="00CD0118" w:rsidRPr="00CD0118">
      <w:pPr>
        <w:pStyle w:val="Odlomakpopisa"/>
        <w:numPr>
          <w:ilvl w:val="0"/>
          <w:numId w:val="6"/>
        </w:numPr>
        <w:spacing w:after="0"/>
        <w:jc w:val="both"/>
        <w:rPr>
          <w:rFonts w:hAnsi="Bookman Old Style" w:ascii="Bookman Old Style"/>
          <w:sz w:val="24"/>
          <w:szCs w:val="24"/>
        </w:rPr>
      </w:pPr>
      <w:r w:rsidRPr="00CD0118">
        <w:rPr>
          <w:rFonts w:hAnsi="Bookman Old Style" w:ascii="Bookman Old Style"/>
          <w:sz w:val="24"/>
          <w:szCs w:val="24"/>
        </w:rPr>
        <w:t>Izvješće stečajne upraviteljice o tijeku stečajnog postupka i stanju stečajne mase;</w:t>
      </w:r>
    </w:p>
    <w:p w:rsidRDefault="00CD0118" w:rsidP="00CD0118" w:rsidR="00CD0118">
      <w:pPr>
        <w:pStyle w:val="Odlomakpopisa"/>
        <w:numPr>
          <w:ilvl w:val="0"/>
          <w:numId w:val="6"/>
        </w:numPr>
        <w:spacing w:after="0"/>
        <w:jc w:val="both"/>
        <w:rPr>
          <w:rFonts w:hAnsi="Bookman Old Style" w:ascii="Bookman Old Style"/>
          <w:sz w:val="24"/>
          <w:szCs w:val="24"/>
        </w:rPr>
      </w:pPr>
      <w:r w:rsidRPr="00CD0118">
        <w:rPr>
          <w:rFonts w:hAnsi="Bookman Old Style" w:ascii="Bookman Old Style"/>
          <w:sz w:val="24"/>
          <w:szCs w:val="24"/>
        </w:rPr>
        <w:t xml:space="preserve">Davanje ovlaštenja stečajnoj upraviteljici za povlačenje tužbi u postupcima koji se vode pred Općinskim građanskim sudom u Zagrebu pod </w:t>
      </w:r>
      <w:r>
        <w:rPr>
          <w:rFonts w:hAnsi="Bookman Old Style" w:ascii="Bookman Old Style"/>
          <w:sz w:val="24"/>
          <w:szCs w:val="24"/>
        </w:rPr>
        <w:t>posl. br. P-3996/16 i P-4185/16;</w:t>
      </w:r>
    </w:p>
    <w:p w:rsidRDefault="00CD0118" w:rsidP="00CD0118" w:rsidR="00CD0118" w:rsidRPr="00CD0118">
      <w:pPr>
        <w:spacing w:after="0"/>
        <w:ind w:left="720"/>
        <w:jc w:val="both"/>
        <w:rPr>
          <w:rFonts w:hAnsi="Bookman Old Style" w:ascii="Bookman Old Style"/>
          <w:sz w:val="24"/>
          <w:szCs w:val="24"/>
        </w:rPr>
      </w:pPr>
      <w:r>
        <w:rPr>
          <w:rFonts w:hAnsi="Bookman Old Style" w:ascii="Bookman Old Style"/>
          <w:sz w:val="24"/>
          <w:szCs w:val="24"/>
        </w:rPr>
        <w:t>a koja se odluka suda očekuje.</w:t>
      </w:r>
    </w:p>
    <w:p w:rsidRDefault="00CD0118" w:rsidP="00CD0118" w:rsidR="00CD0118">
      <w:pPr>
        <w:pStyle w:val="Tijeloteksta"/>
        <w:ind w:left="720"/>
      </w:pPr>
    </w:p>
    <w:p w:rsidRDefault="00B46EF9" w:rsidP="00CD0118" w:rsidR="00B46EF9">
      <w:pPr>
        <w:pStyle w:val="Tijeloteksta"/>
      </w:pPr>
    </w:p>
    <w:p w:rsidRDefault="00CD0118" w:rsidP="00CD0118" w:rsidR="00CD0118">
      <w:pPr>
        <w:pStyle w:val="Tijeloteksta"/>
      </w:pPr>
    </w:p>
    <w:p w:rsidRDefault="00F46986" w:rsidP="00CD0118" w:rsidR="00F46986">
      <w:pPr>
        <w:pStyle w:val="Tijeloteksta"/>
      </w:pPr>
    </w:p>
    <w:p w:rsidRDefault="00F46986" w:rsidP="00CD0118" w:rsidR="00F46986">
      <w:pPr>
        <w:pStyle w:val="Tijeloteksta"/>
      </w:pPr>
    </w:p>
    <w:p w:rsidRDefault="00F46986" w:rsidP="00CD0118" w:rsidR="00F46986">
      <w:pPr>
        <w:pStyle w:val="Tijeloteksta"/>
      </w:pPr>
    </w:p>
    <w:p w:rsidRDefault="00CD0118" w:rsidP="00CD0118" w:rsidR="00CD0118">
      <w:pPr>
        <w:pStyle w:val="Tijeloteksta"/>
      </w:pPr>
    </w:p>
    <w:p w:rsidRDefault="00B46EF9" w:rsidP="00B46EF9" w:rsidR="00B46EF9"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lastRenderedPageBreak/>
        <w:t>II STANJE STEČAJNE MASE</w:t>
      </w: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B46EF9" w:rsidP="00B46EF9" w:rsidR="00B46EF9">
      <w:pPr>
        <w:spacing w:after="0"/>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Pr>
          <w:rFonts w:hAnsi="Bookman Old Style" w:ascii="Bookman Old Style"/>
          <w:sz w:val="24"/>
          <w:szCs w:val="24"/>
          <w:lang w:val="pl-PL"/>
        </w:rPr>
        <w:t>lova označeno ljubičastom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735F49">
        <w:rPr>
          <w:rFonts w:hAnsi="Bookman Old Style" w:ascii="Bookman Old Style"/>
          <w:sz w:val="24"/>
          <w:szCs w:val="24"/>
          <w:u w:val="single"/>
          <w:lang w:val="pl-PL"/>
        </w:rPr>
        <w:t>Napomena:</w:t>
      </w:r>
      <w:r>
        <w:rPr>
          <w:rFonts w:hAnsi="Bookman Old Style" w:ascii="Bookman Old Style"/>
          <w:sz w:val="24"/>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sudskog referenta toga suda poslovni broj Z-33182/16 od 04. srpnja 2017. godine na način da je dopustio predbilježbu prava najma za korist predlagatelja, a sve na temelju Ugovora o najmu stana od 20. lipnja 2016. godine.</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600/10000 ETAŽNO VLASNIŠTVO (E-5), jednoipolsobni stan oznake S5 na I (prvom) katu površine zatvorenog </w:t>
      </w:r>
      <w:r w:rsidRPr="004869DD">
        <w:rPr>
          <w:rFonts w:hAnsi="Bookman Old Style" w:ascii="Bookman Old Style"/>
          <w:sz w:val="24"/>
          <w:szCs w:val="24"/>
          <w:lang w:val="pl-PL"/>
        </w:rPr>
        <w:lastRenderedPageBreak/>
        <w:t>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3537" w:rsidP="00B46EF9" w:rsidR="00A93537"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w:t>
      </w:r>
      <w:r w:rsidRPr="004869DD">
        <w:rPr>
          <w:rFonts w:hAnsi="Bookman Old Style" w:ascii="Bookman Old Style"/>
          <w:sz w:val="24"/>
          <w:szCs w:val="24"/>
          <w:lang w:val="pl-PL"/>
        </w:rPr>
        <w:lastRenderedPageBreak/>
        <w:t xml:space="preserve">površine 5,67 m2, ukupno površine 209,87 m2, u nacrtu posebnih dijelova označeno plavom bojom,   </w:t>
      </w:r>
    </w:p>
    <w:p w:rsidRDefault="00A93537" w:rsidP="00B46EF9" w:rsidR="00A93537" w:rsidRPr="004869DD">
      <w:pPr>
        <w:jc w:val="both"/>
        <w:rPr>
          <w:rFonts w:hAnsi="Bookman Old Style" w:ascii="Bookman Old Style"/>
          <w:sz w:val="24"/>
          <w:szCs w:val="24"/>
          <w:lang w:val="pl-PL"/>
        </w:rPr>
      </w:pP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A93537">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w:t>
      </w:r>
      <w:r w:rsidRPr="004869DD">
        <w:rPr>
          <w:rFonts w:hAnsi="Bookman Old Style" w:ascii="Bookman Old Style"/>
          <w:sz w:val="24"/>
          <w:szCs w:val="24"/>
          <w:lang w:val="pl-PL"/>
        </w:rPr>
        <w:lastRenderedPageBreak/>
        <w:t xml:space="preserve">ukupno površine 39,75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w:t>
      </w:r>
      <w:r w:rsidRPr="004869DD">
        <w:rPr>
          <w:rFonts w:hAnsi="Bookman Old Style" w:ascii="Bookman Old Style"/>
          <w:sz w:val="24"/>
          <w:szCs w:val="24"/>
          <w:lang w:val="pl-PL"/>
        </w:rPr>
        <w:lastRenderedPageBreak/>
        <w:t xml:space="preserve">nenatkrivene terase površine 9,20 m2, prohodnog vrta površine 10,40 m2 i neprohodnog vrta površine 7,10 m2, spremište u prizemlju oznake SP10 površine 9,64 m2, ukupno površine 162,15 m2, u nacrtu posebnih dijelova označeno smeđožutom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3537" w:rsidP="00B46EF9" w:rsidR="00A93537"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w:t>
      </w:r>
      <w:r w:rsidRPr="004869DD">
        <w:rPr>
          <w:rFonts w:hAnsi="Bookman Old Style" w:ascii="Bookman Old Style"/>
          <w:sz w:val="24"/>
          <w:szCs w:val="24"/>
          <w:lang w:val="pl-PL"/>
        </w:rPr>
        <w:lastRenderedPageBreak/>
        <w:t xml:space="preserve">spremište u prizemlju oznake SP9 površine 6,49 m2, ukupno površine 74,30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638D2">
      <w:pPr>
        <w:pStyle w:val="Tijeloteksta"/>
        <w:rPr>
          <w:b/>
          <w:color w:val="FF0000"/>
          <w:szCs w:val="24"/>
        </w:rPr>
      </w:pPr>
      <w:r>
        <w:rPr>
          <w:b/>
          <w:szCs w:val="24"/>
        </w:rPr>
        <w:t>2.</w:t>
      </w:r>
      <w:r w:rsidRPr="004638D2">
        <w:rPr>
          <w:b/>
          <w:szCs w:val="24"/>
        </w:rPr>
        <w:t>POKRETNINE</w:t>
      </w:r>
    </w:p>
    <w:p w:rsidRDefault="00B46EF9" w:rsidP="00B46EF9" w:rsidR="00B46EF9">
      <w:pPr>
        <w:pStyle w:val="Tijeloteksta"/>
        <w:rPr>
          <w:szCs w:val="24"/>
        </w:rPr>
      </w:pPr>
    </w:p>
    <w:p w:rsidRDefault="00B46EF9" w:rsidP="00B46EF9" w:rsidR="00B46EF9">
      <w:pPr>
        <w:pStyle w:val="Tijeloteksta"/>
        <w:rPr>
          <w:szCs w:val="24"/>
        </w:rPr>
      </w:pPr>
      <w:r>
        <w:rPr>
          <w:szCs w:val="24"/>
        </w:rPr>
        <w:t>Dužnik nema u vlasništvu nikakve pokretne imovine.</w:t>
      </w:r>
    </w:p>
    <w:p w:rsidRDefault="00B46EF9" w:rsidP="00B46EF9" w:rsidR="00B46EF9">
      <w:pPr>
        <w:pStyle w:val="Tijeloteksta"/>
        <w:rPr>
          <w:szCs w:val="24"/>
        </w:rPr>
      </w:pPr>
    </w:p>
    <w:p w:rsidRDefault="00B46EF9" w:rsidP="00B46EF9" w:rsidR="00B46EF9">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B46EF9" w:rsidP="00B46EF9" w:rsidR="00B46EF9">
      <w:pPr>
        <w:pStyle w:val="Tijeloteksta"/>
        <w:rPr>
          <w:szCs w:val="24"/>
        </w:rPr>
      </w:pPr>
    </w:p>
    <w:p w:rsidRDefault="00B46EF9" w:rsidP="00B46EF9" w:rsidR="00B46EF9">
      <w:pPr>
        <w:pStyle w:val="Tijeloteksta"/>
        <w:rPr>
          <w:szCs w:val="24"/>
        </w:rPr>
      </w:pPr>
    </w:p>
    <w:p w:rsidRDefault="00B46EF9" w:rsidP="00B46EF9" w:rsidR="00B46EF9">
      <w:pPr>
        <w:pStyle w:val="Tijeloteksta"/>
        <w:rPr>
          <w:szCs w:val="24"/>
        </w:rPr>
      </w:pPr>
    </w:p>
    <w:p w:rsidRDefault="00B46EF9" w:rsidP="00B46EF9" w:rsidR="00B46EF9">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A93537" w:rsidP="00B46EF9" w:rsidR="00A93537">
      <w:pPr>
        <w:pStyle w:val="Tijeloteksta"/>
        <w:rPr>
          <w:szCs w:val="24"/>
        </w:rPr>
      </w:pPr>
    </w:p>
    <w:p w:rsidRDefault="00B46EF9" w:rsidP="00B46EF9" w:rsidR="00B46EF9">
      <w:pPr>
        <w:pStyle w:val="Tijeloteksta"/>
        <w:rPr>
          <w:szCs w:val="24"/>
        </w:rPr>
      </w:pPr>
    </w:p>
    <w:tbl>
      <w:tblPr>
        <w:tblW w:type="dxa" w:w="9102"/>
        <w:tblInd w:type="dxa" w:w="93"/>
        <w:tblLook w:val="04A0" w:noVBand="1" w:noHBand="0" w:lastColumn="0" w:firstColumn="1" w:lastRow="0" w:firstRow="1"/>
      </w:tblPr>
      <w:tblGrid>
        <w:gridCol w:w="1097"/>
        <w:gridCol w:w="3179"/>
        <w:gridCol w:w="264"/>
        <w:gridCol w:w="264"/>
        <w:gridCol w:w="264"/>
        <w:gridCol w:w="222"/>
        <w:gridCol w:w="3904"/>
      </w:tblGrid>
      <w:tr w:rsidTr="00A129DE" w:rsidR="00A129DE" w:rsidRPr="00A129DE">
        <w:trPr>
          <w:trHeight w:val="255"/>
        </w:trPr>
        <w:tc>
          <w:tcPr>
            <w:tcW w:type="dxa" w:w="9102"/>
            <w:gridSpan w:val="7"/>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Nastavno tome dajemo pregled priljeva i odljeva sredstava sa žiro-računa stečajnog dužnika</w:t>
            </w:r>
          </w:p>
        </w:tc>
      </w:tr>
      <w:tr w:rsidTr="00A129DE" w:rsidR="00A129DE" w:rsidRPr="00A129DE">
        <w:trPr>
          <w:trHeight w:val="255"/>
        </w:trPr>
        <w:tc>
          <w:tcPr>
            <w:tcW w:type="dxa" w:w="5074"/>
            <w:gridSpan w:val="5"/>
            <w:tcBorders>
              <w:top w:val="nil"/>
              <w:left w:val="nil"/>
              <w:bottom w:val="nil"/>
              <w:right w:val="nil"/>
            </w:tcBorders>
            <w:shd w:fill="auto" w:color="auto" w:val="clear"/>
            <w:noWrap/>
            <w:vAlign w:val="bottom"/>
            <w:hideMark/>
          </w:tcPr>
          <w:p w:rsidRDefault="00A129DE" w:rsidP="00A129DE" w:rsid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u razdoblju od  25.04.2018.godine do 25.07.2018. godine.</w:t>
            </w:r>
          </w:p>
          <w:p w:rsidRDefault="00A129DE" w:rsidP="00A129DE" w:rsidR="00A129DE">
            <w:pPr>
              <w:spacing w:after="0"/>
              <w:rPr>
                <w:rFonts w:cs="Arial" w:eastAsia="Times New Roman" w:hAnsi="Arial" w:ascii="Arial"/>
                <w:sz w:val="20"/>
                <w:szCs w:val="20"/>
                <w:lang w:eastAsia="hr-HR"/>
              </w:rPr>
            </w:pPr>
          </w:p>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18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18"/>
                <w:szCs w:val="18"/>
                <w:lang w:eastAsia="hr-HR"/>
              </w:rPr>
            </w:pPr>
            <w:r w:rsidRPr="00A129DE">
              <w:rPr>
                <w:rFonts w:cs="Arial" w:eastAsia="Times New Roman" w:hAnsi="Arial" w:ascii="Arial"/>
                <w:sz w:val="18"/>
                <w:szCs w:val="18"/>
                <w:lang w:eastAsia="hr-HR"/>
              </w:rPr>
              <w:t>Red. žiro račun</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1.</w:t>
            </w: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STANJE NA RAČUNU NA DAN  25.04.2018. GODINE</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8.731,78</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8.517,88</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 xml:space="preserve">blagajna </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213,90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2.</w:t>
            </w: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 xml:space="preserve">PRILJEV SREDSTAVA </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2,02</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HPB-kamate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2,02</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Priliv od najma imovine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Povrat od pozajmica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Priliv od kupaca prije stečaja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18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3.</w:t>
            </w: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KONTROLNI ZBROJ (1+2)</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8.733,80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18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4.</w:t>
            </w: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ODLJEV SREDSTAVA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452,80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oglasa za prodaju imovine</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 xml:space="preserve">Troškovi poštarine </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369,30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Materijalni troškovi</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Administrativni troškovi</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FINE i statistike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83,50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vođenja knjigovodstva</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odvjetnika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Povrat pozajmica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Ostali troškovi (biljezi, kopiranje i sl.)</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procjene imovine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Komunalna i vodna naknada, pričuva</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 xml:space="preserve">Troškovi inventure </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18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PDV</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nekretnine(voda, plin el.energija, čuvanje)</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Troškovi osiguranja imovine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Sudske pristojbe</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0,00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5.</w:t>
            </w:r>
          </w:p>
        </w:tc>
        <w:tc>
          <w:tcPr>
            <w:tcW w:type="dxa" w:w="3976"/>
            <w:gridSpan w:val="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STANJE NA RAČUNU NA DAN 25.07.2018.GODINE</w:t>
            </w: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8.281,00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7.936,40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r w:rsidRPr="00A129DE">
              <w:rPr>
                <w:rFonts w:cs="Arial" w:eastAsia="Times New Roman" w:hAnsi="Arial" w:ascii="Arial"/>
                <w:sz w:val="20"/>
                <w:szCs w:val="20"/>
                <w:lang w:eastAsia="hr-HR"/>
              </w:rPr>
              <w:t>blagajna</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sz w:val="20"/>
                <w:szCs w:val="20"/>
                <w:lang w:eastAsia="hr-HR"/>
              </w:rPr>
            </w:pPr>
            <w:r w:rsidRPr="00A129DE">
              <w:rPr>
                <w:rFonts w:cs="Arial" w:eastAsia="Times New Roman" w:hAnsi="Arial" w:ascii="Arial"/>
                <w:sz w:val="20"/>
                <w:szCs w:val="20"/>
                <w:lang w:eastAsia="hr-HR"/>
              </w:rPr>
              <w:t>344,60</w:t>
            </w:r>
          </w:p>
        </w:tc>
      </w:tr>
      <w:tr w:rsidTr="00A129DE" w:rsidR="00A129DE" w:rsidRPr="00A129DE">
        <w:trPr>
          <w:trHeight w:val="255"/>
        </w:trPr>
        <w:tc>
          <w:tcPr>
            <w:tcW w:type="dxa" w:w="1098"/>
            <w:tcBorders>
              <w:top w:val="nil"/>
              <w:left w:val="nil"/>
              <w:bottom w:val="nil"/>
              <w:right w:val="nil"/>
            </w:tcBorders>
            <w:shd w:fill="auto" w:color="auto" w:val="clear"/>
            <w:noWrap/>
            <w:vAlign w:val="bottom"/>
            <w:hideMark/>
          </w:tcPr>
          <w:p w:rsidRDefault="00A129DE" w:rsidP="00A129DE" w:rsidR="00A129DE" w:rsidRPr="00A129DE">
            <w:pPr>
              <w:spacing w:after="0"/>
              <w:jc w:val="center"/>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6.</w:t>
            </w:r>
          </w:p>
        </w:tc>
        <w:tc>
          <w:tcPr>
            <w:tcW w:type="dxa" w:w="3712"/>
            <w:gridSpan w:val="3"/>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KONTROLNI ZBROJ (4+5)</w:t>
            </w:r>
          </w:p>
        </w:tc>
        <w:tc>
          <w:tcPr>
            <w:tcW w:type="dxa" w:w="264"/>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A129DE" w:rsidP="00A129DE" w:rsidR="00A129DE" w:rsidRPr="00A129DE">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A129DE" w:rsidP="00A129DE" w:rsidR="00A129DE" w:rsidRPr="00A129DE">
            <w:pPr>
              <w:spacing w:after="0"/>
              <w:jc w:val="right"/>
              <w:rPr>
                <w:rFonts w:cs="Arial" w:eastAsia="Times New Roman" w:hAnsi="Arial" w:ascii="Arial"/>
                <w:b/>
                <w:bCs/>
                <w:sz w:val="20"/>
                <w:szCs w:val="20"/>
                <w:lang w:eastAsia="hr-HR"/>
              </w:rPr>
            </w:pPr>
            <w:r w:rsidRPr="00A129DE">
              <w:rPr>
                <w:rFonts w:cs="Arial" w:eastAsia="Times New Roman" w:hAnsi="Arial" w:ascii="Arial"/>
                <w:b/>
                <w:bCs/>
                <w:sz w:val="20"/>
                <w:szCs w:val="20"/>
                <w:lang w:eastAsia="hr-HR"/>
              </w:rPr>
              <w:t>8.733,80</w:t>
            </w:r>
          </w:p>
        </w:tc>
      </w:tr>
    </w:tbl>
    <w:p w:rsidRDefault="00B46EF9" w:rsidP="00B46EF9" w:rsidR="00B46EF9">
      <w:pPr>
        <w:spacing w:after="0"/>
        <w:jc w:val="both"/>
        <w:rPr>
          <w:rFonts w:hAnsi="Bookman Old Style" w:ascii="Bookman Old Style"/>
          <w:b/>
          <w:sz w:val="24"/>
          <w:szCs w:val="24"/>
          <w:lang w:val="pl-PL"/>
        </w:rPr>
      </w:pPr>
    </w:p>
    <w:p w:rsidRDefault="00A129DE" w:rsidP="00B46EF9" w:rsidR="00A129DE">
      <w:pPr>
        <w:spacing w:after="0"/>
        <w:jc w:val="both"/>
        <w:rPr>
          <w:rFonts w:hAnsi="Bookman Old Style" w:ascii="Bookman Old Style"/>
          <w:b/>
          <w:sz w:val="24"/>
          <w:szCs w:val="24"/>
          <w:lang w:val="pl-PL"/>
        </w:rPr>
      </w:pPr>
    </w:p>
    <w:p w:rsidRDefault="00A129DE" w:rsidP="00B46EF9" w:rsidR="00A129DE">
      <w:pPr>
        <w:spacing w:after="0"/>
        <w:jc w:val="both"/>
        <w:rPr>
          <w:rFonts w:hAnsi="Bookman Old Style" w:ascii="Bookman Old Style"/>
          <w:b/>
          <w:sz w:val="24"/>
          <w:szCs w:val="24"/>
          <w:lang w:val="pl-PL"/>
        </w:rPr>
      </w:pPr>
    </w:p>
    <w:p w:rsidRDefault="00B46EF9" w:rsidP="00B46EF9" w:rsidR="00B46EF9">
      <w:pPr>
        <w:spacing w:after="0"/>
        <w:jc w:val="both"/>
        <w:rPr>
          <w:rFonts w:hAnsi="Bookman Old Style" w:ascii="Bookman Old Style"/>
          <w:b/>
          <w:sz w:val="24"/>
          <w:szCs w:val="24"/>
          <w:lang w:val="pl-PL"/>
        </w:rPr>
      </w:pPr>
    </w:p>
    <w:p w:rsidRDefault="00B46EF9" w:rsidP="00B46EF9" w:rsidR="00B46EF9">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CD0118" w:rsidP="00B46EF9" w:rsidR="00CD0118">
      <w:pPr>
        <w:spacing w:after="0"/>
        <w:jc w:val="both"/>
        <w:rPr>
          <w:rFonts w:hAnsi="Bookman Old Style" w:ascii="Bookman Old Style"/>
          <w:b/>
          <w:sz w:val="24"/>
          <w:szCs w:val="24"/>
          <w:lang w:val="pl-PL"/>
        </w:rPr>
      </w:pPr>
    </w:p>
    <w:p w:rsidRDefault="00B46EF9" w:rsidP="00B46EF9" w:rsidR="00B46EF9"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B46EF9" w:rsidP="00B46EF9" w:rsidR="00B46EF9">
      <w:pPr>
        <w:spacing w:after="0"/>
        <w:jc w:val="both"/>
        <w:rPr>
          <w:rFonts w:hAnsi="Bookman Old Style" w:ascii="Bookman Old Style"/>
          <w:sz w:val="24"/>
          <w:szCs w:val="24"/>
          <w:lang w:val="pl-PL"/>
        </w:rPr>
      </w:pPr>
    </w:p>
    <w:p w:rsidRDefault="00B46EF9" w:rsidP="00B46EF9" w:rsidR="00B46EF9">
      <w:pPr>
        <w:spacing w:after="0"/>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Pr>
          <w:rFonts w:hAnsi="Bookman Old Style" w:ascii="Bookman Old Style"/>
          <w:sz w:val="24"/>
          <w:szCs w:val="24"/>
          <w:lang w:val="pl-PL"/>
        </w:rPr>
        <w:t xml:space="preserve">Čeka se odluka suda </w:t>
      </w:r>
      <w:r w:rsidR="00CD0118">
        <w:rPr>
          <w:rFonts w:hAnsi="Bookman Old Style" w:ascii="Bookman Old Style"/>
          <w:sz w:val="24"/>
          <w:szCs w:val="24"/>
          <w:lang w:val="pl-PL"/>
        </w:rPr>
        <w:t>u vezi postupanja</w:t>
      </w:r>
      <w:r>
        <w:rPr>
          <w:rFonts w:hAnsi="Bookman Old Style" w:ascii="Bookman Old Style"/>
          <w:sz w:val="24"/>
          <w:szCs w:val="24"/>
          <w:lang w:val="pl-PL"/>
        </w:rPr>
        <w:t xml:space="preserve"> po </w:t>
      </w:r>
      <w:r w:rsidR="00CD0118">
        <w:rPr>
          <w:rFonts w:hAnsi="Bookman Old Style" w:ascii="Bookman Old Style"/>
          <w:sz w:val="24"/>
          <w:szCs w:val="24"/>
          <w:lang w:val="pl-PL"/>
        </w:rPr>
        <w:t>Prijedlogu za sazivanje skupštine vjerovnika, od 5. lipnja</w:t>
      </w:r>
      <w:r>
        <w:rPr>
          <w:rFonts w:hAnsi="Bookman Old Style" w:ascii="Bookman Old Style"/>
          <w:sz w:val="24"/>
          <w:szCs w:val="24"/>
          <w:lang w:val="pl-PL"/>
        </w:rPr>
        <w:t xml:space="preserve"> 2018. godine.</w:t>
      </w:r>
    </w:p>
    <w:p w:rsidRDefault="00B46EF9" w:rsidP="00B46EF9" w:rsidR="00B46EF9" w:rsidRPr="0093029A">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B46EF9" w:rsidP="00B46EF9" w:rsidR="00B46EF9" w:rsidRPr="00BA110B">
      <w:pPr>
        <w:rPr>
          <w:rFonts w:hAnsi="Bookman Old Style" w:ascii="Bookman Old Style"/>
          <w:lang w:val="pl-PL"/>
        </w:rPr>
      </w:pPr>
      <w:r w:rsidRPr="0093029A">
        <w:rPr>
          <w:rFonts w:hAnsi="Bookman Old Style" w:ascii="Bookman Old Style"/>
          <w:sz w:val="24"/>
          <w:szCs w:val="24"/>
          <w:lang w:val="pl-PL"/>
        </w:rPr>
        <w:t xml:space="preserve">Zagreb, </w:t>
      </w:r>
      <w:r w:rsidR="00CD0118">
        <w:rPr>
          <w:rFonts w:hAnsi="Bookman Old Style" w:ascii="Bookman Old Style"/>
          <w:sz w:val="24"/>
          <w:szCs w:val="24"/>
          <w:lang w:val="pl-PL"/>
        </w:rPr>
        <w:t>26.07</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8C2616" w:rsidR="008C2616"/>
    <w:sectPr w:rsidSect="00682BD8"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D4E37"/>
    <w:multiLevelType w:val="hybridMultilevel"/>
    <w:tmpl w:val="AEFA404C"/>
    <w:lvl w:tplc="37AC2E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1E7743A"/>
    <w:multiLevelType w:val="hybridMultilevel"/>
    <w:tmpl w:val="C5B8CB9A"/>
    <w:lvl w:tplc="7670282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48D3713"/>
    <w:multiLevelType w:val="hybridMultilevel"/>
    <w:tmpl w:val="7C068C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EF9"/>
    <w:rsid w:val="0009291B"/>
    <w:rsid w:val="0026760B"/>
    <w:rsid w:val="0063195C"/>
    <w:rsid w:val="006C303A"/>
    <w:rsid w:val="008C2616"/>
    <w:rsid w:val="00A129DE"/>
    <w:rsid w:val="00A93537"/>
    <w:rsid w:val="00B46EF9"/>
    <w:rsid w:val="00CD0118"/>
    <w:rsid w:val="00D5235E"/>
    <w:rsid w:val="00E2540E"/>
    <w:rsid w:val="00F469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EF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B46EF9"/>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rezerviranogmjesta" w:type="character">
    <w:name w:val="Placeholder Text"/>
    <w:basedOn w:val="Zadanifontodlomka"/>
    <w:uiPriority w:val="99"/>
    <w:semiHidden/>
    <w:rsid w:val="006C303A"/>
    <w:rPr>
      <w:color w:val="808080"/>
      <w:bdr w:space="0" w:sz="0" w:color="auto" w:val="none"/>
      <w:shd w:fill="auto" w:color="auto" w:val="clear"/>
    </w:rPr>
  </w:style>
  <w:style w:customStyle="true" w:styleId="eSPISCCParagraphDefaultFont" w:type="character">
    <w:name w:val="eSPIS_CC_Paragraph Default Font"/>
    <w:basedOn w:val="Zadanifontodlomka"/>
    <w:rsid w:val="006C30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303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C303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C303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EF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B46EF9"/>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rezerviranogmjesta" w:type="character">
    <w:name w:val="Placeholder Text"/>
    <w:basedOn w:val="Zadanifontodlomka"/>
    <w:uiPriority w:val="99"/>
    <w:semiHidden/>
    <w:rsid w:val="006C303A"/>
    <w:rPr>
      <w:color w:val="808080"/>
      <w:bdr w:color="auto" w:space="0" w:sz="0" w:val="none"/>
      <w:shd w:color="auto" w:fill="auto" w:val="clear"/>
    </w:rPr>
  </w:style>
  <w:style w:customStyle="1" w:styleId="eSPISCCParagraphDefaultFont" w:type="character">
    <w:name w:val="eSPIS_CC_Paragraph Default Font"/>
    <w:basedOn w:val="Zadanifontodlomka"/>
    <w:rsid w:val="006C30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303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C303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C303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271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3041</properties:Words>
  <properties:Characters>17947</properties:Characters>
  <properties:Lines>615</properties:Lines>
  <properties:Paragraphs>144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2018-07-27T06:31:00Z</dcterms:created>
  <dc:creator>natalija</dc:creator>
  <cp:lastModifiedBy>Ivana Stampf</cp:lastModifiedBy>
  <cp:lastPrinted>2018-07-19T12:38:00Z</cp:lastPrinted>
  <dcterms:modified xmlns:xsi="http://www.w3.org/2001/XMLSchema-instance" xsi:type="dcterms:W3CDTF">2018-07-27T06:34:00Z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St-6047/2016-56 / Podnesak - Izvješće stečajnog upravitelja (Izvješće - 26.04.-26.07_.docx)</vt:lpwstr>
  </prop:property>
  <prop:property name="CC_coloring" pid="4" fmtid="{D5CDD505-2E9C-101B-9397-08002B2CF9AE}">
    <vt:bool>false</vt:bool>
  </prop:property>
  <prop:property name="BrojStranica" pid="5" fmtid="{D5CDD505-2E9C-101B-9397-08002B2CF9AE}">
    <vt:i4>11</vt:i4>
  </prop:property>
</prop:Properties>
</file>