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fb1d3" w14:paraId="6efb1d3" w:rsidRDefault="00937FF9" w:rsidP="00756A2B" w:rsidR="00CB0EA4">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21F0D" w:rsidP="00756A2B" w:rsidR="00A21F0D">
      <w:pPr>
        <w:pStyle w:val="NormaleSPIS"/>
        <w:ind w:firstLine="0"/>
        <w:rPr>
          <w:noProof/>
        </w:rPr>
      </w:pPr>
      <w:bookmarkStart w:name="_GoBack" w:id="0"/>
      <w:bookmarkEnd w:id="0"/>
    </w:p>
    <w:p w:rsidRDefault="00756A2B" w:rsidP="00756A2B" w:rsidR="00756A2B" w:rsidRPr="00756A2B">
      <w:pPr>
        <w:overflowPunct w:val="false"/>
        <w:autoSpaceDE w:val="false"/>
        <w:autoSpaceDN w:val="false"/>
        <w:adjustRightInd w:val="false"/>
        <w:spacing w:after="0"/>
        <w:jc w:val="center"/>
        <w:rPr>
          <w:rFonts w:cs="Times New Roman" w:eastAsia="Times New Roman"/>
          <w:noProof/>
          <w:szCs w:val="20"/>
          <w:lang w:eastAsia="hr-HR"/>
        </w:rPr>
      </w:pPr>
      <w:r w:rsidRPr="00756A2B">
        <w:rPr>
          <w:rFonts w:cs="Times New Roman" w:eastAsia="Times New Roman"/>
          <w:noProof/>
          <w:szCs w:val="20"/>
          <w:lang w:eastAsia="hr-HR"/>
        </w:rPr>
        <w:t xml:space="preserve">                                                                                       5 St-315/2016-6</w:t>
      </w:r>
    </w:p>
    <w:p w:rsidRDefault="00756A2B" w:rsidP="00756A2B" w:rsidR="00756A2B" w:rsidRPr="00756A2B">
      <w:pPr>
        <w:overflowPunct w:val="false"/>
        <w:autoSpaceDE w:val="false"/>
        <w:autoSpaceDN w:val="false"/>
        <w:adjustRightInd w:val="false"/>
        <w:spacing w:after="0"/>
        <w:jc w:val="center"/>
        <w:rPr>
          <w:rFonts w:cs="Times New Roman" w:eastAsia="Times New Roman"/>
          <w:noProof/>
          <w:szCs w:val="20"/>
          <w:lang w:eastAsia="hr-HR"/>
        </w:rPr>
      </w:pPr>
    </w:p>
    <w:p w:rsidRDefault="00756A2B" w:rsidP="00756A2B" w:rsidR="00756A2B" w:rsidRPr="00756A2B">
      <w:pPr>
        <w:overflowPunct w:val="false"/>
        <w:autoSpaceDE w:val="false"/>
        <w:autoSpaceDN w:val="false"/>
        <w:adjustRightInd w:val="false"/>
        <w:spacing w:after="0"/>
        <w:jc w:val="center"/>
        <w:rPr>
          <w:rFonts w:cs="Times New Roman" w:eastAsia="Times New Roman"/>
          <w:noProof/>
          <w:szCs w:val="20"/>
          <w:lang w:eastAsia="hr-HR"/>
        </w:rPr>
      </w:pPr>
    </w:p>
    <w:p w:rsidRDefault="00756A2B" w:rsidP="00756A2B" w:rsidR="00756A2B" w:rsidRPr="00756A2B">
      <w:pPr>
        <w:overflowPunct w:val="false"/>
        <w:autoSpaceDE w:val="false"/>
        <w:autoSpaceDN w:val="false"/>
        <w:adjustRightInd w:val="false"/>
        <w:spacing w:after="0"/>
        <w:jc w:val="center"/>
        <w:rPr>
          <w:rFonts w:cs="Times New Roman" w:eastAsia="Times New Roman"/>
          <w:noProof/>
          <w:szCs w:val="20"/>
          <w:lang w:eastAsia="hr-HR"/>
        </w:rPr>
      </w:pPr>
    </w:p>
    <w:p w:rsidRDefault="00756A2B" w:rsidP="00756A2B" w:rsidR="00756A2B" w:rsidRPr="00756A2B">
      <w:pPr>
        <w:overflowPunct w:val="false"/>
        <w:autoSpaceDE w:val="false"/>
        <w:autoSpaceDN w:val="false"/>
        <w:adjustRightInd w:val="false"/>
        <w:spacing w:after="0"/>
        <w:jc w:val="center"/>
        <w:rPr>
          <w:rFonts w:cs="Times New Roman" w:eastAsia="Times New Roman"/>
          <w:noProof/>
          <w:szCs w:val="20"/>
          <w:lang w:eastAsia="hr-HR"/>
        </w:rPr>
      </w:pPr>
      <w:r w:rsidRPr="00756A2B">
        <w:rPr>
          <w:rFonts w:cs="Times New Roman" w:eastAsia="Times New Roman"/>
          <w:noProof/>
          <w:szCs w:val="20"/>
          <w:lang w:eastAsia="hr-HR"/>
        </w:rPr>
        <w:t>U  I M E  R E P U B L I K E  H R V A T S K E</w:t>
      </w:r>
    </w:p>
    <w:p w:rsidRDefault="00756A2B" w:rsidP="00756A2B" w:rsidR="00756A2B" w:rsidRPr="00756A2B">
      <w:pPr>
        <w:overflowPunct w:val="false"/>
        <w:autoSpaceDE w:val="false"/>
        <w:autoSpaceDN w:val="false"/>
        <w:adjustRightInd w:val="false"/>
        <w:spacing w:after="0"/>
        <w:rPr>
          <w:rFonts w:cs="Times New Roman" w:eastAsia="Times New Roman"/>
          <w:noProof/>
          <w:szCs w:val="20"/>
          <w:lang w:eastAsia="hr-HR"/>
        </w:rPr>
      </w:pPr>
    </w:p>
    <w:p w:rsidRDefault="00756A2B" w:rsidP="00756A2B" w:rsidR="00756A2B" w:rsidRPr="00756A2B">
      <w:pPr>
        <w:overflowPunct w:val="false"/>
        <w:autoSpaceDE w:val="false"/>
        <w:autoSpaceDN w:val="false"/>
        <w:adjustRightInd w:val="false"/>
        <w:spacing w:after="0"/>
        <w:jc w:val="center"/>
        <w:outlineLvl w:val="0"/>
        <w:rPr>
          <w:rFonts w:cs="Times New Roman" w:eastAsia="Times New Roman"/>
          <w:noProof/>
          <w:szCs w:val="20"/>
          <w:lang w:eastAsia="hr-HR"/>
        </w:rPr>
      </w:pPr>
      <w:r w:rsidRPr="00756A2B">
        <w:rPr>
          <w:rFonts w:cs="Times New Roman" w:eastAsia="Times New Roman"/>
          <w:noProof/>
          <w:szCs w:val="20"/>
          <w:lang w:eastAsia="hr-HR"/>
        </w:rPr>
        <w:t>R J E Š E N J E</w:t>
      </w:r>
    </w:p>
    <w:p w:rsidRDefault="00756A2B" w:rsidP="00756A2B" w:rsidR="00756A2B" w:rsidRPr="00756A2B">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756A2B" w:rsidP="00756A2B" w:rsidR="00756A2B" w:rsidRPr="00756A2B">
      <w:pPr>
        <w:overflowPunct w:val="false"/>
        <w:autoSpaceDE w:val="false"/>
        <w:autoSpaceDN w:val="false"/>
        <w:adjustRightInd w:val="false"/>
        <w:spacing w:after="0"/>
        <w:ind w:firstLine="851"/>
        <w:jc w:val="both"/>
        <w:rPr>
          <w:rFonts w:cs="Times New Roman" w:eastAsia="Times New Roman"/>
          <w:noProof/>
          <w:szCs w:val="20"/>
          <w:lang w:eastAsia="hr-HR"/>
        </w:rPr>
      </w:pPr>
      <w:r w:rsidRPr="00756A2B">
        <w:rPr>
          <w:rFonts w:cs="Times New Roman" w:eastAsia="Times New Roman"/>
          <w:noProof/>
          <w:szCs w:val="20"/>
          <w:lang w:eastAsia="hr-HR"/>
        </w:rPr>
        <w:t xml:space="preserve">TRGOVAČKI SUD U BJELOVARU, po stečajnom sucu Mariji Petrina Kubica, u prethodnom postupku radi utvrđivanja uvjeta za otvaranje stečajnog postupka nad dužnikom </w:t>
      </w:r>
      <w:r w:rsidRPr="00756A2B">
        <w:rPr>
          <w:rFonts w:cs="Times New Roman" w:eastAsia="Times New Roman"/>
          <w:szCs w:val="20"/>
          <w:lang w:eastAsia="hr-HR"/>
        </w:rPr>
        <w:t xml:space="preserve">ID GRADNJA jednostavno društvo s ograničenom odgovornošću za proizvodnju, trgovinu i usluge, Garešnica, Matije Gupca 222/A, MBS: 010088678, OIB: 78937734529, 6. veljače </w:t>
      </w:r>
      <w:r w:rsidRPr="00756A2B">
        <w:rPr>
          <w:rFonts w:cs="Times New Roman" w:eastAsia="Times New Roman"/>
          <w:noProof/>
          <w:szCs w:val="20"/>
          <w:lang w:eastAsia="hr-HR"/>
        </w:rPr>
        <w:t xml:space="preserve">2017. </w:t>
      </w:r>
    </w:p>
    <w:p w:rsidRDefault="00756A2B" w:rsidP="00756A2B" w:rsidR="00756A2B" w:rsidRPr="00756A2B">
      <w:pPr>
        <w:overflowPunct w:val="false"/>
        <w:autoSpaceDE w:val="false"/>
        <w:autoSpaceDN w:val="false"/>
        <w:adjustRightInd w:val="false"/>
        <w:spacing w:after="0"/>
        <w:jc w:val="center"/>
        <w:rPr>
          <w:rFonts w:cs="Times New Roman" w:eastAsia="Times New Roman"/>
          <w:b/>
          <w:noProof/>
          <w:szCs w:val="20"/>
          <w:lang w:eastAsia="hr-HR"/>
        </w:rPr>
      </w:pPr>
      <w:r w:rsidRPr="00756A2B">
        <w:rPr>
          <w:rFonts w:cs="Times New Roman" w:eastAsia="Times New Roman"/>
          <w:noProof/>
          <w:szCs w:val="20"/>
          <w:lang w:eastAsia="hr-HR"/>
        </w:rPr>
        <w:tab/>
      </w:r>
    </w:p>
    <w:p w:rsidRDefault="00756A2B" w:rsidP="00756A2B" w:rsidR="00756A2B" w:rsidRPr="00756A2B">
      <w:pPr>
        <w:overflowPunct w:val="false"/>
        <w:autoSpaceDE w:val="false"/>
        <w:autoSpaceDN w:val="false"/>
        <w:adjustRightInd w:val="false"/>
        <w:spacing w:after="0"/>
        <w:jc w:val="center"/>
        <w:rPr>
          <w:rFonts w:cs="Times New Roman" w:eastAsia="Times New Roman"/>
          <w:noProof/>
          <w:szCs w:val="20"/>
          <w:lang w:eastAsia="hr-HR"/>
        </w:rPr>
      </w:pPr>
      <w:r w:rsidRPr="00756A2B">
        <w:rPr>
          <w:rFonts w:cs="Times New Roman" w:eastAsia="Times New Roman"/>
          <w:noProof/>
          <w:szCs w:val="20"/>
          <w:lang w:eastAsia="hr-HR"/>
        </w:rPr>
        <w:t>r i j e š i o   j e</w:t>
      </w:r>
    </w:p>
    <w:p w:rsidRDefault="00756A2B" w:rsidP="00756A2B" w:rsidR="00756A2B" w:rsidRPr="00756A2B">
      <w:pPr>
        <w:overflowPunct w:val="false"/>
        <w:autoSpaceDE w:val="false"/>
        <w:autoSpaceDN w:val="false"/>
        <w:adjustRightInd w:val="false"/>
        <w:spacing w:after="0"/>
        <w:rPr>
          <w:rFonts w:cs="Times New Roman" w:eastAsia="Times New Roman"/>
          <w:szCs w:val="20"/>
          <w:lang w:eastAsia="hr-HR"/>
        </w:rPr>
      </w:pPr>
    </w:p>
    <w:p w:rsidRDefault="00756A2B" w:rsidP="00756A2B" w:rsidR="00756A2B" w:rsidRPr="00756A2B">
      <w:pPr>
        <w:overflowPunct w:val="false"/>
        <w:autoSpaceDE w:val="false"/>
        <w:autoSpaceDN w:val="false"/>
        <w:adjustRightInd w:val="false"/>
        <w:spacing w:after="0"/>
        <w:ind w:firstLine="851"/>
        <w:jc w:val="both"/>
        <w:rPr>
          <w:rFonts w:cs="Times New Roman" w:eastAsia="Times New Roman"/>
          <w:szCs w:val="20"/>
          <w:lang w:eastAsia="hr-HR"/>
        </w:rPr>
      </w:pPr>
      <w:r w:rsidRPr="00756A2B">
        <w:rPr>
          <w:rFonts w:cs="Times New Roman" w:eastAsia="Times New Roman"/>
          <w:szCs w:val="20"/>
          <w:lang w:eastAsia="hr-HR"/>
        </w:rPr>
        <w:t>I. Otvara se stečajni postupak nad dužnikom ID GRADNJA jednostavno društvo s ograničenom odgovornošću za proizvodnju, trgovinu i usluge, Garešnica, Matije Gupca 222/A, MBS: 010088678, OIB: 78937734529.</w:t>
      </w:r>
    </w:p>
    <w:p w:rsidRDefault="00756A2B" w:rsidP="00756A2B" w:rsidR="00756A2B" w:rsidRPr="00756A2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56A2B" w:rsidP="00756A2B" w:rsidR="00756A2B" w:rsidRPr="00756A2B">
      <w:pPr>
        <w:overflowPunct w:val="false"/>
        <w:autoSpaceDE w:val="false"/>
        <w:autoSpaceDN w:val="false"/>
        <w:adjustRightInd w:val="false"/>
        <w:spacing w:after="0"/>
        <w:ind w:firstLine="851"/>
        <w:jc w:val="both"/>
        <w:rPr>
          <w:rFonts w:cs="Times New Roman" w:eastAsia="Times New Roman"/>
          <w:noProof/>
          <w:lang w:eastAsia="hr-HR"/>
        </w:rPr>
      </w:pPr>
      <w:r w:rsidRPr="00756A2B">
        <w:rPr>
          <w:rFonts w:cs="Times New Roman" w:eastAsia="Times New Roman"/>
          <w:szCs w:val="20"/>
          <w:lang w:eastAsia="hr-HR"/>
        </w:rPr>
        <w:t>II. Za stečajnog upravitelja imenuje se</w:t>
      </w:r>
      <w:r w:rsidRPr="00756A2B">
        <w:rPr>
          <w:rFonts w:cs="Times New Roman" w:eastAsia="Times New Roman"/>
          <w:noProof/>
          <w:lang w:eastAsia="hr-HR"/>
        </w:rPr>
        <w:t xml:space="preserve"> MIJO RONČEVIĆ, dipl. ekonomist iz Osijeka, Vijenac Ivana Meštrovića 74, OIB: 97146101285.</w:t>
      </w:r>
    </w:p>
    <w:p w:rsidRDefault="00756A2B" w:rsidP="00756A2B" w:rsidR="00756A2B" w:rsidRPr="00756A2B">
      <w:pPr>
        <w:overflowPunct w:val="false"/>
        <w:autoSpaceDE w:val="false"/>
        <w:autoSpaceDN w:val="false"/>
        <w:adjustRightInd w:val="false"/>
        <w:spacing w:after="0"/>
        <w:ind w:firstLine="851"/>
        <w:jc w:val="both"/>
        <w:rPr>
          <w:rFonts w:cs="Times New Roman" w:eastAsia="Times New Roman"/>
          <w:szCs w:val="20"/>
          <w:lang w:eastAsia="hr-HR"/>
        </w:rPr>
      </w:pPr>
    </w:p>
    <w:p w:rsidRDefault="00756A2B" w:rsidP="00756A2B" w:rsidR="00756A2B" w:rsidRPr="00756A2B">
      <w:pPr>
        <w:overflowPunct w:val="false"/>
        <w:autoSpaceDE w:val="false"/>
        <w:autoSpaceDN w:val="false"/>
        <w:adjustRightInd w:val="false"/>
        <w:spacing w:after="0"/>
        <w:ind w:firstLine="851"/>
        <w:jc w:val="both"/>
        <w:rPr>
          <w:rFonts w:cs="Times New Roman" w:eastAsia="Times New Roman"/>
          <w:szCs w:val="20"/>
          <w:lang w:eastAsia="hr-HR"/>
        </w:rPr>
      </w:pPr>
      <w:r w:rsidRPr="00756A2B">
        <w:rPr>
          <w:rFonts w:cs="Times New Roman" w:eastAsia="Times New Roman"/>
          <w:szCs w:val="20"/>
          <w:lang w:eastAsia="hr-HR"/>
        </w:rPr>
        <w:t>III. Zaključuje se stečajni postupak nad dužnikom ID GRADNJA jednostavno društvo s ograničenom odgovornošću za proizvodnju, trgovinu i usluge, Garešnica, Matije Gupca 222/A, MBS: 010088678, OIB: 78937734529.</w:t>
      </w:r>
    </w:p>
    <w:p w:rsidRDefault="00756A2B" w:rsidP="00756A2B" w:rsidR="00756A2B" w:rsidRPr="00756A2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56A2B" w:rsidP="00756A2B" w:rsidR="00756A2B" w:rsidRPr="00756A2B">
      <w:pPr>
        <w:overflowPunct w:val="false"/>
        <w:autoSpaceDE w:val="false"/>
        <w:autoSpaceDN w:val="false"/>
        <w:adjustRightInd w:val="false"/>
        <w:spacing w:after="0"/>
        <w:ind w:firstLine="851"/>
        <w:jc w:val="both"/>
        <w:rPr>
          <w:rFonts w:cs="Times New Roman" w:eastAsia="Times New Roman"/>
          <w:szCs w:val="20"/>
          <w:lang w:eastAsia="hr-HR"/>
        </w:rPr>
      </w:pPr>
      <w:r w:rsidRPr="00756A2B">
        <w:rPr>
          <w:rFonts w:cs="Times New Roman" w:eastAsia="Times New Roman"/>
          <w:szCs w:val="20"/>
          <w:lang w:eastAsia="hr-HR"/>
        </w:rPr>
        <w:t>IV. Stečajni postupak je otvoren i zaključen s danom 6. veljače 2017. u 14,30 sati, kada je ovo rješenje objavljeno na e-oglasnoj ploči ovoga suda.</w:t>
      </w:r>
    </w:p>
    <w:p w:rsidRDefault="00756A2B" w:rsidP="00756A2B" w:rsidR="00756A2B" w:rsidRPr="00756A2B">
      <w:pPr>
        <w:overflowPunct w:val="false"/>
        <w:autoSpaceDE w:val="false"/>
        <w:autoSpaceDN w:val="false"/>
        <w:adjustRightInd w:val="false"/>
        <w:spacing w:after="0"/>
        <w:ind w:firstLine="851"/>
        <w:jc w:val="both"/>
        <w:rPr>
          <w:rFonts w:cs="Times New Roman" w:eastAsia="Times New Roman"/>
          <w:szCs w:val="20"/>
          <w:lang w:eastAsia="hr-HR"/>
        </w:rPr>
      </w:pPr>
    </w:p>
    <w:p w:rsidRDefault="00756A2B" w:rsidP="00756A2B" w:rsidR="00756A2B" w:rsidRPr="00756A2B">
      <w:pPr>
        <w:overflowPunct w:val="false"/>
        <w:autoSpaceDE w:val="false"/>
        <w:autoSpaceDN w:val="false"/>
        <w:adjustRightInd w:val="false"/>
        <w:spacing w:after="0"/>
        <w:ind w:firstLine="851"/>
        <w:jc w:val="both"/>
        <w:rPr>
          <w:rFonts w:cs="Times New Roman" w:eastAsia="Calibri"/>
          <w:szCs w:val="20"/>
          <w:lang w:eastAsia="hr-HR"/>
        </w:rPr>
      </w:pPr>
      <w:r w:rsidRPr="00756A2B">
        <w:rPr>
          <w:rFonts w:cs="Times New Roman" w:eastAsia="Calibri"/>
          <w:szCs w:val="20"/>
          <w:lang w:eastAsia="hr-HR"/>
        </w:rPr>
        <w:t>V.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756A2B" w:rsidP="00756A2B" w:rsidR="00756A2B" w:rsidRPr="00756A2B">
      <w:pPr>
        <w:overflowPunct w:val="false"/>
        <w:autoSpaceDE w:val="false"/>
        <w:autoSpaceDN w:val="false"/>
        <w:adjustRightInd w:val="false"/>
        <w:spacing w:after="0"/>
        <w:ind w:firstLine="851"/>
        <w:rPr>
          <w:rFonts w:cs="Times New Roman" w:eastAsia="Times New Roman"/>
          <w:szCs w:val="20"/>
          <w:lang w:eastAsia="hr-HR"/>
        </w:rPr>
      </w:pPr>
    </w:p>
    <w:p w:rsidRDefault="00756A2B" w:rsidP="00756A2B" w:rsidR="00756A2B" w:rsidRPr="00756A2B">
      <w:pPr>
        <w:overflowPunct w:val="false"/>
        <w:autoSpaceDE w:val="false"/>
        <w:autoSpaceDN w:val="false"/>
        <w:adjustRightInd w:val="false"/>
        <w:spacing w:after="0"/>
        <w:ind w:firstLine="851"/>
        <w:jc w:val="both"/>
        <w:rPr>
          <w:rFonts w:cs="Times New Roman" w:eastAsia="Times New Roman"/>
          <w:szCs w:val="20"/>
          <w:lang w:eastAsia="hr-HR"/>
        </w:rPr>
      </w:pPr>
      <w:r w:rsidRPr="00756A2B">
        <w:rPr>
          <w:rFonts w:cs="Times New Roman" w:eastAsia="Times New Roman"/>
          <w:szCs w:val="20"/>
          <w:lang w:eastAsia="hr-HR"/>
        </w:rPr>
        <w:t>VI. Nakon pravomoćnosti ovoga rješenja stečajni dužnik će se brisati iz sudskog registra.</w:t>
      </w:r>
    </w:p>
    <w:p w:rsidRDefault="00756A2B" w:rsidP="00756A2B" w:rsidR="00756A2B" w:rsidRPr="00756A2B">
      <w:pPr>
        <w:overflowPunct w:val="false"/>
        <w:autoSpaceDE w:val="false"/>
        <w:autoSpaceDN w:val="false"/>
        <w:adjustRightInd w:val="false"/>
        <w:spacing w:after="0"/>
        <w:rPr>
          <w:rFonts w:cs="Times New Roman" w:eastAsia="Times New Roman"/>
          <w:szCs w:val="20"/>
          <w:lang w:eastAsia="hr-HR"/>
        </w:rPr>
      </w:pPr>
    </w:p>
    <w:p w:rsidRDefault="00756A2B" w:rsidP="00756A2B" w:rsidR="00756A2B" w:rsidRPr="00756A2B">
      <w:pPr>
        <w:overflowPunct w:val="false"/>
        <w:autoSpaceDE w:val="false"/>
        <w:autoSpaceDN w:val="false"/>
        <w:adjustRightInd w:val="false"/>
        <w:spacing w:after="0"/>
        <w:jc w:val="center"/>
        <w:rPr>
          <w:rFonts w:cs="Times New Roman" w:eastAsia="Times New Roman"/>
          <w:szCs w:val="20"/>
          <w:lang w:eastAsia="hr-HR"/>
        </w:rPr>
      </w:pPr>
      <w:r w:rsidRPr="00756A2B">
        <w:rPr>
          <w:rFonts w:cs="Times New Roman" w:eastAsia="Times New Roman"/>
          <w:szCs w:val="20"/>
          <w:lang w:eastAsia="hr-HR"/>
        </w:rPr>
        <w:t>Obrazloženje</w:t>
      </w:r>
    </w:p>
    <w:p w:rsidRDefault="00756A2B" w:rsidP="00756A2B" w:rsidR="00756A2B" w:rsidRPr="00756A2B">
      <w:pPr>
        <w:overflowPunct w:val="false"/>
        <w:autoSpaceDE w:val="false"/>
        <w:autoSpaceDN w:val="false"/>
        <w:adjustRightInd w:val="false"/>
        <w:spacing w:after="0"/>
        <w:jc w:val="center"/>
        <w:rPr>
          <w:rFonts w:cs="Times New Roman" w:eastAsia="Times New Roman"/>
          <w:szCs w:val="20"/>
          <w:lang w:eastAsia="hr-HR"/>
        </w:rPr>
      </w:pPr>
    </w:p>
    <w:p w:rsidRDefault="00756A2B" w:rsidP="00756A2B" w:rsidR="00756A2B" w:rsidRPr="00756A2B">
      <w:pPr>
        <w:overflowPunct w:val="false"/>
        <w:autoSpaceDE w:val="false"/>
        <w:autoSpaceDN w:val="false"/>
        <w:adjustRightInd w:val="false"/>
        <w:spacing w:after="0"/>
        <w:ind w:firstLine="851"/>
        <w:jc w:val="both"/>
        <w:rPr>
          <w:rFonts w:cs="Times New Roman" w:eastAsia="Times New Roman"/>
          <w:noProof/>
          <w:szCs w:val="20"/>
          <w:lang w:eastAsia="hr-HR"/>
        </w:rPr>
      </w:pPr>
      <w:r w:rsidRPr="00756A2B">
        <w:rPr>
          <w:rFonts w:cs="Times New Roman" w:eastAsia="Times New Roman"/>
          <w:noProof/>
          <w:szCs w:val="20"/>
          <w:lang w:eastAsia="hr-HR"/>
        </w:rPr>
        <w:t xml:space="preserve">Financijska agencija je, na temelju čl.444. st.2. Stečajnog zakona ("Narodne novine" broj 71/15, dalje: SZ), 19. travnja 2016. podnijela prijedlog za otvaranje stečajnog postupka nad dužnikom </w:t>
      </w:r>
      <w:r w:rsidRPr="00756A2B">
        <w:rPr>
          <w:rFonts w:cs="Times New Roman" w:eastAsia="Times New Roman"/>
          <w:szCs w:val="20"/>
          <w:lang w:eastAsia="hr-HR"/>
        </w:rPr>
        <w:t xml:space="preserve">ID GRADNJA jednostavno društvo s ograničenom odgovornošću za proizvodnju, trgovinu i usluge, Garešnica. U prijedlogu je navela da na dan 1. rujna 2015. dužnik u Očevidniku redoslijeda osnova za plaćanje ima evidentirane neizvršene osnove za plaćanje u neprekinutom razdoblju od 254 dana, u ukupnom iznosu od 1.929,93 kn, u koji </w:t>
      </w:r>
      <w:r w:rsidRPr="00756A2B">
        <w:rPr>
          <w:rFonts w:cs="Times New Roman" w:eastAsia="Times New Roman"/>
          <w:szCs w:val="20"/>
          <w:lang w:eastAsia="hr-HR"/>
        </w:rPr>
        <w:lastRenderedPageBreak/>
        <w:t xml:space="preserve">iznos je uračunata kamata i naknada Financijske agencije za provedbu ovrhe na novčanim sredstvima. Prema podacima koje je FINI dostavio Hrvatski zavod za mirovinsko osiguranje </w:t>
      </w:r>
      <w:r w:rsidRPr="00756A2B">
        <w:rPr>
          <w:rFonts w:cs="Times New Roman" w:eastAsia="Times New Roman"/>
          <w:noProof/>
          <w:szCs w:val="20"/>
          <w:lang w:eastAsia="hr-HR"/>
        </w:rPr>
        <w:t>dužnik ima jednog zaposlenog.</w:t>
      </w:r>
    </w:p>
    <w:p w:rsidRDefault="00756A2B" w:rsidP="00756A2B" w:rsidR="00756A2B" w:rsidRPr="00756A2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56A2B" w:rsidP="00756A2B" w:rsidR="00756A2B" w:rsidRPr="00756A2B">
      <w:pPr>
        <w:overflowPunct w:val="false"/>
        <w:autoSpaceDE w:val="false"/>
        <w:autoSpaceDN w:val="false"/>
        <w:adjustRightInd w:val="false"/>
        <w:spacing w:after="0"/>
        <w:ind w:firstLine="851"/>
        <w:jc w:val="both"/>
        <w:rPr>
          <w:rFonts w:cs="Times New Roman" w:eastAsia="Times New Roman"/>
          <w:szCs w:val="20"/>
          <w:lang w:eastAsia="hr-HR"/>
        </w:rPr>
      </w:pPr>
      <w:r w:rsidRPr="00756A2B">
        <w:rPr>
          <w:rFonts w:cs="Times New Roman" w:eastAsia="Times New Roman"/>
          <w:szCs w:val="20"/>
          <w:lang w:eastAsia="hr-HR"/>
        </w:rPr>
        <w:t xml:space="preserve">Kako je iz prijedloga proizlazila vjerojatnost postojanja stečajnog razloga – nesposobnosti za plaćanje iz čl.6. st.2. SZ-a, sud je temeljem čl.115. st.1. SZ-a, donio rješenje od 11. svibnja 2016., kojim je pokrenut prethodni postupak radi utvrđivanja pretpostavki za otvaranje stečajnog postupka i sazvano je ročište radi izjašnjenja o prijedlogu i rasprave o uvjetima za otvaranje stečajnog postupka. Ujedno je naloženo zakonskom zastupniku dužnika Igoru </w:t>
      </w:r>
      <w:proofErr w:type="spellStart"/>
      <w:r w:rsidRPr="00756A2B">
        <w:rPr>
          <w:rFonts w:cs="Times New Roman" w:eastAsia="Times New Roman"/>
          <w:szCs w:val="20"/>
          <w:lang w:eastAsia="hr-HR"/>
        </w:rPr>
        <w:t>Pizentu</w:t>
      </w:r>
      <w:proofErr w:type="spellEnd"/>
      <w:r w:rsidRPr="00756A2B">
        <w:rPr>
          <w:rFonts w:cs="Times New Roman" w:eastAsia="Times New Roman"/>
          <w:szCs w:val="20"/>
          <w:lang w:eastAsia="hr-HR"/>
        </w:rPr>
        <w:t xml:space="preserve"> da u roku od 15 dana od objave tog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dostavi obrazac godišnjeg financijskog izvješća (GFI-POD) za 2015. sa bilješkama i bruto bilancu za 2015. </w:t>
      </w:r>
    </w:p>
    <w:p w:rsidRDefault="00756A2B" w:rsidP="00756A2B" w:rsidR="00756A2B" w:rsidRPr="00756A2B">
      <w:pPr>
        <w:overflowPunct w:val="false"/>
        <w:autoSpaceDE w:val="false"/>
        <w:autoSpaceDN w:val="false"/>
        <w:adjustRightInd w:val="false"/>
        <w:spacing w:after="0"/>
        <w:ind w:firstLine="851"/>
        <w:jc w:val="both"/>
        <w:rPr>
          <w:rFonts w:cs="Times New Roman" w:eastAsia="Times New Roman"/>
          <w:szCs w:val="20"/>
          <w:lang w:eastAsia="hr-HR"/>
        </w:rPr>
      </w:pPr>
    </w:p>
    <w:p w:rsidRDefault="00756A2B" w:rsidP="00756A2B" w:rsidR="00756A2B" w:rsidRPr="00756A2B">
      <w:pPr>
        <w:overflowPunct w:val="false"/>
        <w:autoSpaceDE w:val="false"/>
        <w:autoSpaceDN w:val="false"/>
        <w:adjustRightInd w:val="false"/>
        <w:spacing w:after="0"/>
        <w:ind w:firstLine="851"/>
        <w:jc w:val="both"/>
        <w:rPr>
          <w:rFonts w:cs="Times New Roman" w:eastAsia="Times New Roman"/>
          <w:szCs w:val="20"/>
          <w:lang w:eastAsia="hr-HR"/>
        </w:rPr>
      </w:pPr>
      <w:r w:rsidRPr="00756A2B">
        <w:rPr>
          <w:rFonts w:cs="Times New Roman" w:eastAsia="Times New Roman"/>
          <w:szCs w:val="20"/>
          <w:lang w:eastAsia="hr-HR"/>
        </w:rPr>
        <w:t>Zakonski zastupnik dužnika je na ročištu 10. lipnja 2016. predao bruto bilancu za 2015., bilancu stanja na dan 31. prosinca 2015. te račun dobiti i gubitka za razdoblje od 1. siječnja do 31. prosinca 2015. Istaknuo je da je račun dužnika i nadalje blokiran, da nema uvjeta za nastavak poslovanja te da dužnik nije vlasnik nikakve vrednije niti pokretne niti nepokretne imovine.</w:t>
      </w:r>
    </w:p>
    <w:p w:rsidRDefault="00756A2B" w:rsidP="00756A2B" w:rsidR="00756A2B" w:rsidRPr="00756A2B">
      <w:pPr>
        <w:overflowPunct w:val="false"/>
        <w:autoSpaceDE w:val="false"/>
        <w:autoSpaceDN w:val="false"/>
        <w:adjustRightInd w:val="false"/>
        <w:spacing w:after="0"/>
        <w:ind w:firstLine="851"/>
        <w:jc w:val="both"/>
        <w:rPr>
          <w:rFonts w:cs="Times New Roman" w:eastAsia="Times New Roman"/>
          <w:szCs w:val="20"/>
          <w:lang w:eastAsia="hr-HR"/>
        </w:rPr>
      </w:pPr>
    </w:p>
    <w:p w:rsidRDefault="00756A2B" w:rsidP="00756A2B" w:rsidR="00756A2B" w:rsidRPr="00756A2B">
      <w:pPr>
        <w:overflowPunct w:val="false"/>
        <w:autoSpaceDE w:val="false"/>
        <w:autoSpaceDN w:val="false"/>
        <w:adjustRightInd w:val="false"/>
        <w:spacing w:after="0"/>
        <w:ind w:firstLine="851"/>
        <w:jc w:val="both"/>
        <w:rPr>
          <w:rFonts w:cs="Times New Roman" w:eastAsia="Times New Roman"/>
          <w:szCs w:val="20"/>
          <w:lang w:eastAsia="hr-HR"/>
        </w:rPr>
      </w:pPr>
      <w:r w:rsidRPr="00756A2B">
        <w:rPr>
          <w:rFonts w:cs="Times New Roman" w:eastAsia="Times New Roman"/>
          <w:szCs w:val="20"/>
          <w:lang w:eastAsia="hr-HR"/>
        </w:rPr>
        <w:t>Na temelju navoda Financijske agencije o evidentiranim neizvršenim osnovama za plaćanje u neprekinutom razdoblju od 254 dana, u ukupnom iznosu od 1.929,93 kn, koji podatak zakonski zastupnik dužnika nije osporio, sud utvrđuje da je ispunjen razlog nesposobnosti za plaćanje, propisan čl.6. st.2. SZ.</w:t>
      </w:r>
    </w:p>
    <w:p w:rsidRDefault="00756A2B" w:rsidP="00756A2B" w:rsidR="00756A2B" w:rsidRPr="00756A2B">
      <w:pPr>
        <w:overflowPunct w:val="false"/>
        <w:autoSpaceDE w:val="false"/>
        <w:autoSpaceDN w:val="false"/>
        <w:adjustRightInd w:val="false"/>
        <w:spacing w:after="0"/>
        <w:ind w:firstLine="851"/>
        <w:jc w:val="both"/>
        <w:rPr>
          <w:rFonts w:cs="Times New Roman" w:eastAsia="Times New Roman"/>
          <w:szCs w:val="20"/>
          <w:lang w:eastAsia="hr-HR"/>
        </w:rPr>
      </w:pPr>
    </w:p>
    <w:p w:rsidRDefault="00756A2B" w:rsidP="00756A2B" w:rsidR="00756A2B" w:rsidRPr="00756A2B">
      <w:pPr>
        <w:overflowPunct w:val="false"/>
        <w:autoSpaceDE w:val="false"/>
        <w:autoSpaceDN w:val="false"/>
        <w:adjustRightInd w:val="false"/>
        <w:spacing w:after="0"/>
        <w:ind w:firstLine="851"/>
        <w:jc w:val="both"/>
        <w:rPr>
          <w:rFonts w:cs="Times New Roman" w:eastAsia="Times New Roman"/>
          <w:noProof/>
          <w:szCs w:val="20"/>
          <w:lang w:eastAsia="hr-HR"/>
        </w:rPr>
      </w:pPr>
      <w:r w:rsidRPr="00756A2B">
        <w:rPr>
          <w:rFonts w:cs="Times New Roman" w:eastAsia="Times New Roman"/>
          <w:szCs w:val="20"/>
          <w:lang w:eastAsia="hr-HR"/>
        </w:rPr>
        <w:t>Iz navoda zakonskog zastupnika dužnika sud zaključuje da dužnik ne raspolaže imovinom koja bi bila dovoljna za namirenje troškova prethodnog i stečajnog postupka te je sud, sukladno odredbi čl.132 st.1. SZ,</w:t>
      </w:r>
      <w:r w:rsidRPr="00756A2B">
        <w:rPr>
          <w:rFonts w:cs="Times New Roman" w:eastAsia="Times New Roman"/>
          <w:noProof/>
          <w:szCs w:val="20"/>
          <w:lang w:eastAsia="hr-HR"/>
        </w:rPr>
        <w:t xml:space="preserve"> rješenjem od 19. rujna 2016. pozvao </w:t>
      </w:r>
      <w:r w:rsidRPr="00756A2B">
        <w:rPr>
          <w:rFonts w:cs="Times New Roman" w:eastAsia="Times New Roman"/>
          <w:szCs w:val="20"/>
          <w:lang w:eastAsia="hr-HR"/>
        </w:rPr>
        <w:t>osobe koje imaju interes za provedbom stečajnog postupka da u roku od 15 dana uplate predujam za namirenje troškova prethodnog i stečajnog postupka u iznosu od 15.000,00 kn. Osobe pozvane na uplatu predujma upozorene su da će sud, ukoliko predujam ne bude plaćen u roku od 15 dana, donijeti rješenje o otvaranju i zaključenju stečajnog postupka nad dužnikom.</w:t>
      </w:r>
    </w:p>
    <w:p w:rsidRDefault="00756A2B" w:rsidP="00756A2B" w:rsidR="00756A2B" w:rsidRPr="00756A2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56A2B" w:rsidP="00756A2B" w:rsidR="00756A2B" w:rsidRPr="00756A2B">
      <w:pPr>
        <w:overflowPunct w:val="false"/>
        <w:autoSpaceDE w:val="false"/>
        <w:autoSpaceDN w:val="false"/>
        <w:adjustRightInd w:val="false"/>
        <w:spacing w:after="0"/>
        <w:ind w:firstLine="851"/>
        <w:jc w:val="both"/>
        <w:rPr>
          <w:rFonts w:cs="Times New Roman" w:eastAsia="Times New Roman"/>
          <w:szCs w:val="20"/>
          <w:lang w:eastAsia="hr-HR"/>
        </w:rPr>
      </w:pPr>
      <w:r w:rsidRPr="00756A2B">
        <w:rPr>
          <w:rFonts w:cs="Times New Roman" w:eastAsia="Times New Roman"/>
          <w:szCs w:val="20"/>
          <w:lang w:eastAsia="hr-HR"/>
        </w:rPr>
        <w:t>Rješenje je objavljeno na e-oglasnoj ploči suda 19. rujna 2016. U roku od 15 dana od objave oglasa nije predujmljen iznos od 15.000,00 kn.</w:t>
      </w:r>
    </w:p>
    <w:p w:rsidRDefault="00756A2B" w:rsidP="00756A2B" w:rsidR="00756A2B" w:rsidRPr="00756A2B">
      <w:pPr>
        <w:overflowPunct w:val="false"/>
        <w:autoSpaceDE w:val="false"/>
        <w:autoSpaceDN w:val="false"/>
        <w:adjustRightInd w:val="false"/>
        <w:spacing w:after="0"/>
        <w:jc w:val="both"/>
        <w:rPr>
          <w:rFonts w:cs="Times New Roman" w:eastAsia="Times New Roman"/>
          <w:szCs w:val="20"/>
          <w:lang w:eastAsia="hr-HR"/>
        </w:rPr>
      </w:pPr>
      <w:r w:rsidRPr="00756A2B">
        <w:rPr>
          <w:rFonts w:cs="Times New Roman" w:eastAsia="Times New Roman"/>
          <w:szCs w:val="20"/>
          <w:lang w:eastAsia="hr-HR"/>
        </w:rPr>
        <w:t xml:space="preserve">          </w:t>
      </w:r>
    </w:p>
    <w:p w:rsidRDefault="00756A2B" w:rsidP="00756A2B" w:rsidR="00756A2B" w:rsidRPr="00756A2B">
      <w:pPr>
        <w:overflowPunct w:val="false"/>
        <w:autoSpaceDE w:val="false"/>
        <w:autoSpaceDN w:val="false"/>
        <w:adjustRightInd w:val="false"/>
        <w:spacing w:after="0"/>
        <w:ind w:firstLine="851"/>
        <w:jc w:val="both"/>
        <w:rPr>
          <w:rFonts w:cs="Times New Roman" w:eastAsia="Times New Roman"/>
          <w:szCs w:val="20"/>
          <w:lang w:eastAsia="hr-HR"/>
        </w:rPr>
      </w:pPr>
      <w:r w:rsidRPr="00756A2B">
        <w:rPr>
          <w:rFonts w:cs="Times New Roman" w:eastAsia="Times New Roman"/>
          <w:szCs w:val="20"/>
          <w:lang w:eastAsia="hr-HR"/>
        </w:rPr>
        <w:t>Kako iz prijedloga za pokretanje stečajnog postupka i očitovanja FINE od 17. svibnja 2016. proizlazi postojanje stečajnog razloga – nesposobnosti za plaćanje, 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 Objava rješenja na e-oglasnoj ploči suda određena je sukladno čl.132. st.3. SZ-a.</w:t>
      </w:r>
    </w:p>
    <w:p w:rsidRDefault="00756A2B" w:rsidP="00756A2B" w:rsidR="00756A2B" w:rsidRPr="00756A2B">
      <w:pPr>
        <w:overflowPunct w:val="false"/>
        <w:autoSpaceDE w:val="false"/>
        <w:autoSpaceDN w:val="false"/>
        <w:adjustRightInd w:val="false"/>
        <w:spacing w:after="0"/>
        <w:jc w:val="both"/>
        <w:rPr>
          <w:rFonts w:cs="Times New Roman" w:eastAsia="Times New Roman"/>
          <w:szCs w:val="20"/>
          <w:lang w:eastAsia="hr-HR"/>
        </w:rPr>
      </w:pPr>
    </w:p>
    <w:p w:rsidRDefault="00756A2B" w:rsidP="00756A2B" w:rsidR="00756A2B" w:rsidRPr="00756A2B">
      <w:pPr>
        <w:overflowPunct w:val="false"/>
        <w:autoSpaceDE w:val="false"/>
        <w:autoSpaceDN w:val="false"/>
        <w:adjustRightInd w:val="false"/>
        <w:spacing w:after="0"/>
        <w:ind w:firstLine="851"/>
        <w:jc w:val="both"/>
        <w:rPr>
          <w:rFonts w:cs="Times New Roman" w:eastAsia="Times New Roman"/>
          <w:szCs w:val="20"/>
          <w:lang w:eastAsia="hr-HR"/>
        </w:rPr>
      </w:pPr>
      <w:r w:rsidRPr="00756A2B">
        <w:rPr>
          <w:rFonts w:cs="Times New Roman" w:eastAsia="Times New Roman"/>
          <w:szCs w:val="20"/>
          <w:lang w:eastAsia="hr-HR"/>
        </w:rPr>
        <w:t xml:space="preserve">Stečajni upravitelj imenovan je sukladno odredbi čl.84. st.1. i čl.85. st.2. SZ-a, s liste A stečajnih upravitelja za područje ovog suda. </w:t>
      </w:r>
    </w:p>
    <w:p w:rsidRDefault="00756A2B" w:rsidP="00756A2B" w:rsidR="00756A2B" w:rsidRPr="00756A2B">
      <w:pPr>
        <w:overflowPunct w:val="false"/>
        <w:autoSpaceDE w:val="false"/>
        <w:autoSpaceDN w:val="false"/>
        <w:adjustRightInd w:val="false"/>
        <w:spacing w:after="0"/>
        <w:ind w:firstLine="851"/>
        <w:jc w:val="both"/>
        <w:rPr>
          <w:rFonts w:cs="Times New Roman" w:eastAsia="Times New Roman"/>
          <w:szCs w:val="20"/>
          <w:lang w:eastAsia="hr-HR"/>
        </w:rPr>
      </w:pPr>
    </w:p>
    <w:p w:rsidRDefault="00756A2B" w:rsidP="00756A2B" w:rsidR="00756A2B" w:rsidRPr="00756A2B">
      <w:pPr>
        <w:overflowPunct w:val="false"/>
        <w:autoSpaceDE w:val="false"/>
        <w:autoSpaceDN w:val="false"/>
        <w:adjustRightInd w:val="false"/>
        <w:spacing w:after="0"/>
        <w:ind w:firstLine="851"/>
        <w:jc w:val="both"/>
        <w:rPr>
          <w:rFonts w:cs="Times New Roman" w:eastAsia="Calibri"/>
          <w:szCs w:val="20"/>
          <w:lang w:eastAsia="hr-HR"/>
        </w:rPr>
      </w:pPr>
      <w:r w:rsidRPr="00756A2B">
        <w:rPr>
          <w:rFonts w:cs="Times New Roman" w:eastAsia="Calibri"/>
          <w:szCs w:val="20"/>
          <w:lang w:eastAsia="hr-HR"/>
        </w:rPr>
        <w:lastRenderedPageBreak/>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756A2B" w:rsidP="00756A2B" w:rsidR="00756A2B" w:rsidRPr="00756A2B">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756A2B" w:rsidP="00756A2B" w:rsidR="00756A2B" w:rsidRPr="00756A2B">
      <w:pPr>
        <w:overflowPunct w:val="false"/>
        <w:autoSpaceDE w:val="false"/>
        <w:autoSpaceDN w:val="false"/>
        <w:adjustRightInd w:val="false"/>
        <w:spacing w:after="0"/>
        <w:ind w:firstLine="709"/>
        <w:jc w:val="both"/>
        <w:rPr>
          <w:rFonts w:cs="Times New Roman" w:eastAsia="Times New Roman"/>
          <w:i/>
          <w:noProof/>
          <w:szCs w:val="20"/>
          <w:lang w:eastAsia="hr-HR"/>
        </w:rPr>
      </w:pPr>
      <w:r w:rsidRPr="00756A2B">
        <w:rPr>
          <w:rFonts w:cs="Times New Roman" w:eastAsia="Times New Roman"/>
          <w:szCs w:val="20"/>
          <w:lang w:eastAsia="hr-HR"/>
        </w:rPr>
        <w:t xml:space="preserve">O brisanju dužnika iz sudskog registra odlučeno je sukladno čl.286. st.3. SZ-a.  </w:t>
      </w:r>
    </w:p>
    <w:p w:rsidRDefault="00756A2B" w:rsidP="00756A2B" w:rsidR="00756A2B" w:rsidRPr="00756A2B">
      <w:pPr>
        <w:overflowPunct w:val="false"/>
        <w:autoSpaceDE w:val="false"/>
        <w:autoSpaceDN w:val="false"/>
        <w:adjustRightInd w:val="false"/>
        <w:spacing w:after="0"/>
        <w:jc w:val="both"/>
        <w:rPr>
          <w:rFonts w:cs="Times New Roman" w:eastAsia="Times New Roman"/>
          <w:i/>
          <w:noProof/>
          <w:szCs w:val="20"/>
          <w:lang w:eastAsia="hr-HR"/>
        </w:rPr>
      </w:pPr>
    </w:p>
    <w:p w:rsidRDefault="00756A2B" w:rsidP="00756A2B" w:rsidR="00756A2B" w:rsidRPr="00756A2B">
      <w:pPr>
        <w:overflowPunct w:val="false"/>
        <w:autoSpaceDE w:val="false"/>
        <w:autoSpaceDN w:val="false"/>
        <w:adjustRightInd w:val="false"/>
        <w:spacing w:after="0"/>
        <w:jc w:val="center"/>
        <w:rPr>
          <w:rFonts w:cs="Times New Roman" w:eastAsia="Times New Roman"/>
          <w:szCs w:val="20"/>
          <w:lang w:eastAsia="hr-HR"/>
        </w:rPr>
      </w:pPr>
      <w:r w:rsidRPr="00756A2B">
        <w:rPr>
          <w:rFonts w:cs="Times New Roman" w:eastAsia="Times New Roman"/>
          <w:szCs w:val="20"/>
          <w:lang w:eastAsia="hr-HR"/>
        </w:rPr>
        <w:t>U Bjelovaru, 6. veljače 2017.</w:t>
      </w:r>
    </w:p>
    <w:p w:rsidRDefault="00756A2B" w:rsidP="00756A2B" w:rsidR="00756A2B" w:rsidRPr="00756A2B">
      <w:pPr>
        <w:overflowPunct w:val="false"/>
        <w:autoSpaceDE w:val="false"/>
        <w:autoSpaceDN w:val="false"/>
        <w:adjustRightInd w:val="false"/>
        <w:spacing w:after="0"/>
        <w:jc w:val="center"/>
        <w:rPr>
          <w:rFonts w:cs="Times New Roman" w:eastAsia="Times New Roman"/>
          <w:szCs w:val="20"/>
          <w:lang w:eastAsia="hr-HR"/>
        </w:rPr>
      </w:pPr>
    </w:p>
    <w:p w:rsidRDefault="00756A2B" w:rsidP="00756A2B" w:rsidR="00756A2B" w:rsidRPr="00756A2B">
      <w:pPr>
        <w:overflowPunct w:val="false"/>
        <w:autoSpaceDE w:val="false"/>
        <w:autoSpaceDN w:val="false"/>
        <w:adjustRightInd w:val="false"/>
        <w:spacing w:after="0"/>
        <w:jc w:val="center"/>
        <w:rPr>
          <w:rFonts w:cs="Times New Roman" w:eastAsia="Times New Roman"/>
          <w:szCs w:val="20"/>
          <w:lang w:eastAsia="hr-HR"/>
        </w:rPr>
      </w:pPr>
    </w:p>
    <w:p w:rsidRDefault="00756A2B" w:rsidP="00756A2B" w:rsidR="00756A2B" w:rsidRPr="00756A2B">
      <w:pPr>
        <w:overflowPunct w:val="false"/>
        <w:autoSpaceDE w:val="false"/>
        <w:autoSpaceDN w:val="false"/>
        <w:adjustRightInd w:val="false"/>
        <w:spacing w:after="0"/>
        <w:rPr>
          <w:rFonts w:cs="Times New Roman" w:eastAsia="Times New Roman"/>
          <w:szCs w:val="20"/>
          <w:lang w:eastAsia="hr-HR"/>
        </w:rPr>
      </w:pPr>
      <w:r w:rsidRPr="00756A2B">
        <w:rPr>
          <w:rFonts w:cs="Times New Roman" w:eastAsia="Times New Roman"/>
          <w:szCs w:val="20"/>
          <w:lang w:eastAsia="hr-HR"/>
        </w:rPr>
        <w:t xml:space="preserve">                                                                                        STEČAJNI SUDAC</w:t>
      </w:r>
    </w:p>
    <w:p w:rsidRDefault="00756A2B" w:rsidP="00756A2B" w:rsidR="00756A2B" w:rsidRPr="00756A2B">
      <w:pPr>
        <w:overflowPunct w:val="false"/>
        <w:autoSpaceDE w:val="false"/>
        <w:autoSpaceDN w:val="false"/>
        <w:adjustRightInd w:val="false"/>
        <w:spacing w:after="0"/>
        <w:rPr>
          <w:rFonts w:cs="Times New Roman" w:eastAsia="Times New Roman"/>
          <w:szCs w:val="20"/>
          <w:lang w:eastAsia="hr-HR"/>
        </w:rPr>
      </w:pPr>
      <w:r w:rsidRPr="00756A2B">
        <w:rPr>
          <w:rFonts w:cs="Times New Roman" w:eastAsia="Times New Roman"/>
          <w:szCs w:val="20"/>
          <w:lang w:eastAsia="hr-HR"/>
        </w:rPr>
        <w:t xml:space="preserve">                                                                                 MARIJA PETRINA KUBICA v.r.</w:t>
      </w:r>
    </w:p>
    <w:p w:rsidRDefault="00756A2B" w:rsidP="00756A2B" w:rsidR="00756A2B" w:rsidRPr="00756A2B">
      <w:pPr>
        <w:overflowPunct w:val="false"/>
        <w:autoSpaceDE w:val="false"/>
        <w:autoSpaceDN w:val="false"/>
        <w:adjustRightInd w:val="false"/>
        <w:spacing w:after="0"/>
        <w:rPr>
          <w:rFonts w:cs="Times New Roman" w:eastAsia="Times New Roman"/>
          <w:szCs w:val="20"/>
          <w:lang w:eastAsia="hr-HR"/>
        </w:rPr>
      </w:pPr>
    </w:p>
    <w:p w:rsidRDefault="00756A2B" w:rsidP="00756A2B" w:rsidR="00756A2B" w:rsidRPr="00756A2B">
      <w:pPr>
        <w:overflowPunct w:val="false"/>
        <w:autoSpaceDE w:val="false"/>
        <w:autoSpaceDN w:val="false"/>
        <w:adjustRightInd w:val="false"/>
        <w:spacing w:after="0"/>
        <w:ind w:left="5245"/>
        <w:rPr>
          <w:rFonts w:cs="Times New Roman" w:eastAsia="Times New Roman"/>
          <w:noProof/>
          <w:szCs w:val="20"/>
          <w:lang w:eastAsia="hr-HR"/>
        </w:rPr>
      </w:pPr>
      <w:r w:rsidRPr="00756A2B">
        <w:rPr>
          <w:rFonts w:cs="Times New Roman" w:eastAsia="Times New Roman"/>
          <w:noProof/>
          <w:szCs w:val="20"/>
          <w:lang w:eastAsia="hr-HR"/>
        </w:rPr>
        <w:t>Za točnost otpravka-</w:t>
      </w:r>
    </w:p>
    <w:p w:rsidRDefault="00756A2B" w:rsidP="00756A2B" w:rsidR="00756A2B" w:rsidRPr="00756A2B">
      <w:pPr>
        <w:overflowPunct w:val="false"/>
        <w:autoSpaceDE w:val="false"/>
        <w:autoSpaceDN w:val="false"/>
        <w:adjustRightInd w:val="false"/>
        <w:spacing w:after="0"/>
        <w:ind w:left="5245"/>
        <w:rPr>
          <w:rFonts w:cs="Times New Roman" w:eastAsia="Times New Roman"/>
          <w:noProof/>
          <w:szCs w:val="20"/>
          <w:lang w:eastAsia="hr-HR"/>
        </w:rPr>
      </w:pPr>
      <w:r w:rsidRPr="00756A2B">
        <w:rPr>
          <w:rFonts w:cs="Times New Roman" w:eastAsia="Times New Roman"/>
          <w:noProof/>
          <w:szCs w:val="20"/>
          <w:lang w:eastAsia="hr-HR"/>
        </w:rPr>
        <w:t>ovlašteni službenik</w:t>
      </w:r>
    </w:p>
    <w:p w:rsidRDefault="00756A2B" w:rsidP="00756A2B" w:rsidR="00756A2B" w:rsidRPr="00756A2B">
      <w:pPr>
        <w:overflowPunct w:val="false"/>
        <w:autoSpaceDE w:val="false"/>
        <w:autoSpaceDN w:val="false"/>
        <w:adjustRightInd w:val="false"/>
        <w:spacing w:after="0"/>
        <w:ind w:left="5245"/>
        <w:rPr>
          <w:rFonts w:cs="Times New Roman" w:eastAsia="Times New Roman"/>
          <w:noProof/>
          <w:szCs w:val="20"/>
          <w:lang w:eastAsia="hr-HR"/>
        </w:rPr>
      </w:pPr>
      <w:r w:rsidRPr="00756A2B">
        <w:rPr>
          <w:rFonts w:cs="Times New Roman" w:eastAsia="Times New Roman"/>
          <w:noProof/>
          <w:szCs w:val="20"/>
          <w:lang w:eastAsia="hr-HR"/>
        </w:rPr>
        <w:t xml:space="preserve">      Željka Vitez</w:t>
      </w:r>
    </w:p>
    <w:p w:rsidRDefault="00756A2B" w:rsidP="00756A2B" w:rsidR="00756A2B" w:rsidRPr="00756A2B">
      <w:pPr>
        <w:overflowPunct w:val="false"/>
        <w:autoSpaceDE w:val="false"/>
        <w:autoSpaceDN w:val="false"/>
        <w:adjustRightInd w:val="false"/>
        <w:spacing w:after="0"/>
        <w:rPr>
          <w:rFonts w:cs="Times New Roman" w:eastAsia="Times New Roman"/>
          <w:szCs w:val="20"/>
          <w:lang w:eastAsia="hr-HR"/>
        </w:rPr>
      </w:pPr>
    </w:p>
    <w:p w:rsidRDefault="00756A2B" w:rsidP="00756A2B" w:rsidR="00756A2B" w:rsidRPr="00756A2B">
      <w:pPr>
        <w:overflowPunct w:val="false"/>
        <w:autoSpaceDE w:val="false"/>
        <w:autoSpaceDN w:val="false"/>
        <w:adjustRightInd w:val="false"/>
        <w:spacing w:after="0"/>
        <w:rPr>
          <w:rFonts w:cs="Times New Roman" w:eastAsia="Times New Roman"/>
          <w:szCs w:val="20"/>
          <w:lang w:eastAsia="hr-HR"/>
        </w:rPr>
      </w:pPr>
    </w:p>
    <w:p w:rsidRDefault="00756A2B" w:rsidP="00756A2B" w:rsidR="00756A2B" w:rsidRPr="00756A2B">
      <w:pPr>
        <w:overflowPunct w:val="false"/>
        <w:autoSpaceDE w:val="false"/>
        <w:autoSpaceDN w:val="false"/>
        <w:adjustRightInd w:val="false"/>
        <w:spacing w:after="0"/>
        <w:jc w:val="both"/>
        <w:rPr>
          <w:rFonts w:cs="Times New Roman" w:eastAsia="Times New Roman"/>
          <w:noProof/>
          <w:szCs w:val="20"/>
          <w:lang w:eastAsia="hr-HR"/>
        </w:rPr>
      </w:pPr>
    </w:p>
    <w:p w:rsidRDefault="00756A2B" w:rsidP="00756A2B" w:rsidR="00756A2B" w:rsidRPr="00756A2B">
      <w:pPr>
        <w:overflowPunct w:val="false"/>
        <w:autoSpaceDE w:val="false"/>
        <w:autoSpaceDN w:val="false"/>
        <w:adjustRightInd w:val="false"/>
        <w:spacing w:after="0"/>
        <w:jc w:val="both"/>
        <w:rPr>
          <w:rFonts w:cs="Times New Roman" w:eastAsia="Times New Roman"/>
          <w:noProof/>
          <w:szCs w:val="20"/>
          <w:lang w:eastAsia="hr-HR"/>
        </w:rPr>
      </w:pPr>
    </w:p>
    <w:p w:rsidRDefault="00756A2B" w:rsidP="00756A2B" w:rsidR="00756A2B" w:rsidRPr="00756A2B">
      <w:pPr>
        <w:overflowPunct w:val="false"/>
        <w:autoSpaceDE w:val="false"/>
        <w:autoSpaceDN w:val="false"/>
        <w:adjustRightInd w:val="false"/>
        <w:spacing w:after="0"/>
        <w:jc w:val="both"/>
        <w:rPr>
          <w:rFonts w:cs="Times New Roman" w:eastAsia="Times New Roman"/>
          <w:szCs w:val="20"/>
          <w:lang w:eastAsia="hr-HR"/>
        </w:rPr>
      </w:pPr>
      <w:r w:rsidRPr="00756A2B">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756A2B" w:rsidP="00756A2B" w:rsidR="00756A2B" w:rsidRPr="00756A2B">
      <w:pPr>
        <w:overflowPunct w:val="false"/>
        <w:autoSpaceDE w:val="false"/>
        <w:autoSpaceDN w:val="false"/>
        <w:adjustRightInd w:val="false"/>
        <w:spacing w:after="0"/>
        <w:jc w:val="both"/>
        <w:rPr>
          <w:rFonts w:cs="Times New Roman" w:eastAsia="Times New Roman"/>
          <w:noProof/>
          <w:szCs w:val="20"/>
          <w:lang w:eastAsia="hr-HR"/>
        </w:rPr>
      </w:pPr>
      <w:r w:rsidRPr="00756A2B">
        <w:rPr>
          <w:rFonts w:cs="Times New Roman" w:eastAsia="Times New Roman"/>
          <w:noProof/>
          <w:szCs w:val="20"/>
          <w:lang w:eastAsia="hr-HR"/>
        </w:rPr>
        <w:t xml:space="preserve"> </w:t>
      </w:r>
    </w:p>
    <w:p w:rsidRDefault="00756A2B" w:rsidP="00756A2B" w:rsidR="00756A2B" w:rsidRPr="00756A2B">
      <w:pPr>
        <w:overflowPunct w:val="false"/>
        <w:autoSpaceDE w:val="false"/>
        <w:autoSpaceDN w:val="false"/>
        <w:adjustRightInd w:val="false"/>
        <w:spacing w:after="0"/>
        <w:jc w:val="both"/>
        <w:rPr>
          <w:rFonts w:cs="Times New Roman" w:eastAsia="Times New Roman"/>
          <w:noProof/>
          <w:szCs w:val="20"/>
          <w:lang w:eastAsia="hr-HR"/>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56A2B"/>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229180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St-315/2016-7</izvorni_sadrzaj>
    <derivirana_varijabla naziv="DomainObject.Oznaka_1">St-315/2016-7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315</izvorni_sadrzaj>
    <derivirana_varijabla naziv="DomainObject.Predmet.Broj_1">315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St-315/2016</izvorni_sadrzaj>
    <derivirana_varijabla naziv="DomainObject.Predmet.OznakaBroj_1">St-315/2016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ID GRADNJA jednostavno društvo s ograničenom odgovornošću za proizvodnju, trgovinu i usluge, Garešnica zastupanog po punomoćniku Igor Pizent</izvorni_sadrzaj>
    <derivirana_varijabla naziv="DomainObject.Predmet.ProtustrankaFormated_1">  ID GRADNJA jednostavno društvo s ograničenom odgovornošću za proizvodnju, trgovinu i usluge, Garešnica zastupanog po punomoćniku Igor Pizent</derivirana_varijabla>
  </DomainObject.Predmet.ProtustrankaFormated>
  <DomainObject.Predmet.ProtustrankaFormatedOIB>
    <izvorni_sadrzaj>  ID GRADNJA jednostavno društvo s ograničenom odgovornošću za proizvodnju, trgovinu i usluge, Garešnica, OIB 78937734529 zastupanog po punomoćniku Igor Pizent</izvorni_sadrzaj>
    <derivirana_varijabla naziv="DomainObject.Predmet.ProtustrankaFormatedOIB_1">  ID GRADNJA jednostavno društvo s ograničenom odgovornošću za proizvodnju, trgovinu i usluge, Garešnica, OIB 78937734529 zastupanog po punomoćniku Igor Pizent</derivirana_varijabla>
  </DomainObject.Predmet.ProtustrankaFormatedOIB>
  <DomainObject.Predmet.ProtustrankaFormatedWithAdress>
    <izvorni_sadrzaj> ID GRADNJA jednostavno društvo s ograničenom odgovornošću za proizvodnju, trgovinu i usluge, Garešnica, Matije Gupca 222/A, 43280 Garešnica zastupanog po punomoćniku Igor Pizent</izvorni_sadrzaj>
    <derivirana_varijabla naziv="DomainObject.Predmet.ProtustrankaFormatedWithAdress_1"> ID GRADNJA jednostavno društvo s ograničenom odgovornošću za proizvodnju, trgovinu i usluge, Garešnica, Matije Gupca 222/A, 43280 Garešnica zastupanog po punomoćniku Igor Pizent</derivirana_varijabla>
  </DomainObject.Predmet.ProtustrankaFormatedWithAdress>
  <DomainObject.Predmet.ProtustrankaFormatedWithAdressOIB>
    <izvorni_sadrzaj> ID GRADNJA jednostavno društvo s ograničenom odgovornošću za proizvodnju, trgovinu i usluge, Garešnica, OIB 78937734529, Matije Gupca 222/A, 43280 Garešnica zastupanog po punomoćniku Igor Pizent</izvorni_sadrzaj>
    <derivirana_varijabla naziv="DomainObject.Predmet.ProtustrankaFormatedWithAdressOIB_1"> ID GRADNJA jednostavno društvo s ograničenom odgovornošću za proizvodnju, trgovinu i usluge, Garešnica, OIB 78937734529, Matije Gupca 222/A, 43280 Garešnica zastupanog po punomoćniku Igor Pizent</derivirana_varijabla>
  </DomainObject.Predmet.ProtustrankaFormatedWithAdressOIB>
  <DomainObject.Predmet.ProtustrankaWithAdress>
    <izvorni_sadrzaj>ID GRADNJA jednostavno društvo s ograničenom odgovornošću za proizvodnju, trgovinu i usluge, Garešnica Matije Gupca 222/A, 43280 Garešnica</izvorni_sadrzaj>
    <derivirana_varijabla naziv="DomainObject.Predmet.ProtustrankaWithAdress_1">ID GRADNJA jednostavno društvo s ograničenom odgovornošću za proizvodnju, trgovinu i usluge, Garešnica Matije Gupca 222/A, 43280 Garešnica</derivirana_varijabla>
  </DomainObject.Predmet.ProtustrankaWithAdress>
  <DomainObject.Predmet.ProtustrankaWithAdressOIB>
    <izvorni_sadrzaj>ID GRADNJA jednostavno društvo s ograničenom odgovornošću za proizvodnju, trgovinu i usluge, Garešnica, OIB 78937734529, Matije Gupca 222/A, 43280 Garešnica</izvorni_sadrzaj>
    <derivirana_varijabla naziv="DomainObject.Predmet.ProtustrankaWithAdressOIB_1">ID GRADNJA jednostavno društvo s ograničenom odgovornošću za proizvodnju, trgovinu i usluge, Garešnica, OIB 78937734529, Matije Gupca 222/A, 43280 Garešnica</derivirana_varijabla>
  </DomainObject.Predmet.ProtustrankaWithAdressOIB>
  <DomainObject.Predmet.ProtustrankaNazivFormated>
    <izvorni_sadrzaj>ID GRADNJA jednostavno društvo s ograničenom odgovornošću za proizvodnju, trgovinu i usluge, Garešnica</izvorni_sadrzaj>
    <derivirana_varijabla naziv="DomainObject.Predmet.ProtustrankaNazivFormated_1">ID GRADNJA jednostavno društvo s ograničenom odgovornošću za proizvodnju, trgovinu i usluge, Garešnica</derivirana_varijabla>
  </DomainObject.Predmet.ProtustrankaNazivFormated>
  <DomainObject.Predmet.ProtustrankaNazivFormatedOIB>
    <izvorni_sadrzaj>ID GRADNJA jednostavno društvo s ograničenom odgovornošću za proizvodnju, trgovinu i usluge, Garešnica, OIB 78937734529</izvorni_sadrzaj>
    <derivirana_varijabla naziv="DomainObject.Predmet.ProtustrankaNazivFormatedOIB_1">ID GRADNJA jednostavno društvo s ograničenom odgovornošću za proizvodnju, trgovinu i usluge, Garešnica, OIB 78937734529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ID GRADNJA jednostavno društvo s ograničenom odgovornošću za proizvodnju, trgovinu i usluge, Garešnica zastupanog po punomoćniku Igor Pizent</item>
    </izvorni_sadrzaj>
    <derivirana_varijabla naziv="DomainObject.Predmet.ProtuStrankaListFormated_1">
      <item>ID GRADNJA jednostavno društvo s ograničenom odgovornošću za proizvodnju, trgovinu i usluge, Garešnica zastupanog po punomoćniku Igor Pizent</item>
    </derivirana_varijabla>
  </DomainObject.Predmet.ProtuStrankaListFormated>
  <DomainObject.Predmet.ProtuStrankaListFormatedOIB>
    <izvorni_sadrzaj>
      <item>ID GRADNJA jednostavno društvo s ograničenom odgovornošću za proizvodnju, trgovinu i usluge, Garešnica, OIB 78937734529 zastupanog po punomoćniku Igor Pizent</item>
    </izvorni_sadrzaj>
    <derivirana_varijabla naziv="DomainObject.Predmet.ProtuStrankaListFormatedOIB_1">
      <item>ID GRADNJA jednostavno društvo s ograničenom odgovornošću za proizvodnju, trgovinu i usluge, Garešnica, OIB 78937734529 zastupanog po punomoćniku Igor Pizent</item>
    </derivirana_varijabla>
  </DomainObject.Predmet.ProtuStrankaListFormatedOIB>
  <DomainObject.Predmet.ProtuStrankaListFormatedWithAdress>
    <izvorni_sadrzaj>
      <item>ID GRADNJA jednostavno društvo s ograničenom odgovornošću za proizvodnju, trgovinu i usluge, Garešnica, Matije Gupca 222/A, 43280 Garešnica zastupanog po punomoćniku Igor Pizent</item>
    </izvorni_sadrzaj>
    <derivirana_varijabla naziv="DomainObject.Predmet.ProtuStrankaListFormatedWithAdress_1">
      <item>ID GRADNJA jednostavno društvo s ograničenom odgovornošću za proizvodnju, trgovinu i usluge, Garešnica, Matije Gupca 222/A, 43280 Garešnica zastupanog po punomoćniku Igor Pizent</item>
    </derivirana_varijabla>
  </DomainObject.Predmet.ProtuStrankaListFormatedWithAdress>
  <DomainObject.Predmet.ProtuStrankaListFormatedWithAdressOIB>
    <izvorni_sadrzaj>
      <item>ID GRADNJA jednostavno društvo s ograničenom odgovornošću za proizvodnju, trgovinu i usluge, Garešnica, OIB 78937734529, Matije Gupca 222/A, 43280 Garešnica zastupanog po punomoćniku Igor Pizent</item>
    </izvorni_sadrzaj>
    <derivirana_varijabla naziv="DomainObject.Predmet.ProtuStrankaListFormatedWithAdressOIB_1">
      <item>ID GRADNJA jednostavno društvo s ograničenom odgovornošću za proizvodnju, trgovinu i usluge, Garešnica, OIB 78937734529, Matije Gupca 222/A, 43280 Garešnica zastupanog po punomoćniku Igor Pizent</item>
    </derivirana_varijabla>
  </DomainObject.Predmet.ProtuStrankaListFormatedWithAdressOIB>
  <DomainObject.Predmet.ProtuStrankaListNazivFormated>
    <izvorni_sadrzaj>
      <item>ID GRADNJA jednostavno društvo s ograničenom odgovornošću za proizvodnju, trgovinu i usluge, Garešnica</item>
    </izvorni_sadrzaj>
    <derivirana_varijabla naziv="DomainObject.Predmet.ProtuStrankaListNazivFormated_1">
      <item>ID GRADNJA jednostavno društvo s ograničenom odgovornošću za proizvodnju, trgovinu i usluge, Garešnica</item>
    </derivirana_varijabla>
  </DomainObject.Predmet.ProtuStrankaListNazivFormated>
  <DomainObject.Predmet.ProtuStrankaListNazivFormatedOIB>
    <izvorni_sadrzaj>
      <item>ID GRADNJA jednostavno društvo s ograničenom odgovornošću za proizvodnju, trgovinu i usluge, Garešnica, OIB 78937734529</item>
    </izvorni_sadrzaj>
    <derivirana_varijabla naziv="DomainObject.Predmet.ProtuStrankaListNazivFormatedOIB_1">
      <item>ID GRADNJA jednostavno društvo s ograničenom odgovornošću za proizvodnju, trgovinu i usluge, Garešnica, OIB 78937734529</item>
    </derivirana_varijabla>
  </DomainObject.Predmet.ProtuStrankaListNazivFormatedOIB>
  <DomainObject.Predmet.OstaliListFormated>
    <izvorni_sadrzaj>
      <item>Igor Pizent punomoćnik sudionika u postupku ID GRADNJA jednostavno društvo s ograničenom odgovornošću za proizvodnju, trgovinu i usluge, Garešnica</item>
    </izvorni_sadrzaj>
    <derivirana_varijabla naziv="DomainObject.Predmet.OstaliListFormated_1">
      <item>Igor Pizent punomoćnik sudionika u postupku ID GRADNJA jednostavno društvo s ograničenom odgovornošću za proizvodnju, trgovinu i usluge, Garešnica</item>
    </derivirana_varijabla>
  </DomainObject.Predmet.OstaliListFormated>
  <DomainObject.Predmet.OstaliListFormatedOIB>
    <izvorni_sadrzaj>
      <item>Igor Pizent, OIB 85767482274 punomoćnik sudionika u postupku ID GRADNJA jednostavno društvo s ograničenom odgovornošću za proizvodnju, trgovinu i usluge, Garešnica</item>
    </izvorni_sadrzaj>
    <derivirana_varijabla naziv="DomainObject.Predmet.OstaliListFormatedOIB_1">
      <item>Igor Pizent, OIB 85767482274 punomoćnik sudionika u postupku ID GRADNJA jednostavno društvo s ograničenom odgovornošću za proizvodnju, trgovinu i usluge, Garešnica</item>
    </derivirana_varijabla>
  </DomainObject.Predmet.OstaliListFormatedOIB>
  <DomainObject.Predmet.OstaliListFormatedWithAdress>
    <izvorni_sadrzaj>
      <item>Igor Pizent, Matije Gupca 222/A, 43280 Garešnica punomoćnik sudionika u postupku ID GRADNJA jednostavno društvo s ograničenom odgovornošću za proizvodnju, trgovinu i usluge, Garešnica</item>
    </izvorni_sadrzaj>
    <derivirana_varijabla naziv="DomainObject.Predmet.OstaliListFormatedWithAdress_1">
      <item>Igor Pizent, Matije Gupca 222/A, 43280 Garešnica punomoćnik sudionika u postupku ID GRADNJA jednostavno društvo s ograničenom odgovornošću za proizvodnju, trgovinu i usluge, Garešnica</item>
    </derivirana_varijabla>
  </DomainObject.Predmet.OstaliListFormatedWithAdress>
  <DomainObject.Predmet.OstaliListFormatedWithAdressOIB>
    <izvorni_sadrzaj>
      <item>Igor Pizent, OIB 85767482274, Matije Gupca 222/A, 43280 Garešnica punomoćnik sudionika u postupku ID GRADNJA jednostavno društvo s ograničenom odgovornošću za proizvodnju, trgovinu i usluge, Garešnica</item>
    </izvorni_sadrzaj>
    <derivirana_varijabla naziv="DomainObject.Predmet.OstaliListFormatedWithAdressOIB_1">
      <item>Igor Pizent, OIB 85767482274, Matije Gupca 222/A, 43280 Garešnica punomoćnik sudionika u postupku ID GRADNJA jednostavno društvo s ograničenom odgovornošću za proizvodnju, trgovinu i usluge, Garešnica</item>
    </derivirana_varijabla>
  </DomainObject.Predmet.OstaliListFormatedWithAdressOIB>
  <DomainObject.Predmet.OstaliListNazivFormated>
    <izvorni_sadrzaj>
      <item>Igor Pizent</item>
    </izvorni_sadrzaj>
    <derivirana_varijabla naziv="DomainObject.Predmet.OstaliListNazivFormated_1">
      <item>Igor Pizent</item>
    </derivirana_varijabla>
  </DomainObject.Predmet.OstaliListNazivFormated>
  <DomainObject.Predmet.OstaliListNazivFormatedOIB>
    <izvorni_sadrzaj>
      <item>Igor Pizent, OIB 85767482274</item>
    </izvorni_sadrzaj>
    <derivirana_varijabla naziv="DomainObject.Predmet.OstaliListNazivFormatedOIB_1">
      <item>Igor Pizent, OIB 85767482274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St-315/2016-7</izvorni_sadrzaj>
    <derivirana_varijabla naziv="DomainObject.PoslovniBrojDokumenta_1">St-315/2016-7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ID GRADNJA jednostavno društvo s ograničenom odgovornošću za proizvodnju, trgovinu i usluge, Garešnica</izvorni_sadrzaj>
    <derivirana_varijabla naziv="DomainObject.Predmet.ProtustrankaIDrugi_1">ID GRADNJA jednostavno društvo s ograničenom odgovornošću za proizvodnju, trgovinu i usluge, Garešnica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ID GRADNJA jednostavno društvo s ograničenom odgovornošću za proizvodnju, trgovinu i usluge, Garešnica, OIB 78937734529, Matije Gupca 222/A, 43280 Garešnica</izvorni_sadrzaj>
    <derivirana_varijabla naziv="DomainObject.Predmet.ProtustrankaIDrugiAdressOIB_1">ID GRADNJA jednostavno društvo s ograničenom odgovornošću za proizvodnju, trgovinu i usluge, Garešnica, OIB 78937734529, Matije Gupca 222/A,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ID GRADNJA jednostavno društvo s ograničenom odgovornošću za proizvodnju, trgovinu i usluge, Garešnica</item>
      <item>Igor Pizent</item>
    </izvorni_sadrzaj>
    <derivirana_varijabla naziv="DomainObject.Predmet.SudioniciListNaziv_1">
      <item>FINA, RC ZAGREB, Podružnica Bjelovar</item>
      <item>ID GRADNJA jednostavno društvo s ograničenom odgovornošću za proizvodnju, trgovinu i usluge, Garešnica</item>
      <item>Igor Pizent</item>
    </derivirana_varijabla>
  </DomainObject.Predmet.SudioniciListNaziv>
  <DomainObject.Predmet.SudioniciListAdressOIB>
    <izvorni_sadrzaj>
      <item>FINA, RC ZAGREB, Podružnica Bjelovar, OIB 85821130368, F. Supila 4,43000 Bjelovar</item>
      <item>ID GRADNJA jednostavno društvo s ograničenom odgovornošću za proizvodnju, trgovinu i usluge, Garešnica, OIB 78937734529, Matije Gupca 222/A,43280 Garešnica</item>
      <item>Igor Pizent, OIB 85767482274, Matije Gupca 222/A,43280 Garešnica</item>
    </izvorni_sadrzaj>
    <derivirana_varijabla naziv="DomainObject.Predmet.SudioniciListAdressOIB_1">
      <item>FINA, RC ZAGREB, Podružnica Bjelovar, OIB 85821130368, F. Supila 4,43000 Bjelovar</item>
      <item>ID GRADNJA jednostavno društvo s ograničenom odgovornošću za proizvodnju, trgovinu i usluge, Garešnica, OIB 78937734529, Matije Gupca 222/A,43280 Garešnica</item>
      <item>Igor Pizent, OIB 85767482274, Matije Gupca 222/A,43280 Garešnica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91AF1C-9BCA-44B1-A570-D443E73048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5451</properties:Characters>
  <properties:Lines>126</properties:Lines>
  <properties:Paragraphs>29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2017-02-06T13:26:00Z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St-315/2016-7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