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883c" w14:paraId="128883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66DA9" w:rsidP="00B66DA9" w:rsidR="00B66DA9" w:rsidRPr="00B66DA9">
      <w:pPr>
        <w:keepNext/>
        <w:spacing w:after="0"/>
        <w:jc w:val="both"/>
        <w:outlineLvl w:val="0"/>
        <w:rPr>
          <w:rFonts w:cs="Times New Roman" w:eastAsia="Arial Unicode MS"/>
          <w:b/>
          <w:bCs/>
          <w:lang w:eastAsia="hr-HR"/>
        </w:rPr>
      </w:pPr>
      <w:r w:rsidRPr="00B66DA9">
        <w:rPr>
          <w:rFonts w:cs="Times New Roman" w:eastAsia="Arial Unicode MS"/>
          <w:b/>
          <w:bCs/>
          <w:lang w:eastAsia="hr-HR"/>
        </w:rPr>
        <w:t xml:space="preserve">    REPUBLIKA HRVATSKA</w:t>
      </w:r>
    </w:p>
    <w:p w:rsidRDefault="00B66DA9" w:rsidP="00B66DA9" w:rsidR="00B66DA9" w:rsidRPr="00B66DA9">
      <w:pPr>
        <w:spacing w:after="0"/>
        <w:jc w:val="both"/>
        <w:rPr>
          <w:rFonts w:cs="Times New Roman" w:eastAsia="Times New Roman"/>
          <w:b/>
          <w:szCs w:val="20"/>
          <w:lang w:eastAsia="hr-HR"/>
        </w:rPr>
      </w:pPr>
      <w:r w:rsidRPr="00B66DA9">
        <w:rPr>
          <w:rFonts w:cs="Times New Roman" w:eastAsia="Times New Roman"/>
          <w:b/>
          <w:lang w:eastAsia="hr-HR" w:val="en-AU"/>
        </w:rPr>
        <w:t xml:space="preserve"> TRGOVA</w:t>
      </w:r>
      <w:r w:rsidRPr="00B66DA9">
        <w:rPr>
          <w:rFonts w:cs="Times New Roman" w:eastAsia="Times New Roman"/>
          <w:b/>
          <w:lang w:eastAsia="hr-HR"/>
        </w:rPr>
        <w:t>Č</w:t>
      </w:r>
      <w:r w:rsidRPr="00B66DA9">
        <w:rPr>
          <w:rFonts w:cs="Times New Roman" w:eastAsia="Times New Roman"/>
          <w:b/>
          <w:lang w:eastAsia="hr-HR" w:val="en-AU"/>
        </w:rPr>
        <w:t xml:space="preserve">KI SUD U SPLITU </w:t>
      </w:r>
      <w:r w:rsidRPr="00B66DA9">
        <w:rPr>
          <w:rFonts w:cs="Times New Roman" w:eastAsia="Times New Roman"/>
          <w:lang w:eastAsia="hr-HR"/>
        </w:rPr>
        <w:t xml:space="preserve">            </w:t>
      </w:r>
      <w:r w:rsidRPr="00B66DA9">
        <w:rPr>
          <w:rFonts w:cs="Times New Roman" w:eastAsia="Times New Roman"/>
          <w:lang w:eastAsia="hr-HR"/>
        </w:rPr>
        <w:tab/>
      </w:r>
      <w:r w:rsidRPr="00B66DA9">
        <w:rPr>
          <w:rFonts w:cs="Times New Roman" w:eastAsia="Times New Roman"/>
          <w:lang w:eastAsia="hr-HR"/>
        </w:rPr>
        <w:tab/>
      </w:r>
      <w:r w:rsidRPr="00B66DA9">
        <w:rPr>
          <w:rFonts w:cs="Times New Roman" w:eastAsia="Times New Roman"/>
          <w:lang w:eastAsia="hr-HR"/>
        </w:rPr>
        <w:tab/>
        <w:t xml:space="preserve">      </w:t>
      </w:r>
      <w:r w:rsidRPr="00B66DA9">
        <w:rPr>
          <w:rFonts w:cs="Times New Roman" w:eastAsia="Times New Roman"/>
          <w:b/>
          <w:lang w:eastAsia="hr-HR" w:val="en-AU"/>
        </w:rPr>
        <w:t>Broj</w:t>
      </w:r>
      <w:r w:rsidRPr="00B66DA9">
        <w:rPr>
          <w:rFonts w:cs="Times New Roman" w:eastAsia="Times New Roman"/>
          <w:b/>
          <w:lang w:eastAsia="hr-HR"/>
        </w:rPr>
        <w:t>: 14. St-337/2011.</w:t>
      </w:r>
    </w:p>
    <w:p w:rsidRDefault="00B66DA9" w:rsidP="00B66DA9" w:rsidR="00B66DA9" w:rsidRPr="00B66DA9">
      <w:pPr>
        <w:spacing w:after="0"/>
        <w:rPr>
          <w:rFonts w:cs="Times New Roman" w:eastAsia="Times New Roman"/>
          <w:b/>
          <w:szCs w:val="20"/>
          <w:lang w:eastAsia="hr-HR"/>
        </w:rPr>
      </w:pPr>
      <w:r w:rsidRPr="00B66DA9">
        <w:rPr>
          <w:rFonts w:cs="Times New Roman" w:eastAsia="Times New Roman"/>
          <w:b/>
          <w:szCs w:val="20"/>
          <w:lang w:eastAsia="hr-HR"/>
        </w:rPr>
        <w:t>Sukoišanska 6. – 21000  S P L I T</w:t>
      </w:r>
    </w:p>
    <w:p w:rsidRDefault="00B66DA9" w:rsidP="00B66DA9" w:rsidR="00B66DA9" w:rsidRPr="00B66DA9">
      <w:pPr>
        <w:spacing w:after="0"/>
        <w:rPr>
          <w:rFonts w:cs="Times New Roman" w:eastAsia="Times New Roman"/>
          <w:lang w:eastAsia="hr-HR"/>
        </w:rPr>
      </w:pPr>
    </w:p>
    <w:p w:rsidRDefault="00B66DA9" w:rsidP="00B66DA9" w:rsidR="00B66DA9" w:rsidRPr="00B66DA9">
      <w:pPr>
        <w:spacing w:after="0"/>
        <w:rPr>
          <w:rFonts w:cs="Times New Roman" w:eastAsia="Times New Roman"/>
          <w:lang w:eastAsia="hr-HR"/>
        </w:rPr>
      </w:pPr>
    </w:p>
    <w:p w:rsidRDefault="00B66DA9" w:rsidP="00B66DA9" w:rsidR="00B66DA9" w:rsidRPr="00B66DA9">
      <w:pPr>
        <w:spacing w:after="0"/>
        <w:rPr>
          <w:rFonts w:cs="Times New Roman" w:eastAsia="Times New Roman"/>
          <w:lang w:eastAsia="hr-HR"/>
        </w:rPr>
      </w:pPr>
    </w:p>
    <w:p w:rsidRDefault="00B66DA9" w:rsidP="00B66DA9" w:rsidR="00B66DA9" w:rsidRPr="00B66DA9">
      <w:pPr>
        <w:spacing w:after="0"/>
        <w:jc w:val="center"/>
        <w:rPr>
          <w:rFonts w:cs="Times New Roman" w:eastAsia="Times New Roman"/>
          <w:b/>
          <w:lang w:eastAsia="hr-HR"/>
        </w:rPr>
      </w:pPr>
      <w:r w:rsidRPr="00B66DA9">
        <w:rPr>
          <w:rFonts w:cs="Times New Roman" w:eastAsia="Times New Roman"/>
          <w:b/>
          <w:lang w:eastAsia="hr-HR"/>
        </w:rPr>
        <w:t>R E P U B L I K A    H R V A T S K A</w:t>
      </w:r>
    </w:p>
    <w:p w:rsidRDefault="00B66DA9" w:rsidP="00B66DA9" w:rsidR="00B66DA9" w:rsidRPr="00B66DA9">
      <w:pPr>
        <w:spacing w:after="0"/>
        <w:jc w:val="center"/>
        <w:rPr>
          <w:rFonts w:cs="Times New Roman" w:eastAsia="Times New Roman"/>
          <w:b/>
          <w:lang w:eastAsia="hr-HR"/>
        </w:rPr>
      </w:pPr>
    </w:p>
    <w:p w:rsidRDefault="00B66DA9" w:rsidP="00B66DA9" w:rsidR="00B66DA9" w:rsidRPr="00B66DA9">
      <w:pPr>
        <w:spacing w:after="0"/>
        <w:jc w:val="center"/>
        <w:rPr>
          <w:rFonts w:cs="Times New Roman" w:eastAsia="Times New Roman"/>
          <w:b/>
          <w:lang w:eastAsia="hr-HR"/>
        </w:rPr>
      </w:pPr>
      <w:r w:rsidRPr="00B66DA9">
        <w:rPr>
          <w:rFonts w:cs="Times New Roman" w:eastAsia="Times New Roman"/>
          <w:b/>
          <w:lang w:eastAsia="hr-HR"/>
        </w:rPr>
        <w:t>R J E Š E N J E</w:t>
      </w:r>
    </w:p>
    <w:p w:rsidRDefault="00B66DA9" w:rsidP="00B66DA9" w:rsidR="00B66DA9" w:rsidRPr="00B66DA9">
      <w:pPr>
        <w:spacing w:after="0"/>
        <w:jc w:val="center"/>
        <w:rPr>
          <w:rFonts w:cs="Times New Roman" w:eastAsia="Times New Roman"/>
          <w:lang w:eastAsia="hr-HR"/>
        </w:rPr>
      </w:pPr>
      <w:r w:rsidRPr="00B66DA9">
        <w:rPr>
          <w:rFonts w:cs="Times New Roman" w:eastAsia="Times New Roman"/>
          <w:lang w:eastAsia="hr-HR"/>
        </w:rPr>
        <w:t xml:space="preserve">i </w:t>
      </w:r>
    </w:p>
    <w:p w:rsidRDefault="00B66DA9" w:rsidP="00B66DA9" w:rsidR="00B66DA9" w:rsidRPr="00B66DA9">
      <w:pPr>
        <w:keepNext/>
        <w:spacing w:after="0"/>
        <w:jc w:val="center"/>
        <w:outlineLvl w:val="0"/>
        <w:rPr>
          <w:rFonts w:cs="Times New Roman" w:eastAsia="Arial Unicode MS"/>
          <w:b/>
          <w:lang w:eastAsia="hr-HR"/>
        </w:rPr>
      </w:pPr>
      <w:r w:rsidRPr="00B66DA9">
        <w:rPr>
          <w:rFonts w:cs="Times New Roman" w:eastAsia="Arial Unicode MS"/>
          <w:b/>
          <w:lang w:eastAsia="hr-HR"/>
        </w:rPr>
        <w:t>Z A K LJ U Č A K</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Calibri"/>
          <w:lang w:val="en-US"/>
        </w:rPr>
      </w:pPr>
      <w:r w:rsidRPr="00B66DA9">
        <w:rPr>
          <w:rFonts w:cs="Times New Roman" w:eastAsia="Calibri"/>
          <w:lang w:val="en-US"/>
        </w:rPr>
        <w:t xml:space="preserve">          Trgovački sud u Splitu, po stečajnom sudcu Jozi Ćaleti, u stečajnom postupku nad stečajnim dužnikom:</w:t>
      </w:r>
      <w:r w:rsidRPr="00B66DA9">
        <w:rPr>
          <w:rFonts w:cs="Times New Roman" w:eastAsia="Calibri"/>
          <w:lang w:val="fr-FR"/>
        </w:rPr>
        <w:t xml:space="preserve"> </w:t>
      </w:r>
      <w:r w:rsidRPr="00B66DA9">
        <w:rPr>
          <w:rFonts w:cs="Times New Roman" w:eastAsia="Calibri"/>
          <w:lang w:val="en-US"/>
        </w:rPr>
        <w:t xml:space="preserve">EURO PROPERTY PROSPECTS – NEKRETNINE, d.o.o., u stečaju, Split (Grad Split), Hrvatske mornarice 1/H, OIB: 45095319801. (Dužnik, stečajni Dužnik), kojeg zastupa stečajni upravitelj Dean Prelević, iz Splita, Požeška 8, odlučujući o odobrenju Završne diobe itd., 06. studenog 2017, </w:t>
      </w:r>
    </w:p>
    <w:p w:rsidRDefault="00B66DA9" w:rsidP="00B66DA9" w:rsidR="00B66DA9" w:rsidRPr="00B66DA9">
      <w:pPr>
        <w:spacing w:after="0"/>
        <w:rPr>
          <w:rFonts w:cs="Times New Roman" w:eastAsia="Times New Roman"/>
          <w:szCs w:val="20"/>
          <w:lang w:eastAsia="hr-HR"/>
        </w:rPr>
      </w:pPr>
    </w:p>
    <w:p w:rsidRDefault="00B66DA9" w:rsidP="00B66DA9" w:rsidR="00B66DA9" w:rsidRPr="00B66DA9">
      <w:pPr>
        <w:spacing w:after="0"/>
        <w:rPr>
          <w:rFonts w:cs="Times New Roman" w:eastAsia="Times New Roman"/>
          <w:szCs w:val="20"/>
          <w:lang w:eastAsia="hr-HR"/>
        </w:rPr>
      </w:pPr>
    </w:p>
    <w:p w:rsidRDefault="00B66DA9" w:rsidP="00B66DA9" w:rsidR="00B66DA9" w:rsidRPr="00B66DA9">
      <w:pPr>
        <w:spacing w:after="0"/>
        <w:jc w:val="center"/>
        <w:rPr>
          <w:rFonts w:cs="Times New Roman" w:eastAsia="Times New Roman"/>
          <w:lang w:eastAsia="hr-HR"/>
        </w:rPr>
      </w:pPr>
      <w:r w:rsidRPr="00B66DA9">
        <w:rPr>
          <w:rFonts w:cs="Times New Roman" w:eastAsia="Times New Roman"/>
          <w:lang w:eastAsia="hr-HR"/>
        </w:rPr>
        <w:t>A/</w:t>
      </w:r>
    </w:p>
    <w:p w:rsidRDefault="00B66DA9" w:rsidP="00B66DA9" w:rsidR="00B66DA9" w:rsidRPr="00B66DA9">
      <w:pPr>
        <w:spacing w:after="0"/>
        <w:jc w:val="center"/>
        <w:rPr>
          <w:rFonts w:cs="Times New Roman" w:eastAsia="Times New Roman"/>
          <w:lang w:eastAsia="hr-HR"/>
        </w:rPr>
      </w:pPr>
    </w:p>
    <w:p w:rsidRDefault="00B66DA9" w:rsidP="00B66DA9" w:rsidR="00B66DA9" w:rsidRPr="00B66DA9">
      <w:pPr>
        <w:spacing w:after="0"/>
        <w:jc w:val="center"/>
        <w:rPr>
          <w:rFonts w:cs="Times New Roman" w:eastAsia="Times New Roman"/>
          <w:lang w:eastAsia="hr-HR"/>
        </w:rPr>
      </w:pPr>
      <w:r w:rsidRPr="00B66DA9">
        <w:rPr>
          <w:rFonts w:cs="Times New Roman" w:eastAsia="Times New Roman"/>
          <w:lang w:eastAsia="hr-HR"/>
        </w:rPr>
        <w:t xml:space="preserve">r i j e š i o    j e                   </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r w:rsidRPr="00B66DA9">
        <w:rPr>
          <w:rFonts w:cs="Times New Roman" w:eastAsia="Times New Roman"/>
          <w:b/>
          <w:bCs/>
          <w:lang w:eastAsia="hr-HR"/>
        </w:rPr>
        <w:t xml:space="preserve">          1.</w:t>
      </w:r>
      <w:r w:rsidRPr="00B66DA9">
        <w:rPr>
          <w:rFonts w:cs="Times New Roman" w:eastAsia="Times New Roman"/>
          <w:lang w:eastAsia="hr-HR"/>
        </w:rPr>
        <w:t xml:space="preserve"> Deanu Preleviću, iz Splita, Požeška 8, OIB: 10098946497, stečajnom upravitelju stečajnog Dužnika: EURO PROPERTY PROSPECTS – NEKRETNINE, d.o.o., u stečaju, Split (Grad Split), Hrvatske mornarice 1/H, OIB: 45095319801, daje se suglasnost za obavljanje </w:t>
      </w:r>
      <w:r w:rsidRPr="00B66DA9">
        <w:rPr>
          <w:rFonts w:cs="Times New Roman" w:eastAsia="Times New Roman"/>
          <w:b/>
          <w:lang w:eastAsia="hr-HR"/>
        </w:rPr>
        <w:t>prve i ujedno Završne diobe</w:t>
      </w:r>
      <w:r w:rsidRPr="00B66DA9">
        <w:rPr>
          <w:rFonts w:cs="Times New Roman" w:eastAsia="Times New Roman"/>
          <w:lang w:eastAsia="hr-HR"/>
        </w:rPr>
        <w:t xml:space="preserve"> unovčene stečajne mase vjerovnicima, kojom će se diobom namiriti utvrđene tražbine stečajnih vjerovnika </w:t>
      </w:r>
      <w:r w:rsidRPr="00B66DA9">
        <w:rPr>
          <w:rFonts w:cs="Times New Roman" w:eastAsia="Times New Roman"/>
          <w:b/>
          <w:lang w:eastAsia="hr-HR"/>
        </w:rPr>
        <w:t xml:space="preserve">drugoga višega isplatnog reda </w:t>
      </w:r>
      <w:r w:rsidRPr="00B66DA9">
        <w:rPr>
          <w:rFonts w:cs="Times New Roman" w:eastAsia="Times New Roman"/>
          <w:lang w:eastAsia="hr-HR"/>
        </w:rPr>
        <w:t xml:space="preserve">(članak 71, stavak 2, Stečajnog zakona, </w:t>
      </w:r>
      <w:r w:rsidRPr="00B66DA9">
        <w:rPr>
          <w:rFonts w:cs="Times New Roman" w:eastAsia="Times New Roman"/>
          <w:i/>
          <w:lang w:eastAsia="hr-HR"/>
        </w:rPr>
        <w:t>Narodne novine</w:t>
      </w:r>
      <w:r w:rsidRPr="00B66DA9">
        <w:rPr>
          <w:rFonts w:cs="Times New Roman" w:eastAsia="Times New Roman"/>
          <w:lang w:eastAsia="hr-HR"/>
        </w:rPr>
        <w:t>, br.-i: od 44/96. do 133/12, dalje: SZ, u vezi sa člankom 441, Stečajnog zakona,</w:t>
      </w:r>
      <w:r w:rsidRPr="00B66DA9">
        <w:rPr>
          <w:rFonts w:cs="Times New Roman" w:eastAsia="Times New Roman"/>
          <w:i/>
          <w:lang w:eastAsia="hr-HR"/>
        </w:rPr>
        <w:t xml:space="preserve"> Narodne novine</w:t>
      </w:r>
      <w:r w:rsidRPr="00B66DA9">
        <w:rPr>
          <w:rFonts w:cs="Times New Roman" w:eastAsia="Times New Roman"/>
          <w:lang w:eastAsia="hr-HR"/>
        </w:rPr>
        <w:t>, broj: 71/15, dalje: SZ/15),) u visini od 0,76286% (nulazarezsedamšestdva-osamšest posto) utvrđenih im iznosa tražbina, koje su sve tražbine utvrđene Rješenjima ovog Suda od 18. studenog 2011. i 31. svibnja 2012, broj: gornji pa će se isplata temeljem ovog Rješenja izvršiti sukladno Završnom diobnom popisu-tablici koju je Sudu fizički dostavio Stečajni upravitelj 19. listopada 2017. i kojeg je potom ispravljenog ponovno dostavio 06. studenog 2017, tj., ovako:</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1.</w:t>
      </w:r>
      <w:r w:rsidRPr="00B66DA9">
        <w:rPr>
          <w:rFonts w:cs="Times New Roman" w:eastAsia="Times New Roman"/>
          <w:lang w:eastAsia="hr-HR"/>
        </w:rPr>
        <w:t xml:space="preserve">   GENERALI OSIGURANJE, d.d., Zagreb, Bani 110, iznos utvrđene tražbine: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27.557,84 kune a za isplatu po ovom Rješenju 0,76286% = 210,22 kune.</w:t>
      </w: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pPr>
        <w:tabs>
          <w:tab w:pos="8280" w:leader="hyphen" w:val="right"/>
        </w:tabs>
        <w:spacing w:after="0"/>
        <w:rPr>
          <w:rFonts w:cs="Times New Roman" w:eastAsia="Times New Roman"/>
          <w:lang w:eastAsia="hr-HR"/>
        </w:rPr>
      </w:pPr>
    </w:p>
    <w:p w:rsidRDefault="00B66DA9" w:rsidP="00B66DA9" w:rsidR="00B66DA9">
      <w:pPr>
        <w:tabs>
          <w:tab w:pos="8280" w:leader="hyphen" w:val="right"/>
        </w:tabs>
        <w:spacing w:after="0"/>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spacing w:after="0"/>
        <w:jc w:val="both"/>
        <w:rPr>
          <w:rFonts w:cs="Times New Roman" w:eastAsia="Calibri"/>
          <w:lang w:val="en-US"/>
        </w:rPr>
      </w:pPr>
      <w:r w:rsidRPr="00B66DA9">
        <w:rPr>
          <w:rFonts w:cs="Times New Roman" w:eastAsia="Calibri"/>
          <w:lang w:val="en-US"/>
        </w:rPr>
        <w:lastRenderedPageBreak/>
        <w:t xml:space="preserve">                                                                    </w:t>
      </w:r>
      <w:r w:rsidRPr="00B66DA9">
        <w:rPr>
          <w:rFonts w:cs="Times New Roman" w:eastAsia="Calibri"/>
          <w:b/>
          <w:lang w:val="en-US"/>
        </w:rPr>
        <w:t>- 2-</w:t>
      </w:r>
      <w:r w:rsidRPr="00B66DA9">
        <w:rPr>
          <w:rFonts w:cs="Times New Roman" w:eastAsia="Calibri"/>
          <w:lang w:val="en-US"/>
        </w:rPr>
        <w:t xml:space="preserve">                            </w:t>
      </w:r>
      <w:r w:rsidRPr="00B66DA9">
        <w:rPr>
          <w:rFonts w:cs="Times New Roman" w:eastAsia="Calibri"/>
          <w:b/>
          <w:lang w:val="en-US"/>
        </w:rPr>
        <w:t>Broj: 14. St-337/2011.</w:t>
      </w: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2.</w:t>
      </w:r>
      <w:r w:rsidRPr="00B66DA9">
        <w:rPr>
          <w:rFonts w:cs="Times New Roman" w:eastAsia="Times New Roman"/>
          <w:lang w:eastAsia="hr-HR"/>
        </w:rPr>
        <w:t xml:space="preserve">   SOKOL MARIĆ, d.o.o., Zagreb, Trg Republike Hrvatske 8/II (Ex: Trg maršala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Tita 8/II), iznos utvrđene tražbine: 44.208,00 kuna a za isplatu po ovom Rješenju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0,76286% = 337,24 kune.</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3.</w:t>
      </w:r>
      <w:r w:rsidRPr="00B66DA9">
        <w:rPr>
          <w:rFonts w:cs="Times New Roman" w:eastAsia="Times New Roman"/>
          <w:lang w:eastAsia="hr-HR"/>
        </w:rPr>
        <w:t xml:space="preserve">   Odvjetnik Darko Medak, Split, Ljudevita Posavskog 12, iznos utvrđene tražbine: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159.724,40 kuna a za isplatu po ovom Rješenju 0,76286% = 1.217,47 kuna.</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4.</w:t>
      </w:r>
      <w:r w:rsidRPr="00B66DA9">
        <w:rPr>
          <w:rFonts w:cs="Times New Roman" w:eastAsia="Times New Roman"/>
          <w:lang w:eastAsia="hr-HR"/>
        </w:rPr>
        <w:t xml:space="preserve">   ZRAČNA LUKA SPLIT d.o.o. za usluge u zračnom prometu, Kaštel Štafilić,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Cesta dr. Franje Tuđmana 96, iznos utvrđene tražbine: 99.596,72 kune a za isplatu po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ovom Rješenju 0,76286% = 759,78 kuna.</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5.</w:t>
      </w:r>
      <w:r w:rsidRPr="00B66DA9">
        <w:rPr>
          <w:rFonts w:cs="Times New Roman" w:eastAsia="Times New Roman"/>
          <w:lang w:eastAsia="hr-HR"/>
        </w:rPr>
        <w:t xml:space="preserve">  UHY HB EKONOM d.o.o. za reviziju, Split, Hrvatske mornarice1h, iznos utvrđene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tražbine: 21.954,77 kuna a za isplatu po ovom Rješenju 0,76286% = 167,48 kuna.</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6.</w:t>
      </w:r>
      <w:r w:rsidRPr="00B66DA9">
        <w:rPr>
          <w:rFonts w:cs="Times New Roman" w:eastAsia="Times New Roman"/>
          <w:lang w:eastAsia="hr-HR"/>
        </w:rPr>
        <w:t xml:space="preserve">  ELEKTRODALMACIJA SPLIT, Split, Poljička cesta 73, iznos utvrđene tražbine: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3.613,09 kuna a za isplatu po ovom Rješenju 0,76286% = 27,56 kuna.</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7.</w:t>
      </w:r>
      <w:r w:rsidRPr="00B66DA9">
        <w:rPr>
          <w:rFonts w:cs="Times New Roman" w:eastAsia="Times New Roman"/>
          <w:lang w:eastAsia="hr-HR"/>
        </w:rPr>
        <w:t xml:space="preserve">  PODUZEĆE ZA CESTE SPLIT, d.d., Dugopolje, Svetog Mihovila 1, iznos utvrđene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tražbine: 787.805,35 kune a za isplatu po ovom Rješenju 0,76286% = 6.009,85 kuna.</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8.</w:t>
      </w:r>
      <w:r w:rsidRPr="00B66DA9">
        <w:rPr>
          <w:rFonts w:cs="Times New Roman" w:eastAsia="Times New Roman"/>
          <w:lang w:eastAsia="hr-HR"/>
        </w:rPr>
        <w:t xml:space="preserve">  GRAD SPLIT, Split, Branimirova obala 17, iznos utvrđene tražbine: 1.408,22 kune a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za isplatu po ovom Rješenju 0,76286% = 10,74 kuna.</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b/>
          <w:lang w:eastAsia="hr-HR"/>
        </w:rPr>
        <w:t>9.</w:t>
      </w:r>
      <w:r w:rsidRPr="00B66DA9">
        <w:rPr>
          <w:rFonts w:cs="Times New Roman" w:eastAsia="Times New Roman"/>
          <w:lang w:eastAsia="hr-HR"/>
        </w:rPr>
        <w:t xml:space="preserve">  REIFFEISENBANK AUSTRIA, d.d., Zagreb, Petrinjska 59, iznos utvrđene tražbine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nakon odbitka iznosa namirenog temeljem razlučnog prava: 51.735.115,00 kuna a za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isplatu po ovom riješenju 0,76286% = 394.666,49 kuna.</w:t>
      </w: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142" w:val="left"/>
        </w:tabs>
        <w:spacing w:after="0"/>
        <w:jc w:val="both"/>
        <w:rPr>
          <w:rFonts w:cs="Times New Roman" w:eastAsia="Times New Roman"/>
          <w:lang w:eastAsia="hr-HR"/>
        </w:rPr>
      </w:pPr>
      <w:r w:rsidRPr="00B66DA9">
        <w:rPr>
          <w:rFonts w:cs="Times New Roman" w:eastAsia="Times New Roman"/>
          <w:b/>
          <w:bCs/>
          <w:lang w:eastAsia="hr-HR"/>
        </w:rPr>
        <w:t xml:space="preserve">         2.</w:t>
      </w:r>
      <w:r w:rsidRPr="00B66DA9">
        <w:rPr>
          <w:rFonts w:cs="Times New Roman" w:eastAsia="Times New Roman"/>
          <w:lang w:eastAsia="hr-HR"/>
        </w:rPr>
        <w:t xml:space="preserve"> Isplata prve i ujedno Završne diobe po točki 1. ovog Rješenja izvršit će se nakon pravomoćnosti iste točke 1, ovog Rješenja i nakon održanoga Završnog ročišta vjerovnika. </w:t>
      </w:r>
    </w:p>
    <w:p w:rsidRDefault="00B66DA9" w:rsidP="00B66DA9" w:rsidR="00B66DA9" w:rsidRPr="00B66DA9">
      <w:pPr>
        <w:tabs>
          <w:tab w:pos="142" w:val="left"/>
        </w:tabs>
        <w:spacing w:after="0"/>
        <w:jc w:val="both"/>
        <w:rPr>
          <w:rFonts w:cs="Times New Roman" w:eastAsia="Times New Roman"/>
          <w:lang w:eastAsia="hr-HR"/>
        </w:rPr>
      </w:pPr>
    </w:p>
    <w:p w:rsidRDefault="00B66DA9" w:rsidP="00B66DA9" w:rsidR="00B66DA9" w:rsidRPr="00B66DA9">
      <w:pPr>
        <w:tabs>
          <w:tab w:pos="142" w:val="left"/>
        </w:tabs>
        <w:spacing w:after="0"/>
        <w:jc w:val="both"/>
        <w:rPr>
          <w:rFonts w:cs="Times New Roman" w:eastAsia="Times New Roman"/>
          <w:lang w:eastAsia="hr-HR"/>
        </w:rPr>
      </w:pPr>
      <w:r w:rsidRPr="00B66DA9">
        <w:rPr>
          <w:rFonts w:cs="Times New Roman" w:eastAsia="Times New Roman"/>
          <w:lang w:eastAsia="hr-HR"/>
        </w:rPr>
        <w:t xml:space="preserve">         </w:t>
      </w:r>
      <w:r w:rsidRPr="00B66DA9">
        <w:rPr>
          <w:rFonts w:cs="Times New Roman" w:eastAsia="Times New Roman"/>
          <w:b/>
          <w:bCs/>
          <w:lang w:eastAsia="hr-HR"/>
        </w:rPr>
        <w:t>3.</w:t>
      </w:r>
      <w:r w:rsidRPr="00B66DA9">
        <w:rPr>
          <w:rFonts w:cs="Times New Roman" w:eastAsia="Times New Roman"/>
          <w:lang w:eastAsia="hr-HR"/>
        </w:rPr>
        <w:t xml:space="preserve">  Ovo će se Rješenje javno objaviti na mrežnoj stranici e-Oglasna ploča sudova.</w:t>
      </w:r>
    </w:p>
    <w:p w:rsidRDefault="00B66DA9" w:rsidP="00B66DA9" w:rsidR="00B66DA9" w:rsidRPr="00B66DA9">
      <w:pPr>
        <w:tabs>
          <w:tab w:pos="8280" w:leader="hyphen" w:val="right"/>
        </w:tabs>
        <w:spacing w:after="0"/>
        <w:rPr>
          <w:rFonts w:cs="Times New Roman" w:eastAsia="Times New Roman"/>
          <w:lang w:eastAsia="hr-HR"/>
        </w:rPr>
      </w:pPr>
    </w:p>
    <w:p w:rsidRDefault="00B66DA9" w:rsidP="00B66DA9" w:rsidR="00B66DA9" w:rsidRPr="00B66DA9">
      <w:pPr>
        <w:tabs>
          <w:tab w:pos="142" w:val="left"/>
        </w:tabs>
        <w:spacing w:after="0"/>
        <w:jc w:val="both"/>
        <w:rPr>
          <w:rFonts w:cs="Times New Roman" w:eastAsia="Times New Roman"/>
          <w:lang w:eastAsia="hr-HR"/>
        </w:rPr>
      </w:pPr>
    </w:p>
    <w:p w:rsidRDefault="00B66DA9" w:rsidP="00B66DA9" w:rsidR="00B66DA9" w:rsidRPr="00B66DA9">
      <w:pPr>
        <w:spacing w:after="0"/>
        <w:jc w:val="center"/>
        <w:rPr>
          <w:rFonts w:cs="Times New Roman" w:eastAsia="Times New Roman"/>
          <w:lang w:eastAsia="hr-HR"/>
        </w:rPr>
      </w:pPr>
      <w:r w:rsidRPr="00B66DA9">
        <w:rPr>
          <w:rFonts w:cs="Times New Roman" w:eastAsia="Times New Roman"/>
          <w:lang w:eastAsia="hr-HR"/>
        </w:rPr>
        <w:t>B/</w:t>
      </w:r>
    </w:p>
    <w:p w:rsidRDefault="00B66DA9" w:rsidP="00B66DA9" w:rsidR="00B66DA9" w:rsidRPr="00B66DA9">
      <w:pPr>
        <w:spacing w:after="0"/>
        <w:jc w:val="center"/>
        <w:rPr>
          <w:rFonts w:cs="Times New Roman" w:eastAsia="Times New Roman"/>
          <w:lang w:eastAsia="hr-HR"/>
        </w:rPr>
      </w:pPr>
    </w:p>
    <w:p w:rsidRDefault="00B66DA9" w:rsidP="00B66DA9" w:rsidR="00B66DA9" w:rsidRPr="00B66DA9">
      <w:pPr>
        <w:spacing w:after="0"/>
        <w:jc w:val="center"/>
        <w:rPr>
          <w:rFonts w:cs="Times New Roman" w:eastAsia="Times New Roman"/>
          <w:szCs w:val="20"/>
          <w:lang w:eastAsia="hr-HR"/>
        </w:rPr>
      </w:pPr>
      <w:r w:rsidRPr="00B66DA9">
        <w:rPr>
          <w:rFonts w:cs="Times New Roman" w:eastAsia="Times New Roman"/>
          <w:lang w:eastAsia="hr-HR"/>
        </w:rPr>
        <w:t xml:space="preserve">z a k lj u č i o  j e                                               </w:t>
      </w:r>
    </w:p>
    <w:p w:rsidRDefault="00B66DA9" w:rsidP="00B66DA9" w:rsidR="00B66DA9" w:rsidRPr="00B66DA9">
      <w:pPr>
        <w:tabs>
          <w:tab w:pos="142" w:val="left"/>
        </w:tabs>
        <w:spacing w:after="0"/>
        <w:jc w:val="both"/>
        <w:rPr>
          <w:rFonts w:cs="Times New Roman" w:eastAsia="Times New Roman"/>
          <w:lang w:eastAsia="hr-HR"/>
        </w:rPr>
      </w:pPr>
    </w:p>
    <w:p w:rsidRDefault="00B66DA9" w:rsidP="00B66DA9" w:rsidR="00B66DA9" w:rsidRPr="00B66DA9">
      <w:pPr>
        <w:tabs>
          <w:tab w:pos="142" w:val="left"/>
        </w:tabs>
        <w:spacing w:after="0"/>
        <w:jc w:val="both"/>
        <w:rPr>
          <w:rFonts w:cs="Times New Roman" w:eastAsia="Times New Roman"/>
          <w:lang w:eastAsia="hr-HR"/>
        </w:rPr>
      </w:pPr>
      <w:r w:rsidRPr="00B66DA9">
        <w:rPr>
          <w:rFonts w:cs="Times New Roman" w:eastAsia="Times New Roman"/>
          <w:b/>
          <w:lang w:eastAsia="hr-HR"/>
        </w:rPr>
        <w:t>I/</w:t>
      </w:r>
      <w:r w:rsidRPr="00B66DA9">
        <w:rPr>
          <w:rFonts w:cs="Times New Roman" w:eastAsia="Times New Roman"/>
          <w:lang w:eastAsia="hr-HR"/>
        </w:rPr>
        <w:t xml:space="preserve">    U stečajnom postupku nad trgovačkim društvom: EURO PROPERTY PROSPECTS - NEKRETNINE, d.o.o., u stečaju, Split (Grad Split), Hrvatske mornarice 1/H, OIB: 45095319801, određuje se Završno ročište vjerovnika i to za: ČETVRTAK – 07. prosinca 2017, početkom u 09,00 sati, u Trgovačkom sudu u Splitu, Sukoišanska broj: 6, Split, u sudnici broj: 5, soba broj: 121/ I kat, sa slijedećim</w:t>
      </w:r>
    </w:p>
    <w:p w:rsidRDefault="00B66DA9" w:rsidP="00B66DA9" w:rsidR="00B66DA9" w:rsidRPr="00B66DA9">
      <w:pPr>
        <w:spacing w:after="0"/>
        <w:jc w:val="both"/>
        <w:rPr>
          <w:rFonts w:cs="Times New Roman" w:eastAsia="Times New Roman"/>
          <w:b/>
          <w:lang w:eastAsia="hr-HR"/>
        </w:rPr>
      </w:pPr>
    </w:p>
    <w:p w:rsidRDefault="00B66DA9" w:rsidP="00B66DA9" w:rsidR="00B66DA9" w:rsidRPr="00B66DA9">
      <w:pPr>
        <w:spacing w:after="0"/>
        <w:jc w:val="both"/>
        <w:rPr>
          <w:rFonts w:cs="Times New Roman" w:eastAsia="Times New Roman"/>
          <w:b/>
          <w:lang w:eastAsia="hr-HR"/>
        </w:rPr>
      </w:pPr>
    </w:p>
    <w:p w:rsidRDefault="00B66DA9" w:rsidP="00B66DA9" w:rsidR="00B66DA9">
      <w:pPr>
        <w:spacing w:after="0"/>
        <w:jc w:val="both"/>
        <w:rPr>
          <w:rFonts w:cs="Times New Roman" w:eastAsia="Times New Roman"/>
          <w:b/>
          <w:lang w:eastAsia="hr-HR"/>
        </w:rPr>
      </w:pPr>
    </w:p>
    <w:p w:rsidRDefault="00B66DA9" w:rsidP="00B66DA9" w:rsidR="00B66DA9">
      <w:pPr>
        <w:spacing w:after="0"/>
        <w:jc w:val="both"/>
        <w:rPr>
          <w:rFonts w:cs="Times New Roman" w:eastAsia="Times New Roman"/>
          <w:b/>
          <w:lang w:eastAsia="hr-HR"/>
        </w:rPr>
      </w:pPr>
    </w:p>
    <w:p w:rsidRDefault="00B66DA9" w:rsidP="00B66DA9" w:rsidR="00B66DA9">
      <w:pPr>
        <w:spacing w:after="0"/>
        <w:jc w:val="both"/>
        <w:rPr>
          <w:rFonts w:cs="Times New Roman" w:eastAsia="Times New Roman"/>
          <w:b/>
          <w:lang w:eastAsia="hr-HR"/>
        </w:rPr>
      </w:pPr>
    </w:p>
    <w:p w:rsidRDefault="00B66DA9" w:rsidP="00B66DA9" w:rsidR="00B66DA9">
      <w:pPr>
        <w:spacing w:after="0"/>
        <w:jc w:val="both"/>
        <w:rPr>
          <w:rFonts w:cs="Times New Roman" w:eastAsia="Times New Roman"/>
          <w:b/>
          <w:lang w:eastAsia="hr-HR"/>
        </w:rPr>
      </w:pPr>
    </w:p>
    <w:p w:rsidRDefault="00B66DA9" w:rsidP="00B66DA9" w:rsidR="00B66DA9" w:rsidRPr="00B66DA9">
      <w:pPr>
        <w:spacing w:after="0"/>
        <w:jc w:val="both"/>
        <w:rPr>
          <w:rFonts w:cs="Times New Roman" w:eastAsia="Times New Roman"/>
          <w:b/>
          <w:lang w:eastAsia="hr-HR"/>
        </w:rPr>
      </w:pPr>
    </w:p>
    <w:p w:rsidRDefault="00B66DA9" w:rsidP="00B66DA9" w:rsidR="00B66DA9" w:rsidRPr="00B66DA9">
      <w:pPr>
        <w:spacing w:after="0"/>
        <w:jc w:val="both"/>
        <w:rPr>
          <w:rFonts w:cs="Times New Roman" w:eastAsia="Times New Roman"/>
          <w:b/>
          <w:lang w:eastAsia="hr-HR"/>
        </w:rPr>
      </w:pPr>
    </w:p>
    <w:p w:rsidRDefault="00B66DA9" w:rsidP="00B66DA9" w:rsidR="00B66DA9" w:rsidRPr="00B66DA9">
      <w:pPr>
        <w:spacing w:after="0"/>
        <w:jc w:val="both"/>
        <w:rPr>
          <w:rFonts w:cs="Times New Roman" w:eastAsia="Times New Roman"/>
          <w:b/>
          <w:lang w:eastAsia="hr-HR"/>
        </w:rPr>
      </w:pPr>
    </w:p>
    <w:p w:rsidRDefault="00B66DA9" w:rsidP="00B66DA9" w:rsidR="00B66DA9" w:rsidRPr="00B66DA9">
      <w:pPr>
        <w:spacing w:after="0"/>
        <w:jc w:val="both"/>
        <w:rPr>
          <w:rFonts w:cs="Times New Roman" w:eastAsia="Calibri"/>
          <w:lang w:val="en-US"/>
        </w:rPr>
      </w:pPr>
      <w:r w:rsidRPr="00B66DA9">
        <w:rPr>
          <w:rFonts w:cs="Times New Roman" w:eastAsia="Calibri"/>
          <w:lang w:val="en-US"/>
        </w:rPr>
        <w:t xml:space="preserve">                                                                    </w:t>
      </w:r>
      <w:r w:rsidRPr="00B66DA9">
        <w:rPr>
          <w:rFonts w:cs="Times New Roman" w:eastAsia="Calibri"/>
          <w:b/>
          <w:lang w:val="en-US"/>
        </w:rPr>
        <w:t>- 3-</w:t>
      </w:r>
      <w:r w:rsidRPr="00B66DA9">
        <w:rPr>
          <w:rFonts w:cs="Times New Roman" w:eastAsia="Calibri"/>
          <w:lang w:val="en-US"/>
        </w:rPr>
        <w:t xml:space="preserve">                            </w:t>
      </w:r>
      <w:r w:rsidRPr="00B66DA9">
        <w:rPr>
          <w:rFonts w:cs="Times New Roman" w:eastAsia="Calibri"/>
          <w:b/>
          <w:lang w:val="en-US"/>
        </w:rPr>
        <w:t>Broj: 14. St-337/2011.</w:t>
      </w:r>
    </w:p>
    <w:p w:rsidRDefault="00B66DA9" w:rsidP="00B66DA9" w:rsidR="00B66DA9" w:rsidRPr="00B66DA9">
      <w:pPr>
        <w:spacing w:after="0"/>
        <w:jc w:val="both"/>
        <w:rPr>
          <w:rFonts w:cs="Times New Roman" w:eastAsia="Times New Roman"/>
          <w:b/>
          <w:lang w:eastAsia="hr-HR"/>
        </w:rPr>
      </w:pPr>
    </w:p>
    <w:p w:rsidRDefault="00B66DA9" w:rsidP="00B66DA9" w:rsidR="00B66DA9" w:rsidRPr="00B66DA9">
      <w:pPr>
        <w:spacing w:after="0"/>
        <w:jc w:val="both"/>
        <w:rPr>
          <w:rFonts w:cs="Times New Roman" w:eastAsia="Times New Roman"/>
          <w:b/>
          <w:lang w:eastAsia="hr-HR"/>
        </w:rPr>
      </w:pPr>
    </w:p>
    <w:p w:rsidRDefault="00B66DA9" w:rsidP="00B66DA9" w:rsidR="00B66DA9" w:rsidRPr="00B66DA9">
      <w:pPr>
        <w:spacing w:after="0"/>
        <w:jc w:val="center"/>
        <w:rPr>
          <w:rFonts w:cs="Times New Roman" w:eastAsia="Times New Roman"/>
          <w:lang w:eastAsia="hr-HR"/>
        </w:rPr>
      </w:pPr>
      <w:r w:rsidRPr="00B66DA9">
        <w:rPr>
          <w:rFonts w:cs="Times New Roman" w:eastAsia="Times New Roman"/>
          <w:lang w:eastAsia="hr-HR"/>
        </w:rPr>
        <w:t>Dnevnim redom</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 xml:space="preserve">          </w:t>
      </w:r>
      <w:r w:rsidRPr="00B66DA9">
        <w:rPr>
          <w:rFonts w:cs="Times New Roman" w:eastAsia="Times New Roman"/>
          <w:b/>
          <w:lang w:eastAsia="hr-HR"/>
        </w:rPr>
        <w:t>1.</w:t>
      </w:r>
      <w:r w:rsidRPr="00B66DA9">
        <w:rPr>
          <w:rFonts w:cs="Times New Roman" w:eastAsia="Times New Roman"/>
          <w:lang w:eastAsia="hr-HR"/>
        </w:rPr>
        <w:t xml:space="preserve"> Izvješće Stečajnog upravitelja o tijeku stečajnog postupka, unovčenoj stečajnoj masi, Završnoj diobi i Završnom računu, parnicama u tijeku i drugim pitanjima vezanim za ovaj stečajni postupak. Sve navedeno je Stečajni upravitelj pismeno dostavio Sudu 19. listopada i 06. studenog 2017. i sve je to 20. listopada i 06. studenog 2017. objavljeno na mrežnoj stranici e-Oglasna ploča sudova na uvid vjerovnicima,</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 xml:space="preserve">          </w:t>
      </w:r>
      <w:r w:rsidRPr="00B66DA9">
        <w:rPr>
          <w:rFonts w:cs="Times New Roman" w:eastAsia="Times New Roman"/>
          <w:b/>
          <w:lang w:eastAsia="hr-HR"/>
        </w:rPr>
        <w:t>2.</w:t>
      </w:r>
      <w:r w:rsidRPr="00B66DA9">
        <w:rPr>
          <w:rFonts w:cs="Times New Roman" w:eastAsia="Times New Roman"/>
          <w:lang w:eastAsia="hr-HR"/>
        </w:rPr>
        <w:t xml:space="preserve">  Raspravljanje o Završnom računu Stečajnog upravitelja,</w:t>
      </w:r>
    </w:p>
    <w:p w:rsidRDefault="00B66DA9" w:rsidP="00B66DA9" w:rsidR="00B66DA9" w:rsidRPr="00B66DA9">
      <w:pPr>
        <w:spacing w:after="0"/>
        <w:jc w:val="both"/>
        <w:rPr>
          <w:rFonts w:cs="Times New Roman" w:eastAsia="Times New Roman"/>
          <w:lang w:eastAsia="hr-HR" w:val="fr-FR"/>
        </w:rPr>
      </w:pPr>
      <w:r w:rsidRPr="00B66DA9">
        <w:rPr>
          <w:rFonts w:cs="Times New Roman" w:eastAsia="Times New Roman"/>
          <w:lang w:eastAsia="hr-HR"/>
        </w:rPr>
        <w:t xml:space="preserve">          </w:t>
      </w:r>
      <w:r w:rsidRPr="00B66DA9">
        <w:rPr>
          <w:rFonts w:cs="Times New Roman" w:eastAsia="Times New Roman"/>
          <w:b/>
          <w:lang w:eastAsia="hr-HR" w:val="fr-FR"/>
        </w:rPr>
        <w:t>3.</w:t>
      </w:r>
      <w:r w:rsidRPr="00B66DA9">
        <w:rPr>
          <w:rFonts w:cs="Times New Roman" w:eastAsia="Times New Roman"/>
          <w:lang w:eastAsia="hr-HR" w:val="fr-FR"/>
        </w:rPr>
        <w:t xml:space="preserve">  Podnošenje prigovora na Završni Diobni popis i odlučivanje o tim prigovorima,</w:t>
      </w:r>
    </w:p>
    <w:p w:rsidRDefault="00B66DA9" w:rsidP="00B66DA9" w:rsidR="00B66DA9" w:rsidRPr="00B66DA9">
      <w:pPr>
        <w:spacing w:after="0"/>
        <w:jc w:val="both"/>
        <w:rPr>
          <w:rFonts w:cs="Times New Roman" w:eastAsia="Times New Roman"/>
          <w:lang w:eastAsia="hr-HR" w:val="fr-FR"/>
        </w:rPr>
      </w:pPr>
      <w:r w:rsidRPr="00B66DA9">
        <w:rPr>
          <w:rFonts w:cs="Times New Roman" w:eastAsia="Times New Roman"/>
          <w:lang w:eastAsia="hr-HR" w:val="fr-FR"/>
        </w:rPr>
        <w:t xml:space="preserve">          </w:t>
      </w:r>
      <w:r w:rsidRPr="00B66DA9">
        <w:rPr>
          <w:rFonts w:cs="Times New Roman" w:eastAsia="Times New Roman"/>
          <w:b/>
          <w:lang w:eastAsia="hr-HR" w:val="fr-FR"/>
        </w:rPr>
        <w:t>4.</w:t>
      </w:r>
      <w:r w:rsidRPr="00B66DA9">
        <w:rPr>
          <w:rFonts w:cs="Times New Roman" w:eastAsia="Times New Roman"/>
          <w:lang w:eastAsia="hr-HR" w:val="fr-FR"/>
        </w:rPr>
        <w:t xml:space="preserve"> Odlučivanje o ostalim pitanjima ovoga stečajnog postupka.</w:t>
      </w:r>
    </w:p>
    <w:p w:rsidRDefault="00B66DA9" w:rsidP="00B66DA9" w:rsidR="00B66DA9" w:rsidRPr="00B66DA9">
      <w:pPr>
        <w:spacing w:after="0"/>
        <w:jc w:val="both"/>
        <w:rPr>
          <w:rFonts w:cs="Times New Roman" w:eastAsia="Times New Roman"/>
          <w:b/>
          <w:bCs/>
          <w:lang w:eastAsia="hr-HR" w:val="fr-FR"/>
        </w:rPr>
      </w:pPr>
    </w:p>
    <w:p w:rsidRDefault="00B66DA9" w:rsidP="00B66DA9" w:rsidR="00B66DA9" w:rsidRPr="00B66DA9">
      <w:pPr>
        <w:spacing w:after="0"/>
        <w:jc w:val="both"/>
        <w:rPr>
          <w:rFonts w:cs="Times New Roman" w:eastAsia="Times New Roman"/>
          <w:lang w:eastAsia="hr-HR" w:val="fr-FR"/>
        </w:rPr>
      </w:pPr>
      <w:r w:rsidRPr="00B66DA9">
        <w:rPr>
          <w:rFonts w:cs="Times New Roman" w:eastAsia="Times New Roman"/>
          <w:b/>
          <w:bCs/>
          <w:lang w:eastAsia="hr-HR" w:val="fr-FR"/>
        </w:rPr>
        <w:t>II/</w:t>
      </w:r>
      <w:r w:rsidRPr="00B66DA9">
        <w:rPr>
          <w:rFonts w:cs="Times New Roman" w:eastAsia="Times New Roman"/>
          <w:lang w:eastAsia="hr-HR" w:val="fr-FR"/>
        </w:rPr>
        <w:t xml:space="preserve">      Na Završno ročište vjerovnika pozivaju se svi vjerovnici stečajnog Dužnika. </w:t>
      </w:r>
    </w:p>
    <w:p w:rsidRDefault="00B66DA9" w:rsidP="00B66DA9" w:rsidR="00B66DA9" w:rsidRPr="00B66DA9">
      <w:pPr>
        <w:spacing w:after="0"/>
        <w:jc w:val="both"/>
        <w:rPr>
          <w:rFonts w:cs="Times New Roman" w:eastAsia="Times New Roman"/>
          <w:b/>
          <w:bCs/>
          <w:lang w:eastAsia="hr-HR" w:val="fr-FR"/>
        </w:rPr>
      </w:pPr>
    </w:p>
    <w:p w:rsidRDefault="00B66DA9" w:rsidP="00B66DA9" w:rsidR="00B66DA9" w:rsidRPr="00B66DA9">
      <w:pPr>
        <w:spacing w:after="0"/>
        <w:jc w:val="both"/>
        <w:rPr>
          <w:rFonts w:cs="Times New Roman" w:eastAsia="Times New Roman"/>
          <w:lang w:eastAsia="hr-HR" w:val="fr-FR"/>
        </w:rPr>
      </w:pPr>
      <w:r w:rsidRPr="00B66DA9">
        <w:rPr>
          <w:rFonts w:cs="Times New Roman" w:eastAsia="Times New Roman"/>
          <w:b/>
          <w:bCs/>
          <w:lang w:eastAsia="hr-HR" w:val="fr-FR"/>
        </w:rPr>
        <w:t>III/</w:t>
      </w:r>
      <w:r w:rsidRPr="00B66DA9">
        <w:rPr>
          <w:rFonts w:cs="Times New Roman" w:eastAsia="Times New Roman"/>
          <w:lang w:eastAsia="hr-HR" w:val="fr-FR"/>
        </w:rPr>
        <w:t xml:space="preserve">  Ovo će se određivanje Završnog ročišta vjerovnika objaviti na </w:t>
      </w:r>
      <w:r w:rsidRPr="00B66DA9">
        <w:rPr>
          <w:rFonts w:cs="Times New Roman" w:eastAsia="Times New Roman"/>
          <w:lang w:eastAsia="hr-HR"/>
        </w:rPr>
        <w:t>mrežnoj stranici e-Oglasna ploča sudova</w:t>
      </w:r>
      <w:r w:rsidRPr="00B66DA9">
        <w:rPr>
          <w:rFonts w:cs="Times New Roman" w:eastAsia="Times New Roman"/>
          <w:lang w:eastAsia="hr-HR" w:val="fr-FR"/>
        </w:rPr>
        <w:t xml:space="preserve"> a što svim vjerovnicima služi kao poziv sukladno navedenom.</w:t>
      </w:r>
    </w:p>
    <w:p w:rsidRDefault="00B66DA9" w:rsidP="00B66DA9" w:rsidR="00B66DA9" w:rsidRPr="00B66DA9">
      <w:pPr>
        <w:tabs>
          <w:tab w:pos="142" w:val="left"/>
        </w:tabs>
        <w:spacing w:after="0"/>
        <w:jc w:val="both"/>
        <w:rPr>
          <w:rFonts w:cs="Times New Roman" w:eastAsia="Times New Roman"/>
          <w:lang w:eastAsia="hr-HR" w:val="fr-FR"/>
        </w:rPr>
      </w:pPr>
    </w:p>
    <w:p w:rsidRDefault="00B66DA9" w:rsidP="00B66DA9" w:rsidR="00B66DA9" w:rsidRPr="00B66DA9">
      <w:pPr>
        <w:keepNext/>
        <w:spacing w:after="0"/>
        <w:jc w:val="center"/>
        <w:outlineLvl w:val="0"/>
        <w:rPr>
          <w:rFonts w:cs="Times New Roman" w:eastAsia="Arial Unicode MS"/>
          <w:lang w:eastAsia="hr-HR"/>
        </w:rPr>
      </w:pPr>
    </w:p>
    <w:p w:rsidRDefault="00B66DA9" w:rsidP="00B66DA9" w:rsidR="00B66DA9" w:rsidRPr="00B66DA9">
      <w:pPr>
        <w:keepNext/>
        <w:spacing w:after="0"/>
        <w:jc w:val="center"/>
        <w:outlineLvl w:val="0"/>
        <w:rPr>
          <w:rFonts w:cs="Times New Roman" w:eastAsia="Arial Unicode MS"/>
          <w:lang w:eastAsia="hr-HR"/>
        </w:rPr>
      </w:pPr>
      <w:r w:rsidRPr="00B66DA9">
        <w:rPr>
          <w:rFonts w:cs="Times New Roman" w:eastAsia="Arial Unicode MS"/>
          <w:lang w:eastAsia="hr-HR"/>
        </w:rPr>
        <w:t>Obrazloženje</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 xml:space="preserve">            </w:t>
      </w:r>
      <w:r w:rsidRPr="00B66DA9">
        <w:rPr>
          <w:rFonts w:cs="Times New Roman" w:eastAsia="Times New Roman"/>
          <w:b/>
          <w:lang w:eastAsia="hr-HR"/>
        </w:rPr>
        <w:t>1.</w:t>
      </w:r>
      <w:r w:rsidRPr="00B66DA9">
        <w:rPr>
          <w:rFonts w:cs="Times New Roman" w:eastAsia="Times New Roman"/>
          <w:lang w:eastAsia="hr-HR"/>
        </w:rPr>
        <w:t xml:space="preserve">  Rješenjem ovog Suda od 15. rujna 2011, broj: 14. St-337/11, otvoren je stečajni postupak nad trgovačkim društvom: EURO PROPERTY PROSPECTS - NEKRETNINE, d.o.o., u stečaju, Split (Grad Split), Hrvatske mornarice 1/H, OIB: 45095319801, kao stečajnim Dužnikom (dalje: Dužnik, stečajni Dužnik). </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szCs w:val="20"/>
          <w:lang w:eastAsia="hr-HR" w:val="en-AU"/>
        </w:rPr>
      </w:pPr>
      <w:r w:rsidRPr="00B66DA9">
        <w:rPr>
          <w:rFonts w:cs="Times New Roman" w:eastAsia="Times New Roman"/>
          <w:szCs w:val="20"/>
          <w:lang w:eastAsia="hr-HR" w:val="en-AU"/>
        </w:rPr>
        <w:t xml:space="preserve">            </w:t>
      </w:r>
      <w:r w:rsidRPr="00B66DA9">
        <w:rPr>
          <w:rFonts w:cs="Times New Roman" w:eastAsia="Times New Roman"/>
          <w:b/>
          <w:szCs w:val="20"/>
          <w:lang w:eastAsia="hr-HR" w:val="en-AU"/>
        </w:rPr>
        <w:t>2.</w:t>
      </w:r>
      <w:r w:rsidRPr="00B66DA9">
        <w:rPr>
          <w:rFonts w:cs="Times New Roman" w:eastAsia="Times New Roman"/>
          <w:szCs w:val="20"/>
          <w:lang w:eastAsia="hr-HR" w:val="en-AU"/>
        </w:rPr>
        <w:t xml:space="preserve">  Nakon što su vjerovnici prijavili tražbine u stečajni postupak, iste su tražbine ispitane na Ispitnim ročištima održanim kod ovog Suda 10. studenog 2011. i 31. svibnja 2012. a o kojim ispitanim tražbinama je Sud odlučio Rješenjima (o utvrđenim/osporenim tražbinama) od 18. studenog 2011. i od 31. svibnja 2012, sve broj: gornji.</w:t>
      </w:r>
    </w:p>
    <w:p w:rsidRDefault="00B66DA9" w:rsidP="00B66DA9" w:rsidR="00B66DA9" w:rsidRPr="00B66DA9">
      <w:pPr>
        <w:spacing w:after="0"/>
        <w:jc w:val="both"/>
        <w:rPr>
          <w:rFonts w:cs="Times New Roman" w:eastAsia="Times New Roman"/>
          <w:szCs w:val="20"/>
          <w:lang w:eastAsia="hr-HR" w:val="en-AU"/>
        </w:rPr>
      </w:pPr>
    </w:p>
    <w:p w:rsidRDefault="00B66DA9" w:rsidP="00B66DA9" w:rsidR="00B66DA9" w:rsidRPr="00B66DA9">
      <w:pPr>
        <w:spacing w:after="0"/>
        <w:ind w:firstLine="708"/>
        <w:jc w:val="both"/>
        <w:rPr>
          <w:rFonts w:cs="Times New Roman" w:eastAsia="Times New Roman"/>
          <w:lang w:eastAsia="hr-HR"/>
        </w:rPr>
      </w:pPr>
      <w:r w:rsidRPr="00B66DA9">
        <w:rPr>
          <w:rFonts w:cs="Times New Roman" w:eastAsia="Times New Roman"/>
          <w:b/>
          <w:lang w:eastAsia="hr-HR"/>
        </w:rPr>
        <w:t>3.</w:t>
      </w:r>
      <w:r w:rsidRPr="00B66DA9">
        <w:rPr>
          <w:rFonts w:cs="Times New Roman" w:eastAsia="Times New Roman"/>
          <w:lang w:eastAsia="hr-HR"/>
        </w:rPr>
        <w:t xml:space="preserve"> Završnim izvješćem i Završnim računom koje je fizički dostavio Sudu 19. listopada i 06. studenog 2017, Stečajni je upravitelj dostavio Sudu i Završni diobni popis te je predložio Sudu odobriti provođenje Završne diobe, koja je dioba ujedno i prva dioba, pošto više nema materijalne imovine za unovčenje. Tim se Završnim diobnim popisom stečajnim vjerovnicima drugoga višega isplatnog reda</w:t>
      </w:r>
      <w:r w:rsidRPr="00B66DA9">
        <w:rPr>
          <w:rFonts w:cs="Times New Roman" w:eastAsia="Times New Roman"/>
          <w:b/>
          <w:lang w:eastAsia="hr-HR"/>
        </w:rPr>
        <w:t xml:space="preserve"> </w:t>
      </w:r>
      <w:r w:rsidRPr="00B66DA9">
        <w:rPr>
          <w:rFonts w:cs="Times New Roman" w:eastAsia="Times New Roman"/>
          <w:lang w:eastAsia="hr-HR"/>
        </w:rPr>
        <w:t>predlaže isplatiti 0,76286% (nulazarezsedamšestdvaosamšest posto) utvrđenih im iznosa tražbina, koje su sve tražbine utvrđene gore navedenim Rješenjima ovog Suda (o utvrđenim/osporenim tražbinama), čemu je svemu Sud udovoljio i riješio kao u izrijeci pod točkom 1.</w:t>
      </w:r>
    </w:p>
    <w:p w:rsidRDefault="00B66DA9" w:rsidP="00B66DA9" w:rsidR="00B66DA9">
      <w:pPr>
        <w:spacing w:after="0"/>
        <w:jc w:val="both"/>
        <w:rPr>
          <w:rFonts w:cs="Times New Roman" w:eastAsia="Times New Roman"/>
          <w:lang w:eastAsia="hr-HR"/>
        </w:rPr>
      </w:pPr>
    </w:p>
    <w:p w:rsidRDefault="00B66DA9" w:rsidP="00B66DA9" w:rsidR="00B66DA9">
      <w:pPr>
        <w:spacing w:after="0"/>
        <w:jc w:val="both"/>
        <w:rPr>
          <w:rFonts w:cs="Times New Roman" w:eastAsia="Times New Roman"/>
          <w:lang w:eastAsia="hr-HR"/>
        </w:rPr>
      </w:pPr>
    </w:p>
    <w:p w:rsidRDefault="00B66DA9" w:rsidP="00B66DA9" w:rsid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Calibri"/>
          <w:lang w:val="en-US"/>
        </w:rPr>
      </w:pPr>
      <w:r w:rsidRPr="00B66DA9">
        <w:rPr>
          <w:rFonts w:cs="Times New Roman" w:eastAsia="Calibri"/>
          <w:lang w:val="en-US"/>
        </w:rPr>
        <w:t xml:space="preserve">                                                                    </w:t>
      </w:r>
      <w:r w:rsidRPr="00B66DA9">
        <w:rPr>
          <w:rFonts w:cs="Times New Roman" w:eastAsia="Calibri"/>
          <w:b/>
          <w:lang w:val="en-US"/>
        </w:rPr>
        <w:t>- 4-</w:t>
      </w:r>
      <w:r w:rsidRPr="00B66DA9">
        <w:rPr>
          <w:rFonts w:cs="Times New Roman" w:eastAsia="Calibri"/>
          <w:lang w:val="en-US"/>
        </w:rPr>
        <w:t xml:space="preserve">                            </w:t>
      </w:r>
      <w:r w:rsidRPr="00B66DA9">
        <w:rPr>
          <w:rFonts w:cs="Times New Roman" w:eastAsia="Calibri"/>
          <w:b/>
          <w:lang w:val="en-US"/>
        </w:rPr>
        <w:t>Broj: 14. St-337/2011.</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Calibri"/>
          <w:lang w:val="en-US"/>
        </w:rPr>
      </w:pPr>
      <w:r w:rsidRPr="00B66DA9">
        <w:rPr>
          <w:rFonts w:cs="Times New Roman" w:eastAsia="Calibri"/>
          <w:lang w:val="en-US"/>
        </w:rPr>
        <w:t xml:space="preserve">          </w:t>
      </w:r>
      <w:r w:rsidRPr="00B66DA9">
        <w:rPr>
          <w:rFonts w:cs="Times New Roman" w:eastAsia="Calibri"/>
          <w:b/>
          <w:lang w:val="en-US"/>
        </w:rPr>
        <w:t>4.</w:t>
      </w:r>
      <w:r w:rsidRPr="00B66DA9">
        <w:rPr>
          <w:rFonts w:cs="Times New Roman" w:eastAsia="Calibri"/>
          <w:lang w:val="en-US"/>
        </w:rPr>
        <w:t xml:space="preserve">  Člankom 192, SZ, propisano je kako se Završnoj diobi pristupa čim se okonča unovčenje stečajne mase te kako se ista dioba smije poduzeti samo uz suglasnost stečajnog sudca. Člankom 193, SZ, propisano je kako prigodom davanja suglasnosti za Završnu diobu stečajni sudac određuje i Završno ročište vjerovnika na kojem se: raspravlja o Završnom računu stečajnog upravitelja, podnose prigovori na Završni popis i vjerovnici odlučuju o neunovčivim predmetima stečajne mase.</w:t>
      </w:r>
    </w:p>
    <w:p w:rsidRDefault="00B66DA9" w:rsidP="00B66DA9" w:rsidR="00B66DA9" w:rsidRPr="00B66DA9">
      <w:pPr>
        <w:spacing w:after="0"/>
        <w:jc w:val="both"/>
        <w:rPr>
          <w:rFonts w:cs="Times New Roman" w:eastAsia="Calibri"/>
          <w:lang w:val="en-US"/>
        </w:rPr>
      </w:pPr>
    </w:p>
    <w:p w:rsidRDefault="00B66DA9" w:rsidP="00B66DA9" w:rsidR="00B66DA9" w:rsidRPr="00B66DA9">
      <w:pPr>
        <w:spacing w:after="0"/>
        <w:jc w:val="both"/>
        <w:rPr>
          <w:rFonts w:cs="Times New Roman" w:eastAsia="Calibri"/>
          <w:lang w:val="en-US"/>
        </w:rPr>
      </w:pPr>
      <w:r w:rsidRPr="00B66DA9">
        <w:rPr>
          <w:rFonts w:cs="Times New Roman" w:eastAsia="Calibri"/>
          <w:lang w:val="en-US"/>
        </w:rPr>
        <w:t xml:space="preserve">           </w:t>
      </w:r>
      <w:r w:rsidRPr="00B66DA9">
        <w:rPr>
          <w:rFonts w:cs="Times New Roman" w:eastAsia="Calibri"/>
          <w:b/>
          <w:lang w:val="en-US"/>
        </w:rPr>
        <w:t>5.</w:t>
      </w:r>
      <w:r w:rsidRPr="00B66DA9">
        <w:rPr>
          <w:rFonts w:cs="Times New Roman" w:eastAsia="Calibri"/>
          <w:lang w:val="en-US"/>
        </w:rPr>
        <w:t xml:space="preserve">  Kako je unovčena sva materijalna imovina Dužnika a parnica radi naknade štete koja se vodi po tužbi Dužnika može nastaviti i nakon zaključenja stečajnog postupka u ime i za račun stečajne mase, trebalo je odrediti Završnu diobu, radi čega je, temeljem članka 192, SZ, riješeno kao u izreci ovog Rješenja pod točkom 1. Ujedno je trebalo istovremeno odrediti i Završno ročište vjerovnika, radi čega je, temeljem navedenog članka 193, SZ, odlučeno kao u Zaključku. </w:t>
      </w:r>
    </w:p>
    <w:p w:rsidRDefault="00B66DA9" w:rsidP="00B66DA9" w:rsidR="00B66DA9" w:rsidRPr="00B66DA9">
      <w:pPr>
        <w:spacing w:after="0"/>
        <w:jc w:val="both"/>
        <w:rPr>
          <w:rFonts w:cs="Times New Roman" w:eastAsia="Calibri" w:hAnsi="Calibri" w:ascii="Calibri"/>
          <w:lang w:val="en-US"/>
        </w:rPr>
      </w:pPr>
    </w:p>
    <w:p w:rsidRDefault="00B66DA9" w:rsidP="00B66DA9" w:rsidR="00B66DA9" w:rsidRPr="00B66DA9">
      <w:pPr>
        <w:tabs>
          <w:tab w:pos="142" w:val="left"/>
        </w:tabs>
        <w:spacing w:after="0"/>
        <w:jc w:val="both"/>
        <w:rPr>
          <w:rFonts w:cs="Times New Roman" w:eastAsia="Calibri"/>
          <w:lang w:val="en-US"/>
        </w:rPr>
      </w:pPr>
      <w:r w:rsidRPr="00B66DA9">
        <w:rPr>
          <w:rFonts w:cs="Times New Roman" w:eastAsia="Calibri"/>
          <w:lang w:val="en-US"/>
        </w:rPr>
        <w:t xml:space="preserve">          </w:t>
      </w:r>
      <w:r w:rsidRPr="00B66DA9">
        <w:rPr>
          <w:rFonts w:cs="Times New Roman" w:eastAsia="Calibri"/>
          <w:b/>
          <w:lang w:val="en-US"/>
        </w:rPr>
        <w:t>6.</w:t>
      </w:r>
      <w:r w:rsidRPr="00B66DA9">
        <w:rPr>
          <w:rFonts w:cs="Times New Roman" w:eastAsia="Calibri"/>
          <w:lang w:val="en-US"/>
        </w:rPr>
        <w:t xml:space="preserve">  Člankom 184, stavkom 2, SZ, propisano je kako je stečajni upravitelj dužan javno objaviti zbroj tražbina i raspoloživi iznos iz stečajne mase koji će se raspodijeliti vjerovnicima. Po shvaćanju ovog Suda, to se odnosi i na dijelomične diobe i na Završnu diobu. Člankom 193, stavkom 1, točkom 2. i stavkom 3, SZ, propisano je kako se na Završnom ročištu vjerovnika podnose prigovori na Završni popis te kako stečajni sudac rješenjem odlučuje o prigovorima vjerovnika na Završni diobni popis a također je propisano kako na Završnom ročištu vjerovnici odlučuju o neunovčivim predmetima stečajne mase pa je sukladno istim zakonskim odredbama, riješeno kao pod točkom 3. izrijeke ovog Rješenja i točkom I/3. i 4, Zaključka. Sud ističe kako nije odredio objavu Završne diobe u </w:t>
      </w:r>
      <w:r w:rsidRPr="00B66DA9">
        <w:rPr>
          <w:rFonts w:cs="Times New Roman" w:eastAsia="Calibri"/>
          <w:i/>
          <w:lang w:val="en-US"/>
        </w:rPr>
        <w:t>Narodne novine</w:t>
      </w:r>
      <w:r w:rsidRPr="00B66DA9">
        <w:rPr>
          <w:rFonts w:cs="Times New Roman" w:eastAsia="Calibri"/>
          <w:lang w:val="en-US"/>
        </w:rPr>
        <w:t xml:space="preserve"> već se ovo Rješenje sa diobnim popisom dostavlja svim vjerovnicima, što je jeftinije od javne objave u </w:t>
      </w:r>
      <w:r w:rsidRPr="00B66DA9">
        <w:rPr>
          <w:rFonts w:cs="Times New Roman" w:eastAsia="Calibri"/>
          <w:i/>
          <w:lang w:val="en-US"/>
        </w:rPr>
        <w:t>Narodne novine</w:t>
      </w:r>
      <w:r w:rsidRPr="00B66DA9">
        <w:rPr>
          <w:rFonts w:cs="Times New Roman" w:eastAsia="Calibri"/>
          <w:lang w:val="en-US"/>
        </w:rPr>
        <w:t xml:space="preserve"> a pored toga će se isto objaviti i na mrežnoj stranici e-Oglasna ploča sudova što se, također, smatra dostavom svim vjerovnicima. </w:t>
      </w:r>
    </w:p>
    <w:p w:rsidRDefault="00B66DA9" w:rsidP="00B66DA9" w:rsidR="00B66DA9" w:rsidRPr="00B66DA9">
      <w:pPr>
        <w:tabs>
          <w:tab w:pos="142" w:val="left"/>
        </w:tabs>
        <w:spacing w:after="0"/>
        <w:jc w:val="both"/>
        <w:rPr>
          <w:rFonts w:cs="Times New Roman" w:eastAsia="Times New Roman"/>
          <w:lang w:eastAsia="hr-HR"/>
        </w:rPr>
      </w:pPr>
    </w:p>
    <w:p w:rsidRDefault="00B66DA9" w:rsidP="00B66DA9" w:rsidR="00B66DA9" w:rsidRPr="00B66DA9">
      <w:pPr>
        <w:tabs>
          <w:tab w:pos="142" w:val="left"/>
        </w:tabs>
        <w:spacing w:after="0"/>
        <w:jc w:val="both"/>
        <w:rPr>
          <w:rFonts w:cs="Times New Roman" w:eastAsia="Calibri"/>
          <w:lang w:val="en-US"/>
        </w:rPr>
      </w:pPr>
      <w:r w:rsidRPr="00B66DA9">
        <w:rPr>
          <w:rFonts w:cs="Times New Roman" w:eastAsia="Calibri"/>
          <w:lang w:val="en-US"/>
        </w:rPr>
        <w:t xml:space="preserve">         </w:t>
      </w:r>
      <w:r w:rsidRPr="00B66DA9">
        <w:rPr>
          <w:rFonts w:cs="Times New Roman" w:eastAsia="Calibri"/>
          <w:b/>
          <w:lang w:val="en-US"/>
        </w:rPr>
        <w:t>7.</w:t>
      </w:r>
      <w:r w:rsidRPr="00B66DA9">
        <w:rPr>
          <w:rFonts w:cs="Times New Roman" w:eastAsia="Calibri"/>
          <w:lang w:val="en-US"/>
        </w:rPr>
        <w:t xml:space="preserve">  Člankom 193, SZ, propisano je kako se na odluku stečajnog sudca o prigovorima vjerovnika na odgovarajući način primjenjuju odredbe članka 190, stavak 2, 3. i 4, SZ, kojima je propisano kako povodom eventualnog prigovora na Diobeni popis, stečajni sudac rješenjem može odrediti ispravak popisa, kako to proizlazi iz stavka 3, članka 190, SZ a stavkom 4, članka 190, SZ, propisano je kako se djelomičnoj diobi može pristupiti tek po pravomoćnosti rješenja iz stavka 3, članka 190, SZ, što se primjenjuje i na završne diobe. Radi toga je ovaj Sud ovim Rješenjem i odredio kako će se isplata određena ovim </w:t>
      </w:r>
    </w:p>
    <w:p w:rsidRDefault="00B66DA9" w:rsidP="00B66DA9" w:rsidR="00B66DA9" w:rsidRPr="00B66DA9">
      <w:pPr>
        <w:tabs>
          <w:tab w:pos="142" w:val="left"/>
        </w:tabs>
        <w:spacing w:after="0"/>
        <w:jc w:val="both"/>
        <w:rPr>
          <w:rFonts w:cs="Times New Roman" w:eastAsia="Calibri" w:hAnsi="Calibri" w:ascii="Calibri"/>
          <w:lang w:val="en-US"/>
        </w:rPr>
      </w:pPr>
    </w:p>
    <w:p w:rsidRDefault="00B66DA9" w:rsidP="00B66DA9" w:rsidR="00B66DA9" w:rsidRPr="00B66DA9">
      <w:pPr>
        <w:tabs>
          <w:tab w:pos="142" w:val="left"/>
        </w:tabs>
        <w:spacing w:after="0"/>
        <w:jc w:val="both"/>
        <w:rPr>
          <w:rFonts w:cs="Times New Roman" w:eastAsia="Calibri" w:hAnsi="Calibri" w:ascii="Calibri"/>
          <w:lang w:val="en-US"/>
        </w:rPr>
      </w:pPr>
    </w:p>
    <w:p w:rsidRDefault="00B66DA9" w:rsidP="00B66DA9" w:rsidR="00B66DA9" w:rsidRPr="00B66DA9">
      <w:pPr>
        <w:tabs>
          <w:tab w:pos="142" w:val="left"/>
        </w:tabs>
        <w:spacing w:after="0"/>
        <w:jc w:val="both"/>
        <w:rPr>
          <w:rFonts w:cs="Times New Roman" w:eastAsia="Calibri" w:hAnsi="Calibri" w:ascii="Calibri"/>
          <w:lang w:val="en-US"/>
        </w:rPr>
      </w:pPr>
    </w:p>
    <w:p w:rsidRDefault="00B66DA9" w:rsidP="00B66DA9" w:rsidR="00B66DA9">
      <w:pPr>
        <w:tabs>
          <w:tab w:pos="142" w:val="left"/>
        </w:tabs>
        <w:spacing w:after="0"/>
        <w:jc w:val="both"/>
        <w:rPr>
          <w:rFonts w:cs="Times New Roman" w:eastAsia="Calibri" w:hAnsi="Calibri" w:ascii="Calibri"/>
          <w:lang w:val="en-US"/>
        </w:rPr>
      </w:pPr>
    </w:p>
    <w:p w:rsidRDefault="00B66DA9" w:rsidP="00B66DA9" w:rsidR="00B66DA9">
      <w:pPr>
        <w:tabs>
          <w:tab w:pos="142" w:val="left"/>
        </w:tabs>
        <w:spacing w:after="0"/>
        <w:jc w:val="both"/>
        <w:rPr>
          <w:rFonts w:cs="Times New Roman" w:eastAsia="Calibri" w:hAnsi="Calibri" w:ascii="Calibri"/>
          <w:lang w:val="en-US"/>
        </w:rPr>
      </w:pPr>
    </w:p>
    <w:p w:rsidRDefault="00B66DA9" w:rsidP="00B66DA9" w:rsidR="00B66DA9">
      <w:pPr>
        <w:tabs>
          <w:tab w:pos="142" w:val="left"/>
        </w:tabs>
        <w:spacing w:after="0"/>
        <w:jc w:val="both"/>
        <w:rPr>
          <w:rFonts w:cs="Times New Roman" w:eastAsia="Calibri" w:hAnsi="Calibri" w:ascii="Calibri"/>
          <w:lang w:val="en-US"/>
        </w:rPr>
      </w:pPr>
    </w:p>
    <w:p w:rsidRDefault="00B66DA9" w:rsidP="00B66DA9" w:rsidR="00B66DA9">
      <w:pPr>
        <w:tabs>
          <w:tab w:pos="142" w:val="left"/>
        </w:tabs>
        <w:spacing w:after="0"/>
        <w:jc w:val="both"/>
        <w:rPr>
          <w:rFonts w:cs="Times New Roman" w:eastAsia="Calibri" w:hAnsi="Calibri" w:ascii="Calibri"/>
          <w:lang w:val="en-US"/>
        </w:rPr>
      </w:pPr>
    </w:p>
    <w:p w:rsidRDefault="00B66DA9" w:rsidP="00B66DA9" w:rsidR="00B66DA9" w:rsidRPr="00B66DA9">
      <w:pPr>
        <w:tabs>
          <w:tab w:pos="142" w:val="left"/>
        </w:tabs>
        <w:spacing w:after="0"/>
        <w:jc w:val="both"/>
        <w:rPr>
          <w:rFonts w:cs="Times New Roman" w:eastAsia="Calibri" w:hAnsi="Calibri" w:ascii="Calibri"/>
          <w:lang w:val="en-US"/>
        </w:rPr>
      </w:pPr>
    </w:p>
    <w:p w:rsidRDefault="00B66DA9" w:rsidP="00B66DA9" w:rsidR="00B66DA9" w:rsidRPr="00B66DA9">
      <w:pPr>
        <w:tabs>
          <w:tab w:pos="142" w:val="left"/>
        </w:tabs>
        <w:spacing w:after="0"/>
        <w:jc w:val="both"/>
        <w:rPr>
          <w:rFonts w:cs="Times New Roman" w:eastAsia="Calibri" w:hAnsi="Calibri" w:ascii="Calibri"/>
          <w:lang w:val="en-US"/>
        </w:rPr>
      </w:pPr>
    </w:p>
    <w:p w:rsidRDefault="00B66DA9" w:rsidP="00B66DA9" w:rsidR="00B66DA9" w:rsidRPr="00B66DA9">
      <w:pPr>
        <w:tabs>
          <w:tab w:pos="142" w:val="left"/>
        </w:tabs>
        <w:spacing w:after="0"/>
        <w:jc w:val="both"/>
        <w:rPr>
          <w:rFonts w:cs="Times New Roman" w:eastAsia="Calibri" w:hAnsi="Calibri" w:ascii="Calibri"/>
          <w:lang w:val="en-US"/>
        </w:rPr>
      </w:pPr>
    </w:p>
    <w:p w:rsidRDefault="00B66DA9" w:rsidP="00B66DA9" w:rsidR="00B66DA9" w:rsidRPr="00B66DA9">
      <w:pPr>
        <w:spacing w:after="0"/>
        <w:jc w:val="both"/>
        <w:rPr>
          <w:rFonts w:cs="Times New Roman" w:eastAsia="Calibri"/>
          <w:lang w:val="en-US"/>
        </w:rPr>
      </w:pPr>
      <w:r w:rsidRPr="00B66DA9">
        <w:rPr>
          <w:rFonts w:cs="Times New Roman" w:eastAsia="Calibri"/>
          <w:lang w:val="en-US"/>
        </w:rPr>
        <w:t xml:space="preserve">                                                                    </w:t>
      </w:r>
      <w:r w:rsidRPr="00B66DA9">
        <w:rPr>
          <w:rFonts w:cs="Times New Roman" w:eastAsia="Calibri"/>
          <w:b/>
          <w:lang w:val="en-US"/>
        </w:rPr>
        <w:t>- 5-</w:t>
      </w:r>
      <w:r w:rsidRPr="00B66DA9">
        <w:rPr>
          <w:rFonts w:cs="Times New Roman" w:eastAsia="Calibri"/>
          <w:lang w:val="en-US"/>
        </w:rPr>
        <w:t xml:space="preserve">                            </w:t>
      </w:r>
      <w:r w:rsidRPr="00B66DA9">
        <w:rPr>
          <w:rFonts w:cs="Times New Roman" w:eastAsia="Calibri"/>
          <w:b/>
          <w:lang w:val="en-US"/>
        </w:rPr>
        <w:t>Broj: 14. St-337/2011.</w:t>
      </w:r>
    </w:p>
    <w:p w:rsidRDefault="00B66DA9" w:rsidP="00B66DA9" w:rsidR="00B66DA9" w:rsidRPr="00B66DA9">
      <w:pPr>
        <w:tabs>
          <w:tab w:pos="142" w:val="left"/>
        </w:tabs>
        <w:spacing w:after="0"/>
        <w:jc w:val="both"/>
        <w:rPr>
          <w:rFonts w:cs="Times New Roman" w:eastAsia="Calibri"/>
          <w:lang w:val="en-US"/>
        </w:rPr>
      </w:pPr>
    </w:p>
    <w:p w:rsidRDefault="00B66DA9" w:rsidP="00B66DA9" w:rsidR="00B66DA9" w:rsidRPr="00B66DA9">
      <w:pPr>
        <w:tabs>
          <w:tab w:pos="142" w:val="left"/>
        </w:tabs>
        <w:spacing w:after="0"/>
        <w:jc w:val="both"/>
        <w:rPr>
          <w:rFonts w:cs="Times New Roman" w:eastAsia="Calibri"/>
          <w:lang w:val="en-US"/>
        </w:rPr>
      </w:pPr>
    </w:p>
    <w:p w:rsidRDefault="00B66DA9" w:rsidP="00B66DA9" w:rsidR="00B66DA9" w:rsidRPr="00B66DA9">
      <w:pPr>
        <w:tabs>
          <w:tab w:pos="142" w:val="left"/>
        </w:tabs>
        <w:spacing w:after="0"/>
        <w:jc w:val="both"/>
        <w:rPr>
          <w:rFonts w:cs="Times New Roman" w:eastAsia="Calibri"/>
          <w:lang w:val="en-US"/>
        </w:rPr>
      </w:pPr>
    </w:p>
    <w:p w:rsidRDefault="00B66DA9" w:rsidP="00B66DA9" w:rsidR="00B66DA9" w:rsidRPr="00B66DA9">
      <w:pPr>
        <w:tabs>
          <w:tab w:pos="142" w:val="left"/>
        </w:tabs>
        <w:spacing w:after="0"/>
        <w:jc w:val="both"/>
        <w:rPr>
          <w:rFonts w:cs="Times New Roman" w:eastAsia="Calibri"/>
          <w:lang w:val="en-US"/>
        </w:rPr>
      </w:pPr>
      <w:r w:rsidRPr="00B66DA9">
        <w:rPr>
          <w:rFonts w:cs="Times New Roman" w:eastAsia="Calibri"/>
          <w:lang w:val="en-US"/>
        </w:rPr>
        <w:t>Rješenjem provesti nakon pravomoćnosti točke 1. izrijeke Rješenja koje u sebi sadrži i Završni diobni popis, što će biti nakon održanoga Završnog ročišta vjerovnika, kako je to i navedeno i riješeno točkom 2, izrijeke ovog Rješenja.</w:t>
      </w:r>
    </w:p>
    <w:p w:rsidRDefault="00B66DA9" w:rsidP="00B66DA9" w:rsidR="00B66DA9" w:rsidRPr="00B66DA9">
      <w:pPr>
        <w:tabs>
          <w:tab w:pos="142" w:val="left"/>
        </w:tabs>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 xml:space="preserve">         </w:t>
      </w:r>
      <w:r w:rsidRPr="00B66DA9">
        <w:rPr>
          <w:rFonts w:cs="Times New Roman" w:eastAsia="Times New Roman"/>
          <w:b/>
          <w:lang w:eastAsia="hr-HR"/>
        </w:rPr>
        <w:t>8.</w:t>
      </w:r>
      <w:r w:rsidRPr="00B66DA9">
        <w:rPr>
          <w:rFonts w:cs="Times New Roman" w:eastAsia="Times New Roman"/>
          <w:lang w:eastAsia="hr-HR"/>
        </w:rPr>
        <w:t xml:space="preserve">  Radi svega izloženog i temeljem navedenih odredaba pozitivnih propisa, riješeno je kao u izrijeci.</w:t>
      </w:r>
    </w:p>
    <w:p w:rsidRDefault="00B66DA9" w:rsidP="00B66DA9" w:rsidR="00B66DA9" w:rsidRPr="00B66DA9">
      <w:pPr>
        <w:tabs>
          <w:tab w:pos="-1843" w:val="left"/>
        </w:tabs>
        <w:spacing w:after="0"/>
        <w:rPr>
          <w:rFonts w:cs="Times New Roman" w:eastAsia="Times New Roman"/>
          <w:lang w:eastAsia="hr-HR"/>
        </w:rPr>
      </w:pPr>
    </w:p>
    <w:p w:rsidRDefault="00B66DA9" w:rsidP="00B66DA9" w:rsidR="00B66DA9" w:rsidRPr="00B66DA9">
      <w:pPr>
        <w:tabs>
          <w:tab w:pos="-1843" w:val="left"/>
        </w:tabs>
        <w:spacing w:after="0"/>
        <w:jc w:val="center"/>
        <w:rPr>
          <w:rFonts w:cs="Times New Roman" w:eastAsia="Times New Roman"/>
          <w:lang w:eastAsia="hr-HR"/>
        </w:rPr>
      </w:pPr>
      <w:r w:rsidRPr="00B66DA9">
        <w:rPr>
          <w:rFonts w:cs="Times New Roman" w:eastAsia="Times New Roman"/>
          <w:lang w:eastAsia="hr-HR"/>
        </w:rPr>
        <w:t>Split, 06. studenog 2017.</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 xml:space="preserve">                                                                                                                        </w:t>
      </w:r>
    </w:p>
    <w:p w:rsidRDefault="00B66DA9" w:rsidP="00B66DA9" w:rsidR="00B66DA9" w:rsidRPr="00B66DA9">
      <w:pPr>
        <w:spacing w:after="0"/>
        <w:ind w:left="142"/>
        <w:jc w:val="both"/>
        <w:rPr>
          <w:rFonts w:cs="Times New Roman" w:eastAsia="Times New Roman"/>
          <w:lang w:eastAsia="hr-HR"/>
        </w:rPr>
      </w:pPr>
      <w:r w:rsidRPr="00B66DA9">
        <w:rPr>
          <w:rFonts w:cs="Times New Roman" w:eastAsia="Times New Roman"/>
          <w:lang w:eastAsia="hr-HR"/>
        </w:rPr>
        <w:t xml:space="preserve">                                                                                                    STEČAJNI SUDAC:</w:t>
      </w:r>
    </w:p>
    <w:p w:rsidRDefault="00B66DA9" w:rsidP="00B66DA9" w:rsidR="00B66DA9" w:rsidRPr="00B66DA9">
      <w:pPr>
        <w:spacing w:after="0"/>
        <w:ind w:left="142"/>
        <w:jc w:val="both"/>
        <w:rPr>
          <w:rFonts w:cs="Times New Roman" w:eastAsia="Times New Roman"/>
          <w:lang w:eastAsia="hr-HR"/>
        </w:rPr>
      </w:pPr>
      <w:r w:rsidRPr="00B66DA9">
        <w:rPr>
          <w:rFonts w:cs="Times New Roman" w:eastAsia="Times New Roman"/>
          <w:lang w:eastAsia="hr-HR"/>
        </w:rPr>
        <w:t xml:space="preserve">                                                                                                         Jozo Ćaleta, v.r.,</w:t>
      </w:r>
    </w:p>
    <w:p w:rsidRDefault="00B66DA9" w:rsidP="00B66DA9" w:rsidR="00B66DA9" w:rsidRPr="00B66DA9">
      <w:pPr>
        <w:tabs>
          <w:tab w:pos="142" w:val="left"/>
        </w:tabs>
        <w:spacing w:after="0"/>
        <w:jc w:val="both"/>
        <w:rPr>
          <w:rFonts w:cs="Times New Roman" w:eastAsia="Times New Roman"/>
          <w:u w:val="single"/>
          <w:lang w:eastAsia="hr-HR"/>
        </w:rPr>
      </w:pPr>
    </w:p>
    <w:p w:rsidRDefault="00B66DA9" w:rsidP="00B66DA9" w:rsidR="00B66DA9" w:rsidRPr="00B66DA9">
      <w:pPr>
        <w:tabs>
          <w:tab w:pos="142" w:val="left"/>
        </w:tabs>
        <w:spacing w:after="0"/>
        <w:jc w:val="both"/>
        <w:rPr>
          <w:rFonts w:cs="Times New Roman" w:eastAsia="Times New Roman"/>
          <w:u w:val="single"/>
          <w:lang w:eastAsia="hr-HR"/>
        </w:rPr>
      </w:pPr>
    </w:p>
    <w:p w:rsidRDefault="00B66DA9" w:rsidP="00B66DA9" w:rsidR="00B66DA9" w:rsidRPr="00B66DA9">
      <w:pPr>
        <w:tabs>
          <w:tab w:pos="142" w:val="left"/>
        </w:tabs>
        <w:spacing w:after="0"/>
        <w:jc w:val="both"/>
        <w:rPr>
          <w:rFonts w:cs="Times New Roman" w:eastAsia="Times New Roman"/>
          <w:lang w:eastAsia="hr-HR"/>
        </w:rPr>
      </w:pPr>
      <w:r w:rsidRPr="00B66DA9">
        <w:rPr>
          <w:rFonts w:cs="Times New Roman" w:eastAsia="Times New Roman"/>
          <w:u w:val="single"/>
          <w:lang w:eastAsia="hr-HR"/>
        </w:rPr>
        <w:t>Pravna pouka</w:t>
      </w:r>
      <w:r w:rsidRPr="00B66DA9">
        <w:rPr>
          <w:rFonts w:cs="Times New Roman" w:eastAsia="Times New Roman"/>
          <w:lang w:eastAsia="hr-HR"/>
        </w:rPr>
        <w:t xml:space="preserve">: Protiv Diobenog popisa iz točke 1, izrijeke Rješenja može se izjaviti prigovor Stečajnom sudcu i to najkasnije na Završnom ročištu vjerovnika. Protiv ostalog dijela Rješenja se može izjaviti žalba u roku od osam (8) dana i to ovom Sudu u tri primjerka a o žalbi u drugom stupnju odlučuje Visoki trgovački sud Republike Hrvatske u Zagrebu. </w:t>
      </w:r>
    </w:p>
    <w:p w:rsidRDefault="00B66DA9" w:rsidP="00B66DA9" w:rsidR="00B66DA9" w:rsidRPr="00B66DA9">
      <w:pPr>
        <w:tabs>
          <w:tab w:pos="142" w:val="left"/>
        </w:tabs>
        <w:spacing w:after="0"/>
        <w:jc w:val="both"/>
        <w:rPr>
          <w:rFonts w:cs="Times New Roman" w:eastAsia="Times New Roman"/>
          <w:lang w:eastAsia="hr-HR"/>
        </w:rPr>
      </w:pPr>
      <w:r w:rsidRPr="00B66DA9">
        <w:rPr>
          <w:rFonts w:cs="Times New Roman" w:eastAsia="Times New Roman"/>
          <w:lang w:eastAsia="hr-HR"/>
        </w:rPr>
        <w:t>Protiv Zaključka nije dopušten pravni lijek.</w:t>
      </w:r>
    </w:p>
    <w:p w:rsidRDefault="00B66DA9" w:rsidP="00B66DA9" w:rsidR="00B66DA9" w:rsidRPr="00B66DA9">
      <w:pPr>
        <w:spacing w:after="0"/>
        <w:rPr>
          <w:rFonts w:cs="Times New Roman" w:eastAsia="Times New Roman"/>
          <w:lang w:eastAsia="hr-HR"/>
        </w:rPr>
      </w:pPr>
    </w:p>
    <w:p w:rsidRDefault="00B66DA9" w:rsidP="00B66DA9" w:rsidR="00B66DA9" w:rsidRPr="00B66DA9">
      <w:pPr>
        <w:spacing w:after="0"/>
        <w:rPr>
          <w:rFonts w:cs="Times New Roman" w:eastAsia="Times New Roman"/>
          <w:lang w:eastAsia="hr-HR"/>
        </w:rPr>
      </w:pPr>
    </w:p>
    <w:p w:rsidRDefault="00B66DA9" w:rsidP="00B66DA9" w:rsidR="00B66DA9" w:rsidRPr="00B66DA9">
      <w:pPr>
        <w:spacing w:after="0"/>
        <w:rPr>
          <w:rFonts w:cs="Times New Roman" w:eastAsia="Times New Roman"/>
          <w:lang w:eastAsia="hr-HR"/>
        </w:rPr>
      </w:pPr>
      <w:r w:rsidRPr="00B66DA9">
        <w:rPr>
          <w:rFonts w:cs="Times New Roman" w:eastAsia="Times New Roman"/>
          <w:u w:val="single"/>
          <w:lang w:eastAsia="hr-HR"/>
        </w:rPr>
        <w:t>DNA:</w:t>
      </w:r>
      <w:r w:rsidRPr="00B66DA9">
        <w:rPr>
          <w:rFonts w:cs="Times New Roman" w:eastAsia="Times New Roman"/>
          <w:lang w:eastAsia="hr-HR"/>
        </w:rPr>
        <w:t xml:space="preserve">   1.  Stečajni upravitelj Dean Prelević, iz Splita, Požeška 8,</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2. GENERALI OSIGURANJE, d.d., Zagreb, Bani 110,</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3. SOKOL MARIĆ, d.o.o., Zagreb, Trg Republike Hrvatske 8/II,</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4. Odvjetnik Darko Medak, Split, Ljudevita Posavskog 12,</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5. ZRAČNA LUKA SPLIT d.o.o. za usluge u zračnom prometu, 21217 Kaštel Štafilić,</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Cesta dr. Franje Tuđmana 96,</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6. UHY HB EKONOM d.o.o. za reviziju, Split, Hrvatske mornarice1h,</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7. ELEKTRODALMACIJA SPLIT, Split, Poljička cesta 73,</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 xml:space="preserve">8. Slavica Čupić, odvjetnica, Split, Bihaćka 2A/IV, kao pun. vjerovnika </w:t>
      </w:r>
    </w:p>
    <w:p w:rsidRDefault="00B66DA9" w:rsidP="00B66DA9" w:rsidR="00B66DA9" w:rsidRPr="00B66DA9">
      <w:pPr>
        <w:tabs>
          <w:tab w:pos="8280" w:leader="hyphen" w:val="right"/>
        </w:tabs>
        <w:spacing w:after="0"/>
        <w:rPr>
          <w:rFonts w:cs="Times New Roman" w:eastAsia="Times New Roman"/>
          <w:lang w:eastAsia="hr-HR"/>
        </w:rPr>
      </w:pPr>
      <w:r w:rsidRPr="00B66DA9">
        <w:rPr>
          <w:rFonts w:cs="Times New Roman" w:eastAsia="Times New Roman"/>
          <w:lang w:eastAsia="hr-HR"/>
        </w:rPr>
        <w:t xml:space="preserve">    PODUZEĆE ZA CESTE SPLIT, d.d.,</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9. GRAD SPLIT, Split, Branimirova obala 17,</w:t>
      </w:r>
    </w:p>
    <w:p w:rsidRDefault="00B66DA9" w:rsidP="00B66DA9" w:rsidR="00B66DA9" w:rsidRPr="00B66DA9">
      <w:pPr>
        <w:spacing w:after="0"/>
        <w:jc w:val="both"/>
        <w:rPr>
          <w:rFonts w:cs="Times New Roman" w:eastAsia="Calibri"/>
          <w:lang w:val="en-US"/>
        </w:rPr>
      </w:pPr>
      <w:r w:rsidRPr="00B66DA9">
        <w:rPr>
          <w:rFonts w:cs="Times New Roman" w:eastAsia="Calibri" w:hAnsi="Calibri" w:ascii="Calibri"/>
          <w:lang w:val="en-US"/>
        </w:rPr>
        <w:t xml:space="preserve">10. </w:t>
      </w:r>
      <w:r w:rsidRPr="00B66DA9">
        <w:rPr>
          <w:rFonts w:cs="Times New Roman" w:eastAsia="Calibri"/>
          <w:lang w:val="en-US"/>
        </w:rPr>
        <w:t>Ivo Staničić, odvjetnik u Splitu, I. Gundulića 26 A, kao punomoćnik vjerovnika:</w:t>
      </w:r>
    </w:p>
    <w:p w:rsidRDefault="00B66DA9" w:rsidP="00B66DA9" w:rsidR="00B66DA9" w:rsidRPr="00B66DA9">
      <w:pPr>
        <w:spacing w:after="0"/>
        <w:jc w:val="both"/>
        <w:rPr>
          <w:rFonts w:cs="Times New Roman" w:eastAsia="Calibri"/>
          <w:lang w:val="en-US"/>
        </w:rPr>
      </w:pPr>
      <w:r w:rsidRPr="00B66DA9">
        <w:rPr>
          <w:rFonts w:cs="Times New Roman" w:eastAsia="Calibri"/>
          <w:lang w:val="en-US"/>
        </w:rPr>
        <w:t xml:space="preserve">       Reiffeisenbank Austria, d.d., Zagreb, </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 xml:space="preserve">11.  e-Oglasna ploča Suda – rok do: </w:t>
      </w:r>
      <w:r w:rsidR="00BF0E70">
        <w:rPr>
          <w:rFonts w:cs="Times New Roman" w:eastAsia="Times New Roman"/>
          <w:lang w:eastAsia="hr-HR"/>
        </w:rPr>
        <w:t xml:space="preserve">15. prosinca </w:t>
      </w:r>
      <w:r w:rsidRPr="00B66DA9">
        <w:rPr>
          <w:rFonts w:cs="Times New Roman" w:eastAsia="Times New Roman"/>
          <w:lang w:eastAsia="hr-HR"/>
        </w:rPr>
        <w:t>2017,</w:t>
      </w:r>
    </w:p>
    <w:p w:rsidRDefault="00B66DA9" w:rsidP="00B66DA9" w:rsidR="00B66DA9" w:rsidRPr="00B66DA9">
      <w:pPr>
        <w:spacing w:after="0"/>
        <w:jc w:val="both"/>
        <w:rPr>
          <w:rFonts w:cs="Times New Roman" w:eastAsia="Times New Roman"/>
          <w:lang w:eastAsia="hr-HR"/>
        </w:rPr>
      </w:pPr>
      <w:r w:rsidRPr="00B66DA9">
        <w:rPr>
          <w:rFonts w:cs="Times New Roman" w:eastAsia="Times New Roman"/>
          <w:lang w:eastAsia="hr-HR"/>
        </w:rPr>
        <w:t>12.  Spis.</w:t>
      </w:r>
    </w:p>
    <w:p w:rsidRDefault="00B66DA9" w:rsidP="00B66DA9" w:rsidR="00B66DA9" w:rsidRPr="00B66DA9">
      <w:pPr>
        <w:spacing w:after="0"/>
        <w:jc w:val="both"/>
        <w:rPr>
          <w:rFonts w:cs="Times New Roman" w:eastAsia="Times New Roman"/>
          <w:lang w:eastAsia="hr-HR"/>
        </w:rPr>
      </w:pPr>
    </w:p>
    <w:p w:rsidRDefault="00B66DA9" w:rsidP="00B66DA9" w:rsidR="00B66DA9" w:rsidRPr="00B66DA9">
      <w:pPr>
        <w:spacing w:after="0"/>
        <w:jc w:val="both"/>
        <w:rPr>
          <w:rFonts w:cs="Times New Roman" w:eastAsia="Times New Roman"/>
          <w:lang w:eastAsia="hr-HR"/>
        </w:rPr>
      </w:pPr>
    </w:p>
    <w:p w:rsidRDefault="00B66DA9" w:rsidP="00B66DA9" w:rsidR="00AE649C" w:rsidRPr="00B76F3C">
      <w:pPr>
        <w:spacing w:after="0"/>
        <w:jc w:val="both"/>
      </w:pPr>
      <w:r w:rsidRPr="00B66DA9">
        <w:rPr>
          <w:rFonts w:cs="Times New Roman" w:eastAsia="Times New Roman"/>
          <w:lang w:eastAsia="hr-HR"/>
        </w:rPr>
        <w:t>Split, 06. studenog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6DA9"/>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0E70"/>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14968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St-337/2011-256</izvorni_sadrzaj>
    <derivirana_varijabla naziv="DomainObject.Oznaka_1">St-337/2011-256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2011.</izvorni_sadrzaj>
    <derivirana_varijabla naziv="DomainObject.Predmet.DatumOsnivanja_1">12.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St-337/2011</izvorni_sadrzaj>
    <derivirana_varijabla naziv="DomainObject.Predmet.OznakaBroj_1">St-337/2011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PROPERTY PROSPECTS - NEKRETNINE d.o.o. za poslovanje nekretninama "u stečaju"</izvorni_sadrzaj>
    <derivirana_varijabla naziv="DomainObject.Predmet.ProtustrankaFormated_1">  EURO PROPERTY PROSPECTS - NEKRETNINE d.o.o. za poslovanje nekretninama "u stečaju"</derivirana_varijabla>
  </DomainObject.Predmet.ProtustrankaFormated>
  <DomainObject.Predmet.ProtustrankaFormatedOIB>
    <izvorni_sadrzaj>  EURO PROPERTY PROSPECTS - NEKRETNINE d.o.o. za poslovanje nekretninama "u stečaju", OIB 45095319801</izvorni_sadrzaj>
    <derivirana_varijabla naziv="DomainObject.Predmet.ProtustrankaFormatedOIB_1">  EURO PROPERTY PROSPECTS - NEKRETNINE d.o.o. za poslovanje nekretninama "u stečaju", OIB 45095319801</derivirana_varijabla>
  </DomainObject.Predmet.ProtustrankaFormatedOIB>
  <DomainObject.Predmet.ProtustrankaFormatedWithAdress>
    <izvorni_sadrzaj> EURO PROPERTY PROSPECTS - NEKRETNINE d.o.o. za poslovanje nekretninama "u stečaju", Hrvatske mornarice 1/H, 21000 Split</izvorni_sadrzaj>
    <derivirana_varijabla naziv="DomainObject.Predmet.ProtustrankaFormatedWithAdress_1"> EURO PROPERTY PROSPECTS - NEKRETNINE d.o.o. za poslovanje nekretninama "u stečaju", Hrvatske mornarice 1/H, 21000 Split</derivirana_varijabla>
  </DomainObject.Predmet.ProtustrankaFormatedWithAdress>
  <DomainObject.Predmet.ProtustrankaFormatedWithAdressOIB>
    <izvorni_sadrzaj> EURO PROPERTY PROSPECTS - NEKRETNINE d.o.o. za poslovanje nekretninama "u stečaju", OIB 45095319801, Hrvatske mornarice 1/H, 21000 Split</izvorni_sadrzaj>
    <derivirana_varijabla naziv="DomainObject.Predmet.ProtustrankaFormatedWithAdressOIB_1"> EURO PROPERTY PROSPECTS - NEKRETNINE d.o.o. za poslovanje nekretninama "u stečaju", OIB 45095319801, Hrvatske mornarice 1/H, 21000 Split</derivirana_varijabla>
  </DomainObject.Predmet.ProtustrankaFormatedWithAdressOIB>
  <DomainObject.Predmet.ProtustrankaWithAdress>
    <izvorni_sadrzaj>EURO PROPERTY PROSPECTS - NEKRETNINE d.o.o. za poslovanje nekretninama "u stečaju" Hrvatske mornarice 1/H, 21000 Split</izvorni_sadrzaj>
    <derivirana_varijabla naziv="DomainObject.Predmet.ProtustrankaWithAdress_1">EURO PROPERTY PROSPECTS - NEKRETNINE d.o.o. za poslovanje nekretninama "u stečaju" Hrvatske mornarice 1/H, 21000 Split</derivirana_varijabla>
  </DomainObject.Predmet.ProtustrankaWithAdress>
  <DomainObject.Predmet.ProtustrankaWithAdressOIB>
    <izvorni_sadrzaj>EURO PROPERTY PROSPECTS - NEKRETNINE d.o.o. za poslovanje nekretninama "u stečaju", OIB 45095319801, Hrvatske mornarice 1/H, 21000 Split</izvorni_sadrzaj>
    <derivirana_varijabla naziv="DomainObject.Predmet.ProtustrankaWithAdressOIB_1">EURO PROPERTY PROSPECTS - NEKRETNINE d.o.o. za poslovanje nekretninama "u stečaju", OIB 45095319801, Hrvatske mornarice 1/H, 21000 Split</derivirana_varijabla>
  </DomainObject.Predmet.ProtustrankaWithAdressOIB>
  <DomainObject.Predmet.ProtustrankaNazivFormated>
    <izvorni_sadrzaj>EURO PROPERTY PROSPECTS - NEKRETNINE d.o.o. za poslovanje nekretninama "u stečaju"</izvorni_sadrzaj>
    <derivirana_varijabla naziv="DomainObject.Predmet.ProtustrankaNazivFormated_1">EURO PROPERTY PROSPECTS - NEKRETNINE d.o.o. za poslovanje nekretninama "u stečaju"</derivirana_varijabla>
  </DomainObject.Predmet.ProtustrankaNazivFormated>
  <DomainObject.Predmet.ProtustrankaNazivFormatedOIB>
    <izvorni_sadrzaj>EURO PROPERTY PROSPECTS - NEKRETNINE d.o.o. za poslovanje nekretninama "u stečaju", OIB 45095319801</izvorni_sadrzaj>
    <derivirana_varijabla naziv="DomainObject.Predmet.ProtustrankaNazivFormatedOIB_1">EURO PROPERTY PROSPECTS - NEKRETNINE d.o.o. za poslovanje nekretninama "u stečaju", OIB 45095319801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EURO PROPERTY PROSPECTS - NEKRETNINE d.o.o. za poslovanje nekretninama "u stečaju"</item>
    </izvorni_sadrzaj>
    <derivirana_varijabla naziv="DomainObject.Predmet.ProtuStrankaListFormated_1">
      <item>EURO PROPERTY PROSPECTS - NEKRETNINE d.o.o. za poslovanje nekretninama "u stečaju"</item>
    </derivirana_varijabla>
  </DomainObject.Predmet.ProtuStrankaListFormated>
  <DomainObject.Predmet.ProtuStrankaListFormatedOIB>
    <izvorni_sadrzaj>
      <item>EURO PROPERTY PROSPECTS - NEKRETNINE d.o.o. za poslovanje nekretninama "u stečaju", OIB 45095319801</item>
    </izvorni_sadrzaj>
    <derivirana_varijabla naziv="DomainObject.Predmet.ProtuStrankaListFormatedOIB_1">
      <item>EURO PROPERTY PROSPECTS - NEKRETNINE d.o.o. za poslovanje nekretninama "u stečaju", OIB 45095319801</item>
    </derivirana_varijabla>
  </DomainObject.Predmet.ProtuStrankaListFormatedOIB>
  <DomainObject.Predmet.ProtuStrankaListFormatedWithAdress>
    <izvorni_sadrzaj>
      <item>EURO PROPERTY PROSPECTS - NEKRETNINE d.o.o. za poslovanje nekretninama "u stečaju", Hrvatske mornarice 1/H, 21000 Split</item>
    </izvorni_sadrzaj>
    <derivirana_varijabla naziv="DomainObject.Predmet.ProtuStrankaListFormatedWithAdress_1">
      <item>EURO PROPERTY PROSPECTS - NEKRETNINE d.o.o. za poslovanje nekretninama "u stečaju", Hrvatske mornarice 1/H, 21000 Split</item>
    </derivirana_varijabla>
  </DomainObject.Predmet.ProtuStrankaListFormatedWithAdress>
  <DomainObject.Predmet.ProtuStrankaListFormatedWithAdressOIB>
    <izvorni_sadrzaj>
      <item>EURO PROPERTY PROSPECTS - NEKRETNINE d.o.o. za poslovanje nekretninama "u stečaju", OIB 45095319801, Hrvatske mornarice 1/H, 21000 Split</item>
    </izvorni_sadrzaj>
    <derivirana_varijabla naziv="DomainObject.Predmet.ProtuStrankaListFormatedWithAdressOIB_1">
      <item>EURO PROPERTY PROSPECTS - NEKRETNINE d.o.o. za poslovanje nekretninama "u stečaju", OIB 45095319801, Hrvatske mornarice 1/H, 21000 Split</item>
    </derivirana_varijabla>
  </DomainObject.Predmet.ProtuStrankaListFormatedWithAdressOIB>
  <DomainObject.Predmet.ProtuStrankaListNazivFormated>
    <izvorni_sadrzaj>
      <item>EURO PROPERTY PROSPECTS - NEKRETNINE d.o.o. za poslovanje nekretninama "u stečaju"</item>
    </izvorni_sadrzaj>
    <derivirana_varijabla naziv="DomainObject.Predmet.ProtuStrankaListNazivFormated_1">
      <item>EURO PROPERTY PROSPECTS - NEKRETNINE d.o.o. za poslovanje nekretninama "u stečaju"</item>
    </derivirana_varijabla>
  </DomainObject.Predmet.ProtuStrankaListNazivFormated>
  <DomainObject.Predmet.ProtuStrankaListNazivFormatedOIB>
    <izvorni_sadrzaj>
      <item>EURO PROPERTY PROSPECTS - NEKRETNINE d.o.o. za poslovanje nekretninama "u stečaju", OIB 45095319801</item>
    </izvorni_sadrzaj>
    <derivirana_varijabla naziv="DomainObject.Predmet.ProtuStrankaListNazivFormatedOIB_1">
      <item>EURO PROPERTY PROSPECTS - NEKRETNINE d.o.o. za poslovanje nekretninama "u stečaju", OIB 45095319801</item>
    </derivirana_varijabla>
  </DomainObject.Predmet.ProtuStrankaListNazivFormatedOIB>
  <DomainObject.Predmet.OstaliListFormated>
    <izvorni_sadrzaj>
      <item>Dean Prelević</item>
    </izvorni_sadrzaj>
    <derivirana_varijabla naziv="DomainObject.Predmet.OstaliListFormated_1">
      <item>Dean Prelević</item>
    </derivirana_varijabla>
  </DomainObject.Predmet.OstaliListFormated>
  <DomainObject.Predmet.OstaliListFormatedOIB>
    <izvorni_sadrzaj>
      <item>Dean Prelević, OIB 10098946497</item>
    </izvorni_sadrzaj>
    <derivirana_varijabla naziv="DomainObject.Predmet.OstaliListFormatedOIB_1">
      <item>Dean Prelević, OIB 10098946497</item>
    </derivirana_varijabla>
  </DomainObject.Predmet.OstaliListFormatedOIB>
  <DomainObject.Predmet.OstaliListFormatedWithAdress>
    <izvorni_sadrzaj>
      <item>Dean Prelević, Požeška 8, 21000 Split</item>
    </izvorni_sadrzaj>
    <derivirana_varijabla naziv="DomainObject.Predmet.OstaliListFormatedWithAdress_1">
      <item>Dean Prelević, Požeška 8, 21000 Split</item>
    </derivirana_varijabla>
  </DomainObject.Predmet.OstaliListFormatedWithAdress>
  <DomainObject.Predmet.OstaliListFormatedWithAdressOIB>
    <izvorni_sadrzaj>
      <item>Dean Prelević, OIB 10098946497, Požeška 8, 21000 Split</item>
    </izvorni_sadrzaj>
    <derivirana_varijabla naziv="DomainObject.Predmet.OstaliListFormatedWithAdressOIB_1">
      <item>Dean Prelević, OIB 10098946497, Požeška 8, 21000 Split</item>
    </derivirana_varijabla>
  </DomainObject.Predmet.OstaliListFormatedWithAdressOIB>
  <DomainObject.Predmet.OstaliListNazivFormated>
    <izvorni_sadrzaj>
      <item>Dean Prelević</item>
    </izvorni_sadrzaj>
    <derivirana_varijabla naziv="DomainObject.Predmet.OstaliListNazivFormated_1">
      <item>Dean Prelević</item>
    </derivirana_varijabla>
  </DomainObject.Predmet.OstaliListNazivFormated>
  <DomainObject.Predmet.OstaliListNazivFormatedOIB>
    <izvorni_sadrzaj>
      <item>Dean Prelević, OIB 10098946497</item>
    </izvorni_sadrzaj>
    <derivirana_varijabla naziv="DomainObject.Predmet.OstaliListNazivFormatedOIB_1">
      <item>Dean Prelević, OIB 10098946497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St-337/2011-256</izvorni_sadrzaj>
    <derivirana_varijabla naziv="DomainObject.PoslovniBrojDokumenta_1">St-337/2011-256</derivirana_varijabla>
  </DomainObject.PoslovniBrojDokumenta>
  <DomainObject.Predmet.StrankaIDrugi>
    <izvorni_sadrzaj/>
    <derivirana_varijabla naziv="DomainObject.Predmet.StrankaIDrugi_1"/>
  </DomainObject.Predmet.StrankaIDrugi>
  <DomainObject.Predmet.ProtustrankaIDrugi>
    <izvorni_sadrzaj>EURO PROPERTY PROSPECTS - NEKRETNINE d.o.o. za poslovanje nekretninama "u stečaju"</izvorni_sadrzaj>
    <derivirana_varijabla naziv="DomainObject.Predmet.ProtustrankaIDrugi_1">EURO PROPERTY PROSPECTS - NEKRETNINE d.o.o. za poslovanje nekretninama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EURO PROPERTY PROSPECTS - NEKRETNINE d.o.o. za poslovanje nekretninama "u stečaju", OIB 45095319801, Hrvatske mornarice 1/H, 21000 Split</izvorni_sadrzaj>
    <derivirana_varijabla naziv="DomainObject.Predmet.ProtustrankaIDrugiAdressOIB_1">EURO PROPERTY PROSPECTS - NEKRETNINE d.o.o. za poslovanje nekretninama "u stečaju", OIB 45095319801, Hrvatske mornarice 1/H,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PROPERTY PROSPECTS - NEKRETNINE d.o.o. za poslovanje nekretninama "u stečaju"</item>
      <item>Dean Prelević</item>
    </izvorni_sadrzaj>
    <derivirana_varijabla naziv="DomainObject.Predmet.SudioniciListNaziv_1">
      <item>EURO PROPERTY PROSPECTS - NEKRETNINE d.o.o. za poslovanje nekretninama "u stečaju"</item>
      <item>Dean Prelević</item>
    </derivirana_varijabla>
  </DomainObject.Predmet.SudioniciListNaziv>
  <DomainObject.Predmet.SudioniciListAdressOIB>
    <izvorni_sadrzaj>
      <item>EURO PROPERTY PROSPECTS - NEKRETNINE d.o.o. za poslovanje nekretninama "u stečaju", OIB 45095319801, Hrvatske mornarice 1/H,21000 Split</item>
      <item>Dean Prelević, OIB 10098946497, Požeška 8,21000 Split</item>
    </izvorni_sadrzaj>
    <derivirana_varijabla naziv="DomainObject.Predmet.SudioniciListAdressOIB_1">
      <item>EURO PROPERTY PROSPECTS - NEKRETNINE d.o.o. za poslovanje nekretninama "u stečaju", OIB 45095319801, Hrvatske mornarice 1/H,21000 Split</item>
      <item>Dean Prelević, OIB 10098946497, Požeška 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913F3A-620F-4513-86AC-346A34C94B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1591</properties:Words>
  <properties:Characters>8646</properties:Characters>
  <properties:Lines>235</properties:Lines>
  <properties:Paragraphs>79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2017-11-06T13:04:00Z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St-337/2011-256 / Odluka - Rješenje - dioba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