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524a" w14:paraId="2b5524a" w:rsidRDefault="003858AF" w:rsidP="003858AF" w:rsidR="003858AF">
      <w:pPr>
        <w15:collapsed w:val="false"/>
        <w:rPr>
          <w:rFonts w:hAnsi="Times New Roman" w:ascii="Times New Roman"/>
          <w:noProof/>
          <w:sz w:val="24"/>
        </w:rPr>
      </w:pPr>
      <w:bookmarkStart w:name="_GoBack" w:id="0"/>
      <w:bookmarkEnd w:id="0"/>
      <w:r>
        <w:rPr>
          <w:rFonts w:hAnsi="Times New Roman" w:ascii="Times New Roman"/>
          <w:noProof/>
          <w:sz w:val="24"/>
        </w:rPr>
        <w:drawing>
          <wp:inline distR="0" distL="0" distB="0" distT="0">
            <wp:extent cy="702310" cx="534035"/>
            <wp:effectExtent b="254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2310" cx="534035"/>
                    </a:xfrm>
                    <a:prstGeom prst="rect">
                      <a:avLst/>
                    </a:prstGeom>
                    <a:noFill/>
                    <a:ln>
                      <a:noFill/>
                    </a:ln>
                  </pic:spPr>
                </pic:pic>
              </a:graphicData>
            </a:graphic>
          </wp:inline>
        </w:drawing>
      </w:r>
    </w:p>
    <w:p w:rsidRDefault="003858AF" w:rsidP="003858AF" w:rsidR="003858AF">
      <w:pPr>
        <w:rPr>
          <w:rFonts w:hAnsi="Times New Roman" w:ascii="Times New Roman"/>
          <w:sz w:val="24"/>
        </w:rPr>
      </w:pPr>
      <w:r>
        <w:rPr>
          <w:rFonts w:hAnsi="Times New Roman" w:ascii="Times New Roman"/>
          <w:sz w:val="24"/>
        </w:rPr>
        <w:t>REPUBLIKA HRVATSKA</w:t>
      </w:r>
    </w:p>
    <w:p w:rsidRDefault="003858AF" w:rsidP="003858AF" w:rsidR="003858AF">
      <w:pPr>
        <w:rPr>
          <w:rFonts w:hAnsi="Times New Roman" w:ascii="Times New Roman"/>
          <w:sz w:val="24"/>
        </w:rPr>
      </w:pPr>
      <w:r>
        <w:rPr>
          <w:rFonts w:hAnsi="Times New Roman" w:ascii="Times New Roman"/>
          <w:sz w:val="24"/>
        </w:rPr>
        <w:t>TRGOVAČKI SUD U ZAGREBU</w:t>
      </w:r>
    </w:p>
    <w:p w:rsidRDefault="003858AF" w:rsidP="003858AF" w:rsidR="003858AF">
      <w:pPr>
        <w:rPr>
          <w:rFonts w:hAnsi="Times New Roman" w:ascii="Times New Roman"/>
          <w:sz w:val="24"/>
        </w:rPr>
      </w:pPr>
      <w:r>
        <w:rPr>
          <w:rFonts w:hAnsi="Times New Roman" w:ascii="Times New Roman"/>
          <w:sz w:val="24"/>
        </w:rPr>
        <w:t>Zagreb, Amruševa 2/II</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7 St-117/16</w:t>
      </w:r>
    </w:p>
    <w:p w:rsidRDefault="003858AF" w:rsidP="003858AF" w:rsidR="003858AF">
      <w:pPr>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U  I M E  R E P U B L I K E  H R V A T S K E</w:t>
      </w:r>
    </w:p>
    <w:p w:rsidRDefault="003858AF" w:rsidP="003858AF" w:rsidR="003858AF">
      <w:pPr>
        <w:jc w:val="center"/>
        <w:rPr>
          <w:rFonts w:hAnsi="Times New Roman" w:ascii="Times New Roman"/>
          <w:sz w:val="24"/>
        </w:rPr>
      </w:pPr>
      <w:r>
        <w:rPr>
          <w:rFonts w:hAnsi="Times New Roman" w:ascii="Times New Roman"/>
          <w:sz w:val="24"/>
        </w:rPr>
        <w:t>R J E Š E N J E</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rPr>
      </w:pPr>
      <w:r>
        <w:rPr>
          <w:rFonts w:hAnsi="Times New Roman" w:ascii="Times New Roman"/>
          <w:sz w:val="24"/>
        </w:rPr>
        <w:tab/>
        <w:t xml:space="preserve">Trgovački sud u Zagrebu po sucu pojedincu Vesni Malenica kao stečajnom sucu po zahtjevu predlagatelja Financijska agencija, RC Zagreb, Podružnica Zagreb, Trg svibanjskih žrtava 1995. 1, Zagreb, OIB 85821130368, radi prijedloga za pokretanje stečajnog postupka nad dužnikom </w:t>
      </w:r>
      <w:r w:rsidR="00CD6BB0">
        <w:rPr>
          <w:rFonts w:hAnsi="Times New Roman" w:ascii="Times New Roman"/>
          <w:sz w:val="24"/>
        </w:rPr>
        <w:t>VODOPAD-MD d. o. o., Zagorska Sela, Brezakovec 54, OIB 95759082515</w:t>
      </w:r>
      <w:r>
        <w:rPr>
          <w:rFonts w:hAnsi="Times New Roman" w:ascii="Times New Roman"/>
          <w:sz w:val="24"/>
        </w:rPr>
        <w:t>, 17. veljače 2016.</w:t>
      </w:r>
    </w:p>
    <w:p w:rsidRDefault="003858AF" w:rsidP="003858AF" w:rsidR="003858AF">
      <w:pPr>
        <w:jc w:val="both"/>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r i j e š i o  j e</w:t>
      </w:r>
    </w:p>
    <w:p w:rsidRDefault="003858AF" w:rsidP="003858AF" w:rsidR="003858AF">
      <w:pPr>
        <w:jc w:val="center"/>
        <w:rPr>
          <w:rFonts w:hAnsi="Times New Roman" w:ascii="Times New Roman"/>
          <w:sz w:val="24"/>
        </w:rPr>
      </w:pPr>
    </w:p>
    <w:p w:rsidRDefault="00CD6BB0" w:rsidP="003858AF" w:rsidR="003858AF">
      <w:pPr>
        <w:ind w:right="-2"/>
        <w:jc w:val="both"/>
        <w:rPr>
          <w:rFonts w:hAnsi="Times New Roman" w:ascii="Times New Roman"/>
          <w:sz w:val="24"/>
        </w:rPr>
      </w:pPr>
      <w:r>
        <w:rPr>
          <w:rFonts w:hAnsi="Times New Roman" w:ascii="Times New Roman"/>
          <w:sz w:val="24"/>
        </w:rPr>
        <w:tab/>
      </w:r>
      <w:r w:rsidR="003858AF">
        <w:rPr>
          <w:rFonts w:hAnsi="Times New Roman" w:ascii="Times New Roman"/>
          <w:sz w:val="24"/>
        </w:rPr>
        <w:t xml:space="preserve">Odbacuje se prijedlog za pokretanje stečajnog postupka nad dužnikom </w:t>
      </w:r>
      <w:r>
        <w:rPr>
          <w:rFonts w:hAnsi="Times New Roman" w:ascii="Times New Roman"/>
          <w:sz w:val="24"/>
        </w:rPr>
        <w:t>VODOPAD-MD d. o. o., Zagorska Sela, Brezakovec 54, OIB 95759082515</w:t>
      </w:r>
      <w:r w:rsidR="003858AF">
        <w:rPr>
          <w:rFonts w:hAnsi="Times New Roman" w:ascii="Times New Roman"/>
          <w:sz w:val="24"/>
        </w:rPr>
        <w:t xml:space="preserve">, od </w:t>
      </w:r>
      <w:r>
        <w:rPr>
          <w:rFonts w:hAnsi="Times New Roman" w:ascii="Times New Roman"/>
          <w:sz w:val="24"/>
        </w:rPr>
        <w:t>7. siječnja 2016.</w:t>
      </w:r>
    </w:p>
    <w:p w:rsidRDefault="003858AF" w:rsidP="003858AF" w:rsidR="003858AF">
      <w:pPr>
        <w:ind w:right="-2"/>
        <w:jc w:val="both"/>
        <w:rPr>
          <w:rFonts w:hAnsi="Times New Roman" w:ascii="Times New Roman"/>
          <w:sz w:val="24"/>
        </w:rPr>
      </w:pPr>
      <w:r>
        <w:rPr>
          <w:rFonts w:hAnsi="Times New Roman" w:ascii="Times New Roman"/>
          <w:sz w:val="24"/>
        </w:rPr>
        <w:tab/>
      </w:r>
    </w:p>
    <w:p w:rsidRDefault="00CD6BB0" w:rsidP="003858AF" w:rsidR="00CD6BB0">
      <w:pPr>
        <w:ind w:right="-2"/>
        <w:jc w:val="both"/>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Obrazloženje</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rPr>
      </w:pPr>
      <w:r>
        <w:rPr>
          <w:rFonts w:hAnsi="Times New Roman" w:ascii="Times New Roman"/>
          <w:sz w:val="24"/>
        </w:rPr>
        <w:tab/>
        <w:t xml:space="preserve">Dana </w:t>
      </w:r>
      <w:r w:rsidR="00CD6BB0">
        <w:rPr>
          <w:rFonts w:hAnsi="Times New Roman" w:ascii="Times New Roman"/>
          <w:sz w:val="24"/>
        </w:rPr>
        <w:t>7. siječnja 2016</w:t>
      </w:r>
      <w:r>
        <w:rPr>
          <w:rFonts w:hAnsi="Times New Roman" w:ascii="Times New Roman"/>
          <w:sz w:val="24"/>
        </w:rPr>
        <w:t>. godine Financijska agencija (dalje: FINA) podnijela  je prijedlog za pokretanje stečajnog postupka nad gore navedenom pravnom osobom, navodeći da postoje razlozi za otvaranje stečajnog postupka, obzirom da dužnik ima evidentirane neizvršene osnove za plaćanje u razdoblju dužem od 120 dana.</w:t>
      </w:r>
    </w:p>
    <w:p w:rsidRDefault="003858AF" w:rsidP="003858AF" w:rsidR="003858AF">
      <w:pPr>
        <w:jc w:val="both"/>
        <w:rPr>
          <w:rFonts w:hAnsi="Times New Roman" w:ascii="Times New Roman"/>
          <w:sz w:val="24"/>
        </w:rPr>
      </w:pPr>
      <w:r>
        <w:rPr>
          <w:rFonts w:hAnsi="Times New Roman" w:ascii="Times New Roman"/>
          <w:sz w:val="24"/>
        </w:rPr>
        <w:tab/>
        <w:t xml:space="preserve">Predlagatelj također navodi da dužnik ima </w:t>
      </w:r>
      <w:r w:rsidR="00CD6BB0">
        <w:rPr>
          <w:rFonts w:hAnsi="Times New Roman" w:ascii="Times New Roman"/>
          <w:sz w:val="24"/>
        </w:rPr>
        <w:t>dva</w:t>
      </w:r>
      <w:r>
        <w:rPr>
          <w:rFonts w:hAnsi="Times New Roman" w:ascii="Times New Roman"/>
          <w:sz w:val="24"/>
        </w:rPr>
        <w:t xml:space="preserve"> zaposlenika.</w:t>
      </w:r>
    </w:p>
    <w:p w:rsidRDefault="003858AF" w:rsidP="003858AF" w:rsidR="003858AF">
      <w:pPr>
        <w:jc w:val="both"/>
        <w:rPr>
          <w:rFonts w:hAnsi="Times New Roman" w:ascii="Times New Roman"/>
          <w:sz w:val="24"/>
        </w:rPr>
      </w:pPr>
      <w:r>
        <w:rPr>
          <w:rFonts w:hAnsi="Times New Roman" w:ascii="Times New Roman"/>
          <w:sz w:val="24"/>
        </w:rPr>
        <w:tab/>
        <w:t>Sukladno odredbi čl. 110 st. 1 Stečajnog zakona (NN 71/16) FINA  je dužna podnijeti prijedlog za otvaranje stečajnog postupka ako pravna osoba u Očevidniku redoslijeda plaćanja ima evidentirane neizvršene osnove za plaćanje u neprekidnom razdoblju od 120 dana.</w:t>
      </w:r>
    </w:p>
    <w:p w:rsidRDefault="003858AF" w:rsidP="003858AF" w:rsidR="003858AF">
      <w:pPr>
        <w:jc w:val="both"/>
        <w:rPr>
          <w:rFonts w:hAnsi="Times New Roman" w:ascii="Times New Roman"/>
          <w:sz w:val="24"/>
        </w:rPr>
      </w:pPr>
      <w:r>
        <w:rPr>
          <w:rFonts w:hAnsi="Times New Roman" w:ascii="Times New Roman"/>
          <w:sz w:val="24"/>
        </w:rPr>
        <w:tab/>
        <w:t>Iznimka od tog pravila propisana je odredbom čl. 428 Stečajnog zakona, koja se odnosi na podnošenje zahtjeva i pretpostavke za provedbu skraćenog stečajnog postupka.</w:t>
      </w:r>
    </w:p>
    <w:p w:rsidRDefault="003858AF" w:rsidP="003858AF" w:rsidR="003858AF">
      <w:pPr>
        <w:jc w:val="both"/>
        <w:rPr>
          <w:rFonts w:hAnsi="Times New Roman" w:ascii="Times New Roman"/>
          <w:sz w:val="24"/>
        </w:rPr>
      </w:pPr>
      <w:r>
        <w:rPr>
          <w:rFonts w:hAnsi="Times New Roman" w:ascii="Times New Roman"/>
          <w:sz w:val="24"/>
        </w:rPr>
        <w:tab/>
        <w:t>Odredbom čl. 444. Stečajnog zakona propisani su rokovi za podnošenje zahtjeva i prijedloga za otvaranje stečajnog postupka.</w:t>
      </w:r>
    </w:p>
    <w:p w:rsidRDefault="003858AF" w:rsidP="003858AF" w:rsidR="003858AF">
      <w:pPr>
        <w:jc w:val="both"/>
        <w:rPr>
          <w:rFonts w:hAnsi="Times New Roman" w:ascii="Times New Roman"/>
          <w:sz w:val="24"/>
        </w:rPr>
      </w:pPr>
      <w:r>
        <w:rPr>
          <w:rFonts w:hAnsi="Times New Roman" w:ascii="Times New Roman"/>
          <w:sz w:val="24"/>
        </w:rPr>
        <w:tab/>
        <w:t>Na taj način odredbom čl. 444 st. 2 Stečajnog zakona propisani su rokovi za podnošenje prijedloga za otvaranje stečajnog postupka, uz uvjet neprekidne blokade u trajanju od 120 dana, na način da je rok za podnošenje prijedloga za otvaranje stečajnog postupka u situaciji kada dužnik ima jednog zaposlenika, najkasnije osam, ali ne ranije od šest mjeseci od dana stupanja na snagu Zakona.</w:t>
      </w:r>
    </w:p>
    <w:p w:rsidRDefault="003858AF" w:rsidP="003858AF" w:rsidR="003858AF">
      <w:pPr>
        <w:jc w:val="both"/>
        <w:rPr>
          <w:rFonts w:hAnsi="Times New Roman" w:ascii="Times New Roman"/>
          <w:sz w:val="24"/>
        </w:rPr>
      </w:pPr>
      <w:r>
        <w:rPr>
          <w:rFonts w:hAnsi="Times New Roman" w:ascii="Times New Roman"/>
          <w:sz w:val="24"/>
        </w:rPr>
        <w:tab/>
        <w:t>U situaciji kada dužnik ima dva ili više zaposlenika, a neprekidno je blokiran duže od 120 dana, rok za podnošenje prijedloga je najkasnije deset mjeseci, ali ne ranije od osam mjeseci od dana stupanja na snagu Stečajnog zakona.</w:t>
      </w:r>
    </w:p>
    <w:p w:rsidRDefault="003858AF" w:rsidP="003858AF" w:rsidR="003858AF">
      <w:pPr>
        <w:jc w:val="both"/>
        <w:rPr>
          <w:rFonts w:hAnsi="Times New Roman" w:ascii="Times New Roman"/>
          <w:sz w:val="24"/>
        </w:rPr>
      </w:pPr>
      <w:r>
        <w:rPr>
          <w:rFonts w:hAnsi="Times New Roman" w:ascii="Times New Roman"/>
          <w:sz w:val="24"/>
        </w:rPr>
        <w:tab/>
        <w:t xml:space="preserve">Iz podnijetog prijedloga proizlazi da dužnik ima 120 dana neprekidne blokade, </w:t>
      </w:r>
      <w:r w:rsidR="00CD6BB0">
        <w:rPr>
          <w:rFonts w:hAnsi="Times New Roman" w:ascii="Times New Roman"/>
          <w:sz w:val="24"/>
        </w:rPr>
        <w:t>dva</w:t>
      </w:r>
      <w:r>
        <w:rPr>
          <w:rFonts w:hAnsi="Times New Roman" w:ascii="Times New Roman"/>
          <w:sz w:val="24"/>
        </w:rPr>
        <w:t xml:space="preserve"> zaposlenika, a prijedlog je podnijet </w:t>
      </w:r>
      <w:r w:rsidR="00CD6BB0">
        <w:rPr>
          <w:rFonts w:hAnsi="Times New Roman" w:ascii="Times New Roman"/>
          <w:sz w:val="24"/>
        </w:rPr>
        <w:t>7. siječnja</w:t>
      </w:r>
      <w:r>
        <w:rPr>
          <w:rFonts w:hAnsi="Times New Roman" w:ascii="Times New Roman"/>
          <w:sz w:val="24"/>
        </w:rPr>
        <w:t xml:space="preserve"> 2015. Dakle, prijedlog je podnijet prije roka navedenog u čl. 444 st. 2 Stečajnog zakona, obzirom da je predmetnom odredbom propisan rok od najkasnije deset, ali ne ranije od osam  mjeseci od stupanja na snagu ovog Zakona.</w:t>
      </w:r>
    </w:p>
    <w:p w:rsidRDefault="003858AF" w:rsidP="003858AF" w:rsidR="003858AF">
      <w:pPr>
        <w:jc w:val="both"/>
        <w:rPr>
          <w:rFonts w:hAnsi="Times New Roman" w:ascii="Times New Roman"/>
          <w:sz w:val="24"/>
        </w:rPr>
      </w:pPr>
      <w:r>
        <w:rPr>
          <w:rFonts w:hAnsi="Times New Roman" w:ascii="Times New Roman"/>
          <w:sz w:val="24"/>
        </w:rPr>
        <w:lastRenderedPageBreak/>
        <w:tab/>
        <w:t>Ovo stoga, što je Zakon stupio na snagu 1. rujna 2015., te rok za podnošenje prijedloga teče od 1. svibnja 2016. do 1. srpnja 2016.</w:t>
      </w:r>
    </w:p>
    <w:p w:rsidRDefault="003858AF" w:rsidP="003858AF" w:rsidR="003858AF">
      <w:pPr>
        <w:jc w:val="both"/>
        <w:rPr>
          <w:rFonts w:hAnsi="Times New Roman" w:ascii="Times New Roman"/>
          <w:sz w:val="24"/>
        </w:rPr>
      </w:pPr>
      <w:r>
        <w:rPr>
          <w:rFonts w:hAnsi="Times New Roman" w:ascii="Times New Roman"/>
          <w:sz w:val="24"/>
        </w:rPr>
        <w:tab/>
        <w:t>Provjerom popisa pravnih osoba koji je FINA objavila na mrežnoj stranici e-oglasnoj ploči sudova, utvrđeno je da predloženi dužnik nije naveden na predmetnom popisu, sukladno odredbi čl. 444. st. 3 Stečajnog zakona.</w:t>
      </w:r>
    </w:p>
    <w:p w:rsidRDefault="00CD6BB0" w:rsidP="003858AF" w:rsidR="003858AF">
      <w:pPr>
        <w:ind w:firstLine="708"/>
        <w:jc w:val="both"/>
        <w:rPr>
          <w:rFonts w:hAnsi="Times New Roman" w:ascii="Times New Roman"/>
          <w:sz w:val="24"/>
        </w:rPr>
      </w:pPr>
      <w:r>
        <w:rPr>
          <w:rFonts w:hAnsi="Times New Roman" w:ascii="Times New Roman"/>
          <w:sz w:val="24"/>
        </w:rPr>
        <w:t>Slijedom navedenog odlučeno je kao u izreci rješenja.</w:t>
      </w:r>
    </w:p>
    <w:p w:rsidRDefault="003858AF" w:rsidP="003858AF" w:rsidR="003858AF">
      <w:pPr>
        <w:jc w:val="center"/>
        <w:rPr>
          <w:rFonts w:hAnsi="Times New Roman" w:ascii="Times New Roman"/>
          <w:sz w:val="24"/>
        </w:rPr>
      </w:pPr>
      <w:r>
        <w:rPr>
          <w:rFonts w:hAnsi="Times New Roman" w:ascii="Times New Roman"/>
          <w:sz w:val="24"/>
        </w:rPr>
        <w:t>Zagreb, 17. veljače 2016.</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lang w:val="pl-PL"/>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lang w:val="pl-PL"/>
        </w:rPr>
        <w:t>SUDAC:</w:t>
      </w:r>
    </w:p>
    <w:p w:rsidRDefault="003858AF" w:rsidP="003858AF" w:rsidR="003858AF">
      <w:pPr>
        <w:jc w:val="both"/>
        <w:rPr>
          <w:rFonts w:hAnsi="Times New Roman" w:ascii="Times New Roman"/>
          <w:sz w:val="24"/>
          <w:lang w:val="pl-PL"/>
        </w:rPr>
      </w:pP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t xml:space="preserve">Vesna Malenica </w:t>
      </w:r>
      <w:r w:rsidR="006B4715">
        <w:rPr>
          <w:rFonts w:hAnsi="Times New Roman" w:ascii="Times New Roman"/>
          <w:sz w:val="24"/>
          <w:lang w:val="pl-PL"/>
        </w:rPr>
        <w:t xml:space="preserve">v. r. </w:t>
      </w:r>
    </w:p>
    <w:p w:rsidRDefault="003858AF" w:rsidP="003858AF" w:rsidR="003858AF">
      <w:pPr>
        <w:jc w:val="both"/>
        <w:rPr>
          <w:rFonts w:hAnsi="Times New Roman" w:ascii="Times New Roman"/>
          <w:sz w:val="24"/>
          <w:lang w:val="pl-PL"/>
        </w:rPr>
      </w:pPr>
    </w:p>
    <w:p w:rsidRDefault="003858AF" w:rsidP="003858AF" w:rsidR="003858AF">
      <w:pPr>
        <w:rPr>
          <w:rFonts w:hAnsi="Times New Roman" w:ascii="Times New Roman"/>
          <w:sz w:val="24"/>
        </w:rPr>
      </w:pPr>
      <w:r>
        <w:rPr>
          <w:rFonts w:hAnsi="Times New Roman" w:ascii="Times New Roman"/>
          <w:sz w:val="24"/>
        </w:rPr>
        <w:t xml:space="preserve">POUKA O PRAVNOM LIJEKU: </w:t>
      </w:r>
    </w:p>
    <w:p w:rsidRDefault="003858AF" w:rsidP="003858AF" w:rsidR="003858AF">
      <w:pPr>
        <w:jc w:val="both"/>
        <w:rPr>
          <w:rFonts w:hAnsi="Times New Roman" w:ascii="Times New Roman"/>
          <w:sz w:val="24"/>
        </w:rPr>
      </w:pPr>
      <w:r>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3858AF" w:rsidP="003858AF" w:rsidR="003858AF">
      <w:pPr>
        <w:jc w:val="both"/>
        <w:rPr>
          <w:rFonts w:hAnsi="Times New Roman" w:ascii="Times New Roman"/>
          <w:sz w:val="24"/>
        </w:rPr>
      </w:pPr>
    </w:p>
    <w:p w:rsidRDefault="006B4715" w:rsidP="006B4715" w:rsidR="006B4715">
      <w:pPr>
        <w:ind w:firstLine="708" w:left="4956"/>
        <w:jc w:val="both"/>
        <w:rPr>
          <w:rFonts w:hAnsi="Times New Roman" w:ascii="Times New Roman"/>
          <w:lang w:val="pl-PL"/>
        </w:rPr>
      </w:pPr>
      <w:r>
        <w:rPr>
          <w:rFonts w:hAnsi="Times New Roman" w:ascii="Times New Roman"/>
          <w:lang w:val="pl-PL"/>
        </w:rPr>
        <w:t>Za točnost otpravka – ovl. službenik</w:t>
      </w:r>
    </w:p>
    <w:p w:rsidRDefault="006B4715" w:rsidP="00995CE9" w:rsidR="006B4715"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3858AF" w:rsidP="003858AF" w:rsidR="003858AF">
      <w:pPr>
        <w:jc w:val="both"/>
        <w:rPr>
          <w:rFonts w:hAnsi="Times New Roman" w:ascii="Times New Roman"/>
          <w:sz w:val="24"/>
        </w:rPr>
      </w:pPr>
    </w:p>
    <w:p w:rsidRDefault="003858AF" w:rsidP="003858AF" w:rsidR="003858AF">
      <w:pPr>
        <w:rPr>
          <w:rFonts w:hAnsi="Times New Roman" w:ascii="Times New Roman"/>
          <w:sz w:val="24"/>
        </w:rPr>
      </w:pPr>
    </w:p>
    <w:p w:rsidRDefault="003858AF" w:rsidP="003858AF" w:rsidR="003858AF">
      <w:pPr>
        <w:rPr>
          <w:rFonts w:hAnsi="Times New Roman" w:ascii="Times New Roman"/>
          <w:sz w:val="24"/>
        </w:rPr>
      </w:pPr>
    </w:p>
    <w:p w:rsidRDefault="006B4715" w:rsidR="00E0602B"/>
    <w:sectPr w:rsidSect="003858AF" w:rsidR="00E0602B">
      <w:headerReference w:type="default" r:id="rId9"/>
      <w:headerReference w:type="first" r:id="rId10"/>
      <w:pgSz w:code="9" w:h="16838" w:w="11906"/>
      <w:pgMar w:gutter="0" w:footer="720" w:header="720" w:left="1418" w:bottom="1418"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8AF" w:rsidP="003858AF" w:rsidR="003858AF">
      <w:r>
        <w:separator/>
      </w:r>
    </w:p>
  </w:endnote>
  <w:endnote w:id="0" w:type="continuationSeparator">
    <w:p w:rsidRDefault="003858AF" w:rsidP="003858AF" w:rsidR="003858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8AF" w:rsidP="003858AF" w:rsidR="003858AF">
      <w:r>
        <w:separator/>
      </w:r>
    </w:p>
  </w:footnote>
  <w:footnote w:id="0" w:type="continuationSeparator">
    <w:p w:rsidRDefault="003858AF" w:rsidP="003858AF" w:rsidR="003858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7271260"/>
      <w:docPartObj>
        <w:docPartGallery w:val="Page Numbers (Top of Page)"/>
        <w:docPartUnique/>
      </w:docPartObj>
    </w:sdtPr>
    <w:sdtEndPr/>
    <w:sdtContent>
      <w:p w:rsidRDefault="003858AF" w:rsidR="003858AF">
        <w:pPr>
          <w:pStyle w:val="Zaglavlje"/>
          <w:jc w:val="right"/>
        </w:pPr>
        <w:r>
          <w:t xml:space="preserve">7 St-117/16  </w:t>
        </w:r>
        <w:r>
          <w:fldChar w:fldCharType="begin"/>
        </w:r>
        <w:r>
          <w:instrText>PAGE   \* MERGEFORMAT</w:instrText>
        </w:r>
        <w:r>
          <w:fldChar w:fldCharType="separate"/>
        </w:r>
        <w:r w:rsidR="006B4715">
          <w:rPr>
            <w:noProof/>
          </w:rPr>
          <w:t>2</w:t>
        </w:r>
        <w:r>
          <w:fldChar w:fldCharType="end"/>
        </w:r>
      </w:p>
    </w:sdtContent>
  </w:sdt>
  <w:p w:rsidRDefault="003858AF" w:rsidR="003858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8AF" w:rsidR="003858AF">
    <w:pPr>
      <w:pStyle w:val="Zaglavlje"/>
      <w:jc w:val="right"/>
    </w:pPr>
  </w:p>
  <w:p w:rsidRDefault="003858AF" w:rsidR="003858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8AF"/>
    <w:rsid w:val="00130D68"/>
    <w:rsid w:val="001F112F"/>
    <w:rsid w:val="002F2BD1"/>
    <w:rsid w:val="00361423"/>
    <w:rsid w:val="003858AF"/>
    <w:rsid w:val="006B4715"/>
    <w:rsid w:val="0072617A"/>
    <w:rsid w:val="007C1B9C"/>
    <w:rsid w:val="00920EDA"/>
    <w:rsid w:val="00A22213"/>
    <w:rsid w:val="00AB410D"/>
    <w:rsid w:val="00BB4A20"/>
    <w:rsid w:val="00C643A4"/>
    <w:rsid w:val="00C757C2"/>
    <w:rsid w:val="00CD6BB0"/>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58AF"/>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3858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58A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858AF"/>
    <w:pPr>
      <w:tabs>
        <w:tab w:pos="4536" w:val="center"/>
        <w:tab w:pos="9072" w:val="right"/>
      </w:tabs>
    </w:pPr>
  </w:style>
  <w:style w:customStyle="true" w:styleId="ZaglavljeChar" w:type="character">
    <w:name w:val="Zaglavlje Char"/>
    <w:basedOn w:val="Zadanifontodlomka"/>
    <w:link w:val="Zaglavlje"/>
    <w:uiPriority w:val="99"/>
    <w:rsid w:val="003858AF"/>
    <w:rPr>
      <w:rFonts w:cs="Times New Roman" w:eastAsia="Times New Roman" w:hAnsi="Verdana" w:ascii="Verdana"/>
      <w:sz w:val="22"/>
      <w:szCs w:val="24"/>
      <w:lang w:eastAsia="hr-HR"/>
    </w:rPr>
  </w:style>
  <w:style w:styleId="Podnoje" w:type="paragraph">
    <w:name w:val="footer"/>
    <w:basedOn w:val="Normal"/>
    <w:link w:val="PodnojeChar"/>
    <w:uiPriority w:val="99"/>
    <w:unhideWhenUsed/>
    <w:rsid w:val="003858AF"/>
    <w:pPr>
      <w:tabs>
        <w:tab w:pos="4536" w:val="center"/>
        <w:tab w:pos="9072" w:val="right"/>
      </w:tabs>
    </w:pPr>
  </w:style>
  <w:style w:customStyle="true" w:styleId="PodnojeChar" w:type="character">
    <w:name w:val="Podnožje Char"/>
    <w:basedOn w:val="Zadanifontodlomka"/>
    <w:link w:val="Podnoje"/>
    <w:uiPriority w:val="99"/>
    <w:rsid w:val="003858AF"/>
    <w:rPr>
      <w:rFonts w:cs="Times New Roman" w:eastAsia="Times New Roman" w:hAnsi="Verdana" w:ascii="Verdana"/>
      <w:sz w:val="22"/>
      <w:szCs w:val="24"/>
      <w:lang w:eastAsia="hr-HR"/>
    </w:rPr>
  </w:style>
  <w:style w:styleId="Tekstrezerviranogmjesta" w:type="character">
    <w:name w:val="Placeholder Text"/>
    <w:basedOn w:val="Zadanifontodlomka"/>
    <w:uiPriority w:val="99"/>
    <w:semiHidden/>
    <w:rsid w:val="006B4715"/>
    <w:rPr>
      <w:color w:val="808080"/>
      <w:bdr w:space="0" w:sz="0" w:color="auto" w:val="none"/>
      <w:shd w:fill="auto" w:color="auto" w:val="clear"/>
    </w:rPr>
  </w:style>
  <w:style w:customStyle="true" w:styleId="eSPISCCParagraphDefaultFont" w:type="character">
    <w:name w:val="eSPIS_CC_Paragraph Default Font"/>
    <w:basedOn w:val="Zadanifontodlomka"/>
    <w:rsid w:val="006B471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B4715"/>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6B471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B471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58AF"/>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3858AF"/>
    <w:rPr>
      <w:rFonts w:ascii="Tahoma" w:cs="Tahoma" w:hAnsi="Tahoma"/>
      <w:sz w:val="16"/>
      <w:szCs w:val="16"/>
    </w:rPr>
  </w:style>
  <w:style w:customStyle="1" w:styleId="TekstbaloniaChar" w:type="character">
    <w:name w:val="Tekst balončića Char"/>
    <w:basedOn w:val="Zadanifontodlomka"/>
    <w:link w:val="Tekstbalonia"/>
    <w:uiPriority w:val="99"/>
    <w:semiHidden/>
    <w:rsid w:val="003858A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858AF"/>
    <w:pPr>
      <w:tabs>
        <w:tab w:pos="4536" w:val="center"/>
        <w:tab w:pos="9072" w:val="right"/>
      </w:tabs>
    </w:pPr>
  </w:style>
  <w:style w:customStyle="1" w:styleId="ZaglavljeChar" w:type="character">
    <w:name w:val="Zaglavlje Char"/>
    <w:basedOn w:val="Zadanifontodlomka"/>
    <w:link w:val="Zaglavlje"/>
    <w:uiPriority w:val="99"/>
    <w:rsid w:val="003858AF"/>
    <w:rPr>
      <w:rFonts w:ascii="Verdana" w:cs="Times New Roman" w:eastAsia="Times New Roman" w:hAnsi="Verdana"/>
      <w:sz w:val="22"/>
      <w:szCs w:val="24"/>
      <w:lang w:eastAsia="hr-HR"/>
    </w:rPr>
  </w:style>
  <w:style w:styleId="Podnoje" w:type="paragraph">
    <w:name w:val="footer"/>
    <w:basedOn w:val="Normal"/>
    <w:link w:val="PodnojeChar"/>
    <w:uiPriority w:val="99"/>
    <w:unhideWhenUsed/>
    <w:rsid w:val="003858AF"/>
    <w:pPr>
      <w:tabs>
        <w:tab w:pos="4536" w:val="center"/>
        <w:tab w:pos="9072" w:val="right"/>
      </w:tabs>
    </w:pPr>
  </w:style>
  <w:style w:customStyle="1" w:styleId="PodnojeChar" w:type="character">
    <w:name w:val="Podnožje Char"/>
    <w:basedOn w:val="Zadanifontodlomka"/>
    <w:link w:val="Podnoje"/>
    <w:uiPriority w:val="99"/>
    <w:rsid w:val="003858AF"/>
    <w:rPr>
      <w:rFonts w:ascii="Verdana" w:cs="Times New Roman" w:eastAsia="Times New Roman" w:hAnsi="Verdana"/>
      <w:sz w:val="22"/>
      <w:szCs w:val="24"/>
      <w:lang w:eastAsia="hr-HR"/>
    </w:rPr>
  </w:style>
  <w:style w:styleId="Tekstrezerviranogmjesta" w:type="character">
    <w:name w:val="Placeholder Text"/>
    <w:basedOn w:val="Zadanifontodlomka"/>
    <w:uiPriority w:val="99"/>
    <w:semiHidden/>
    <w:rsid w:val="006B4715"/>
    <w:rPr>
      <w:color w:val="808080"/>
      <w:bdr w:color="auto" w:space="0" w:sz="0" w:val="none"/>
      <w:shd w:color="auto" w:fill="auto" w:val="clear"/>
    </w:rPr>
  </w:style>
  <w:style w:customStyle="1" w:styleId="eSPISCCParagraphDefaultFont" w:type="character">
    <w:name w:val="eSPIS_CC_Paragraph Default Font"/>
    <w:basedOn w:val="Zadanifontodlomka"/>
    <w:rsid w:val="006B471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B4715"/>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6B471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B471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7432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St-117/2016</izvorni_sadrzaj>
    <derivirana_varijabla naziv="DomainObject.Predmet.OznakaBroj_1">St-117/2016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VODOPAD-MD d.o.o.</izvorni_sadrzaj>
    <derivirana_varijabla naziv="DomainObject.Predmet.ProtustrankaFormated_1">  VODOPAD-MD d.o.o.</derivirana_varijabla>
  </DomainObject.Predmet.ProtustrankaFormated>
  <DomainObject.Predmet.ProtustrankaFormatedOIB>
    <izvorni_sadrzaj>  VODOPAD-MD d.o.o., OIB 95759082515</izvorni_sadrzaj>
    <derivirana_varijabla naziv="DomainObject.Predmet.ProtustrankaFormatedOIB_1">  VODOPAD-MD d.o.o., OIB 95759082515</derivirana_varijabla>
  </DomainObject.Predmet.ProtustrankaFormatedOIB>
  <DomainObject.Predmet.ProtustrankaFormatedWithAdress>
    <izvorni_sadrzaj> VODOPAD-MD d.o.o., Brezakovec 54, 49296 Zagorska Sela</izvorni_sadrzaj>
    <derivirana_varijabla naziv="DomainObject.Predmet.ProtustrankaFormatedWithAdress_1"> VODOPAD-MD d.o.o., Brezakovec 54, 49296 Zagorska Sela</derivirana_varijabla>
  </DomainObject.Predmet.ProtustrankaFormatedWithAdress>
  <DomainObject.Predmet.ProtustrankaFormatedWithAdressOIB>
    <izvorni_sadrzaj> VODOPAD-MD d.o.o., OIB 95759082515, Brezakovec 54, 49296 Zagorska Sela</izvorni_sadrzaj>
    <derivirana_varijabla naziv="DomainObject.Predmet.ProtustrankaFormatedWithAdressOIB_1"> VODOPAD-MD d.o.o., OIB 95759082515, Brezakovec 54, 49296 Zagorska Sela</derivirana_varijabla>
  </DomainObject.Predmet.ProtustrankaFormatedWithAdressOIB>
  <DomainObject.Predmet.ProtustrankaWithAdress>
    <izvorni_sadrzaj>VODOPAD-MD d.o.o. Brezakovec 54, 49296 Zagorska Sela</izvorni_sadrzaj>
    <derivirana_varijabla naziv="DomainObject.Predmet.ProtustrankaWithAdress_1">VODOPAD-MD d.o.o. Brezakovec 54, 49296 Zagorska Sela</derivirana_varijabla>
  </DomainObject.Predmet.ProtustrankaWithAdress>
  <DomainObject.Predmet.ProtustrankaWithAdressOIB>
    <izvorni_sadrzaj>VODOPAD-MD d.o.o., OIB 95759082515, Brezakovec 54, 49296 Zagorska Sela</izvorni_sadrzaj>
    <derivirana_varijabla naziv="DomainObject.Predmet.ProtustrankaWithAdressOIB_1">VODOPAD-MD d.o.o., OIB 95759082515, Brezakovec 54, 49296 Zagorska Sela</derivirana_varijabla>
  </DomainObject.Predmet.ProtustrankaWithAdressOIB>
  <DomainObject.Predmet.ProtustrankaNazivFormated>
    <izvorni_sadrzaj>VODOPAD-MD d.o.o.</izvorni_sadrzaj>
    <derivirana_varijabla naziv="DomainObject.Predmet.ProtustrankaNazivFormated_1">VODOPAD-MD d.o.o.</derivirana_varijabla>
  </DomainObject.Predmet.ProtustrankaNazivFormated>
  <DomainObject.Predmet.ProtustrankaNazivFormatedOIB>
    <izvorni_sadrzaj>VODOPAD-MD d.o.o., OIB 95759082515</izvorni_sadrzaj>
    <derivirana_varijabla naziv="DomainObject.Predmet.ProtustrankaNazivFormatedOIB_1">VODOPAD-MD d.o.o., OIB 95759082515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VODOPAD-MD d.o.o.</item>
    </izvorni_sadrzaj>
    <derivirana_varijabla naziv="DomainObject.Predmet.ProtuStrankaListFormated_1">
      <item>VODOPAD-MD d.o.o.</item>
    </derivirana_varijabla>
  </DomainObject.Predmet.ProtuStrankaListFormated>
  <DomainObject.Predmet.ProtuStrankaListFormatedOIB>
    <izvorni_sadrzaj>
      <item>VODOPAD-MD d.o.o., OIB 95759082515</item>
    </izvorni_sadrzaj>
    <derivirana_varijabla naziv="DomainObject.Predmet.ProtuStrankaListFormatedOIB_1">
      <item>VODOPAD-MD d.o.o., OIB 95759082515</item>
    </derivirana_varijabla>
  </DomainObject.Predmet.ProtuStrankaListFormatedOIB>
  <DomainObject.Predmet.ProtuStrankaListFormatedWithAdress>
    <izvorni_sadrzaj>
      <item>VODOPAD-MD d.o.o., Brezakovec 54, 49296 Zagorska Sela</item>
    </izvorni_sadrzaj>
    <derivirana_varijabla naziv="DomainObject.Predmet.ProtuStrankaListFormatedWithAdress_1">
      <item>VODOPAD-MD d.o.o., Brezakovec 54, 49296 Zagorska Sela</item>
    </derivirana_varijabla>
  </DomainObject.Predmet.ProtuStrankaListFormatedWithAdress>
  <DomainObject.Predmet.ProtuStrankaListFormatedWithAdressOIB>
    <izvorni_sadrzaj>
      <item>VODOPAD-MD d.o.o., OIB 95759082515, Brezakovec 54, 49296 Zagorska Sela</item>
    </izvorni_sadrzaj>
    <derivirana_varijabla naziv="DomainObject.Predmet.ProtuStrankaListFormatedWithAdressOIB_1">
      <item>VODOPAD-MD d.o.o., OIB 95759082515, Brezakovec 54, 49296 Zagorska Sela</item>
    </derivirana_varijabla>
  </DomainObject.Predmet.ProtuStrankaListFormatedWithAdressOIB>
  <DomainObject.Predmet.ProtuStrankaListNazivFormated>
    <izvorni_sadrzaj>
      <item>VODOPAD-MD d.o.o.</item>
    </izvorni_sadrzaj>
    <derivirana_varijabla naziv="DomainObject.Predmet.ProtuStrankaListNazivFormated_1">
      <item>VODOPAD-MD d.o.o.</item>
    </derivirana_varijabla>
  </DomainObject.Predmet.ProtuStrankaListNazivFormated>
  <DomainObject.Predmet.ProtuStrankaListNazivFormatedOIB>
    <izvorni_sadrzaj>
      <item>VODOPAD-MD d.o.o., OIB 95759082515</item>
    </izvorni_sadrzaj>
    <derivirana_varijabla naziv="DomainObject.Predmet.ProtuStrankaListNazivFormatedOIB_1">
      <item>VODOPAD-MD d.o.o., OIB 95759082515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VODOPAD-MD d.o.o.</izvorni_sadrzaj>
    <derivirana_varijabla naziv="DomainObject.Predmet.ProtustrankaIDrugi_1">VODOPAD-MD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VODOPAD-MD d.o.o., OIB 95759082515, Brezakovec 54, 49296 Zagorska Sela</izvorni_sadrzaj>
    <derivirana_varijabla naziv="DomainObject.Predmet.ProtustrankaIDrugiAdressOIB_1">VODOPAD-MD d.o.o., OIB 95759082515, Brezakovec 54, 49296 Zagorska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VODOPAD-MD d.o.o.</item>
    </izvorni_sadrzaj>
    <derivirana_varijabla naziv="DomainObject.Predmet.SudioniciListNaziv_1">
      <item>FINA Regionalni centar Zagreb</item>
      <item>VODOPAD-MD d.o.o.</item>
    </derivirana_varijabla>
  </DomainObject.Predmet.SudioniciListNaziv>
  <DomainObject.Predmet.SudioniciListAdressOIB>
    <izvorni_sadrzaj>
      <item>FINA Regionalni centar Zagreb, OIB 85821130368, Trg svibanjskih žrtava 1995. 1,10000 Zagreb</item>
      <item>VODOPAD-MD d.o.o., OIB 95759082515, Brezakovec 54,49296 Zagorska Sela</item>
    </izvorni_sadrzaj>
    <derivirana_varijabla naziv="DomainObject.Predmet.SudioniciListAdressOIB_1">
      <item>FINA Regionalni centar Zagreb, OIB 85821130368, Trg svibanjskih žrtava 1995. 1,10000 Zagreb</item>
      <item>VODOPAD-MD d.o.o., OIB 95759082515, Brezakovec 54,49296 Zagorska Sela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95759082515</item>
    </izvorni_sadrzaj>
    <derivirana_varijabla naziv="DomainObject.Predmet.SudioniciListNazivOIB_1">
      <item>, OIB 85821130368</item>
      <item>, OIB 95759082515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2799</properties:Characters>
  <properties:Lines>67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2016-02-17T14:07:00Z</dcterms:created>
  <dc:creator>Kristina Švajger</dc:creator>
  <cp:lastModifiedBy>Kristina Švajger</cp:lastModifiedBy>
  <cp:lastPrinted>2016-02-17T14:11:00Z</cp:lastPrinted>
  <dcterms:modified xmlns:xsi="http://www.w3.org/2001/XMLSchema-instance" xsi:type="dcterms:W3CDTF">2016-02-17T14:11:00Z</dcterms:modified>
  <cp:revision>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