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9cbe" w14:paraId="7ec9cbe" w:rsidRDefault="009C0BA0" w:rsidR="00131E95" w:rsidRPr="00656B6A">
      <w:pPr>
        <w15:collapsed w:val="false"/>
      </w:pPr>
      <w:bookmarkStart w:name="_GoBack" w:id="0"/>
      <w:bookmarkEnd w:id="0"/>
      <w:r>
        <w:t xml:space="preserve">                 </w:t>
      </w:r>
      <w:r w:rsidRPr="00656B6A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C0BA0" w:rsidP="001E1B70" w:rsidR="009C0BA0" w:rsidRPr="00656B6A">
      <w:pPr>
        <w:rPr>
          <w:szCs w:val="24"/>
        </w:rPr>
      </w:pPr>
      <w:r w:rsidRPr="00656B6A">
        <w:rPr>
          <w:szCs w:val="24"/>
        </w:rPr>
        <w:t xml:space="preserve">    REPUBLIKA HRVATSKA</w:t>
      </w:r>
    </w:p>
    <w:p w:rsidRDefault="009C0BA0" w:rsidP="001E1B70" w:rsidR="009C0BA0" w:rsidRPr="00656B6A">
      <w:pPr>
        <w:rPr>
          <w:szCs w:val="24"/>
        </w:rPr>
      </w:pPr>
      <w:r w:rsidRPr="00656B6A">
        <w:rPr>
          <w:szCs w:val="24"/>
        </w:rPr>
        <w:t>TRGOVAČKI SUD U ZAGREBU</w:t>
      </w:r>
    </w:p>
    <w:p w:rsidRDefault="009C0BA0" w:rsidR="009C0BA0" w:rsidRPr="00656B6A">
      <w:pPr>
        <w:rPr>
          <w:rFonts w:cs="Times New Roman"/>
          <w:szCs w:val="24"/>
        </w:rPr>
      </w:pPr>
      <w:r w:rsidRPr="00656B6A">
        <w:rPr>
          <w:rFonts w:cs="Times New Roman"/>
          <w:szCs w:val="24"/>
        </w:rPr>
        <w:t xml:space="preserve">        Zagreb, Amruševa 2/II.</w:t>
      </w:r>
    </w:p>
    <w:p w:rsidRDefault="009C0BA0" w:rsidR="009C0BA0" w:rsidRPr="00656B6A">
      <w:pPr>
        <w:rPr>
          <w:rFonts w:cs="Times New Roman"/>
          <w:szCs w:val="24"/>
        </w:rPr>
      </w:pPr>
    </w:p>
    <w:p w:rsidRDefault="009C0BA0" w:rsidP="009C0BA0" w:rsidR="009C0BA0" w:rsidRPr="00656B6A">
      <w:pPr>
        <w:jc w:val="right"/>
        <w:rPr>
          <w:rFonts w:cs="Times New Roman"/>
          <w:szCs w:val="24"/>
        </w:rPr>
      </w:pPr>
      <w:r w:rsidRPr="00656B6A">
        <w:rPr>
          <w:rFonts w:cs="Times New Roman"/>
          <w:szCs w:val="24"/>
        </w:rPr>
        <w:t>Poslovni broj: 21. St-8304/15-7</w:t>
      </w:r>
    </w:p>
    <w:p w:rsidRDefault="009C0BA0" w:rsidP="009C0BA0" w:rsidR="009C0BA0" w:rsidRPr="00656B6A">
      <w:pPr>
        <w:jc w:val="right"/>
        <w:rPr>
          <w:rFonts w:cs="Times New Roman"/>
          <w:szCs w:val="24"/>
        </w:rPr>
      </w:pPr>
    </w:p>
    <w:p w:rsidRDefault="009C0BA0" w:rsidP="009C0BA0" w:rsidR="009C0BA0" w:rsidRPr="00656B6A">
      <w:pPr>
        <w:jc w:val="right"/>
        <w:rPr>
          <w:rFonts w:cs="Times New Roman"/>
          <w:szCs w:val="24"/>
        </w:rPr>
      </w:pPr>
    </w:p>
    <w:p w:rsidRDefault="009C0BA0" w:rsidP="009C0BA0" w:rsidR="009C0BA0" w:rsidRPr="00656B6A">
      <w:pPr>
        <w:jc w:val="right"/>
        <w:rPr>
          <w:rFonts w:cs="Times New Roman"/>
          <w:szCs w:val="24"/>
        </w:rPr>
      </w:pPr>
    </w:p>
    <w:p w:rsidRDefault="009C0BA0" w:rsidP="009C0BA0" w:rsidR="009C0BA0" w:rsidRPr="00656B6A">
      <w:pPr>
        <w:jc w:val="center"/>
        <w:rPr>
          <w:rFonts w:cs="Times New Roman"/>
          <w:szCs w:val="24"/>
        </w:rPr>
      </w:pPr>
      <w:r w:rsidRPr="00656B6A">
        <w:rPr>
          <w:rFonts w:cs="Times New Roman"/>
          <w:szCs w:val="24"/>
        </w:rPr>
        <w:t>R E P U B L I K A   H R V A T S K A</w:t>
      </w:r>
    </w:p>
    <w:p w:rsidRDefault="009C0BA0" w:rsidP="009C0BA0" w:rsidR="009C0BA0" w:rsidRPr="00656B6A">
      <w:pPr>
        <w:jc w:val="center"/>
        <w:rPr>
          <w:rFonts w:cs="Times New Roman"/>
          <w:szCs w:val="24"/>
        </w:rPr>
      </w:pPr>
    </w:p>
    <w:p w:rsidRDefault="00AC431B" w:rsidP="009C0BA0" w:rsidR="009C0BA0" w:rsidRPr="00656B6A">
      <w:pPr>
        <w:jc w:val="center"/>
        <w:rPr>
          <w:rFonts w:cs="Times New Roman"/>
          <w:szCs w:val="24"/>
        </w:rPr>
      </w:pPr>
      <w:r w:rsidRPr="00656B6A">
        <w:rPr>
          <w:rFonts w:cs="Times New Roman"/>
          <w:szCs w:val="24"/>
        </w:rPr>
        <w:t>Z A K L J U Č A K</w:t>
      </w:r>
    </w:p>
    <w:p w:rsidRDefault="009C0BA0" w:rsidP="009C0BA0" w:rsidR="009C0BA0" w:rsidRPr="00656B6A">
      <w:pPr>
        <w:jc w:val="center"/>
        <w:rPr>
          <w:rFonts w:cs="Times New Roman"/>
          <w:szCs w:val="24"/>
        </w:rPr>
      </w:pPr>
    </w:p>
    <w:p w:rsidRDefault="009C0BA0" w:rsidP="00B47BFA" w:rsidR="00B47BFA" w:rsidRPr="00656B6A">
      <w:pPr>
        <w:jc w:val="both"/>
      </w:pPr>
      <w:r w:rsidRPr="00656B6A">
        <w:rPr>
          <w:rFonts w:cs="Times New Roman"/>
          <w:szCs w:val="24"/>
        </w:rPr>
        <w:tab/>
      </w:r>
      <w:r w:rsidR="00B47BFA" w:rsidRPr="00656B6A">
        <w:t xml:space="preserve">Trgovački sud u Zagrebu, po sutkinji Ivani Manestar, u stečajnom predmetu povodom zahtjeva FINANCIJSKE AGENCIJE, Zagreb, Trg svibanjskih žrtava 1995. 1, za provedbu skraćenog stečajnog postupka nad dužnikom TECHNOCHEM INTERNATIONAL d.o.o., Zagreb, Pavlenski put 5E, OIB: 71834222826, dana </w:t>
      </w:r>
      <w:r w:rsidR="00656B6A" w:rsidRPr="00656B6A">
        <w:t>8</w:t>
      </w:r>
      <w:r w:rsidR="00B47BFA" w:rsidRPr="00656B6A">
        <w:t xml:space="preserve">. </w:t>
      </w:r>
      <w:r w:rsidR="00656B6A" w:rsidRPr="00656B6A">
        <w:t>studenog</w:t>
      </w:r>
      <w:r w:rsidR="00B47BFA" w:rsidRPr="00656B6A">
        <w:t xml:space="preserve"> 2016.</w:t>
      </w:r>
    </w:p>
    <w:p w:rsidRDefault="00A011D1" w:rsidP="00B47BFA" w:rsidR="00A011D1" w:rsidRPr="00656B6A">
      <w:pPr>
        <w:jc w:val="both"/>
      </w:pPr>
    </w:p>
    <w:p w:rsidRDefault="00A011D1" w:rsidP="00B47BFA" w:rsidR="00A011D1" w:rsidRPr="00656B6A">
      <w:pPr>
        <w:jc w:val="both"/>
      </w:pPr>
    </w:p>
    <w:p w:rsidRDefault="00AC431B" w:rsidP="00A011D1" w:rsidR="00A011D1" w:rsidRPr="00656B6A">
      <w:pPr>
        <w:jc w:val="center"/>
      </w:pPr>
      <w:r w:rsidRPr="00656B6A">
        <w:t>z a k l j u č i o</w:t>
      </w:r>
      <w:r w:rsidR="00A011D1" w:rsidRPr="00656B6A">
        <w:t xml:space="preserve">   j e</w:t>
      </w:r>
    </w:p>
    <w:p w:rsidRDefault="00A011D1" w:rsidP="00A011D1" w:rsidR="00A011D1" w:rsidRPr="00656B6A">
      <w:pPr>
        <w:jc w:val="center"/>
      </w:pPr>
    </w:p>
    <w:p w:rsidRDefault="00A011D1" w:rsidP="00A011D1" w:rsidR="00A011D1" w:rsidRPr="00656B6A">
      <w:pPr>
        <w:jc w:val="both"/>
      </w:pPr>
      <w:r w:rsidRPr="00656B6A">
        <w:tab/>
      </w:r>
      <w:r w:rsidR="007B45EC" w:rsidRPr="00656B6A">
        <w:t xml:space="preserve">I. </w:t>
      </w:r>
      <w:r w:rsidR="006A4D89" w:rsidRPr="00656B6A">
        <w:t>Nalaže se društvu HYPO ALPE – ADRIA – BANK d.d., u roku od 8 dana od primitka ovog rješenja, očitovati je li vjerovnik dužnika TECHNOCHEM INTERNATIONAL d.o.o. te predlaže li da se nad dužnikom otvori stečajni postupak</w:t>
      </w:r>
      <w:r w:rsidR="009E6F48" w:rsidRPr="00656B6A">
        <w:t>, a ako kao vjerovnik predlaže otvaranje stečajnog postupka, poziva se u navedenom roku dostaviti ovom sudu prijedlog za otvaranje stečajnog postupka na propisanom obrascu</w:t>
      </w:r>
      <w:r w:rsidR="006A4D89" w:rsidRPr="00656B6A">
        <w:t>.</w:t>
      </w:r>
    </w:p>
    <w:p w:rsidRDefault="007B45EC" w:rsidP="00A011D1" w:rsidR="007B45EC" w:rsidRPr="00656B6A">
      <w:pPr>
        <w:jc w:val="both"/>
      </w:pPr>
    </w:p>
    <w:p w:rsidRDefault="007B45EC" w:rsidP="007B45EC" w:rsidR="007B45EC" w:rsidRPr="00656B6A">
      <w:pPr>
        <w:jc w:val="both"/>
      </w:pPr>
      <w:r w:rsidRPr="00656B6A">
        <w:tab/>
        <w:t xml:space="preserve">II. Ako HYPO ALPE – ADRIA – BANK d.d. u zadanom roku ne dostavi ovom sudu </w:t>
      </w:r>
      <w:r w:rsidR="009E6F48" w:rsidRPr="00656B6A">
        <w:t>prijedlog</w:t>
      </w:r>
      <w:r w:rsidRPr="00656B6A">
        <w:t xml:space="preserve"> za otvaranje stečaja nad dužnikom </w:t>
      </w:r>
      <w:r w:rsidR="009E6F48" w:rsidRPr="00656B6A">
        <w:t>TECHNOCHEM INTERNATIONAL d.o.o.</w:t>
      </w:r>
      <w:r w:rsidRPr="00656B6A">
        <w:t>, sud će donijeti rješenje o otvaranju i istovremenom zaključenju stečajnog postupka.</w:t>
      </w:r>
    </w:p>
    <w:p w:rsidRDefault="007B45EC" w:rsidP="00A011D1" w:rsidR="007B45EC" w:rsidRPr="00656B6A">
      <w:pPr>
        <w:jc w:val="both"/>
      </w:pPr>
    </w:p>
    <w:p w:rsidRDefault="006A4D89" w:rsidP="00A011D1" w:rsidR="006A4D89" w:rsidRPr="00656B6A">
      <w:pPr>
        <w:jc w:val="both"/>
      </w:pPr>
    </w:p>
    <w:p w:rsidRDefault="006A4D89" w:rsidP="006A4D89" w:rsidR="006A4D89" w:rsidRPr="00656B6A">
      <w:pPr>
        <w:jc w:val="center"/>
      </w:pPr>
      <w:r w:rsidRPr="00656B6A">
        <w:t>Obrazloženje</w:t>
      </w:r>
    </w:p>
    <w:p w:rsidRDefault="006A4D89" w:rsidP="006A4D89" w:rsidR="006A4D89" w:rsidRPr="00656B6A">
      <w:pPr>
        <w:jc w:val="center"/>
      </w:pPr>
    </w:p>
    <w:p w:rsidRDefault="006A4D89" w:rsidP="006A4D89" w:rsidR="006A4D89" w:rsidRPr="00656B6A">
      <w:pPr>
        <w:jc w:val="both"/>
      </w:pPr>
      <w:r w:rsidRPr="00656B6A">
        <w:tab/>
        <w:t>Podneskom od 10. ožujka 2016. društvo HYPO ALPE – ADRIA – BANK d.d. obavijestilo je ovaj sud da je dužnik TECHNOCHEM INTERNATIONAL d.o.o. vlasnik nekretnina te je dostavio zemljišnoknjižne izvatke za navedene nekretnine i izjavio da iz tog razloga ne postoje uvjeti za provođenje skraćenog stečajnog postupka.</w:t>
      </w:r>
    </w:p>
    <w:p w:rsidRDefault="006A4D89" w:rsidP="006A4D89" w:rsidR="006A4D89" w:rsidRPr="00656B6A">
      <w:pPr>
        <w:jc w:val="both"/>
      </w:pPr>
    </w:p>
    <w:p w:rsidRDefault="006A4D89" w:rsidP="006A4D89" w:rsidR="006A4D89" w:rsidRPr="00656B6A">
      <w:pPr>
        <w:jc w:val="both"/>
      </w:pPr>
      <w:r w:rsidRPr="00656B6A">
        <w:tab/>
        <w:t xml:space="preserve">Društvu HYPO ALPE – ADRIA – BANK d.d. napominje se da su oglasom ovog suda, objavljenim </w:t>
      </w:r>
      <w:r w:rsidR="009C1C57" w:rsidRPr="00656B6A">
        <w:t xml:space="preserve">19. veljače 2016., </w:t>
      </w:r>
      <w:r w:rsidRPr="00656B6A">
        <w:t>temeljem odredbe čl. 430. Stečajnog zakona (Narodne novine, broj: 71/2015., dalje u tekstu: SZ), pozvani zastupnici po zakonu dužnika dostaviti sudu javnobilježnički ovjeren popis imovine i obveza na propisanom obrascu, a vjerovnici dužnika pozvani su predložiti otvaranje stečajnog postupka i po pozivu suda predujmiti sredstva za namirenje troškova stečajnog postupka</w:t>
      </w:r>
      <w:r w:rsidR="009C1C57" w:rsidRPr="00656B6A">
        <w:t>.</w:t>
      </w:r>
    </w:p>
    <w:p w:rsidRDefault="009C1C57" w:rsidP="006A4D89" w:rsidR="009C1C57" w:rsidRPr="00656B6A">
      <w:pPr>
        <w:jc w:val="both"/>
      </w:pPr>
    </w:p>
    <w:p w:rsidRDefault="009C1C57" w:rsidP="009C0BA0" w:rsidR="009C0BA0" w:rsidRPr="00656B6A">
      <w:pPr>
        <w:jc w:val="both"/>
        <w:rPr>
          <w:rFonts w:cs="Times New Roman" w:eastAsia="Times New Roman"/>
          <w:szCs w:val="24"/>
          <w:lang w:eastAsia="hr-HR"/>
        </w:rPr>
      </w:pPr>
      <w:r w:rsidRPr="00656B6A">
        <w:lastRenderedPageBreak/>
        <w:tab/>
      </w:r>
      <w:r w:rsidRPr="00656B6A">
        <w:rPr>
          <w:rFonts w:cs="Times New Roman" w:eastAsia="Times New Roman"/>
          <w:szCs w:val="24"/>
          <w:lang w:eastAsia="hr-HR"/>
        </w:rPr>
        <w:t>Odredbom čl. 431.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</w:t>
      </w:r>
      <w:r w:rsidR="009E6F48" w:rsidRPr="00656B6A">
        <w:rPr>
          <w:rFonts w:cs="Times New Roman" w:eastAsia="Times New Roman"/>
          <w:szCs w:val="24"/>
          <w:lang w:eastAsia="hr-HR"/>
        </w:rPr>
        <w:t>.</w:t>
      </w:r>
    </w:p>
    <w:p w:rsidRDefault="00B236BC" w:rsidP="009C0BA0" w:rsidR="00B236BC" w:rsidRPr="00656B6A">
      <w:pPr>
        <w:jc w:val="both"/>
        <w:rPr>
          <w:rFonts w:cs="Times New Roman" w:eastAsia="Times New Roman"/>
          <w:szCs w:val="24"/>
          <w:lang w:eastAsia="hr-HR"/>
        </w:rPr>
      </w:pPr>
    </w:p>
    <w:p w:rsidRDefault="00B236BC" w:rsidP="009C0BA0" w:rsidR="00B236BC" w:rsidRPr="00656B6A">
      <w:pPr>
        <w:jc w:val="both"/>
        <w:rPr>
          <w:rFonts w:cs="Times New Roman" w:eastAsia="Times New Roman"/>
          <w:szCs w:val="24"/>
          <w:lang w:eastAsia="hr-HR"/>
        </w:rPr>
      </w:pPr>
      <w:r w:rsidRPr="00656B6A">
        <w:rPr>
          <w:rFonts w:cs="Times New Roman" w:eastAsia="Times New Roman"/>
          <w:szCs w:val="24"/>
          <w:lang w:eastAsia="hr-HR"/>
        </w:rPr>
        <w:tab/>
        <w:t>Zastupnici po zakonu dužnika nisu sudu podnijeli javnobilježnički ovjeren popis imovine i obveza, niti je netko od vjerovnika podnio prijedlog za otvaranje redovnog stečajnog postupka nad dužnikom.</w:t>
      </w:r>
    </w:p>
    <w:p w:rsidRDefault="009E6F48" w:rsidP="009C0BA0" w:rsidR="009E6F48" w:rsidRPr="00656B6A">
      <w:pPr>
        <w:jc w:val="both"/>
        <w:rPr>
          <w:rFonts w:cs="Times New Roman" w:eastAsia="Times New Roman"/>
          <w:szCs w:val="24"/>
          <w:lang w:eastAsia="hr-HR"/>
        </w:rPr>
      </w:pPr>
    </w:p>
    <w:p w:rsidRDefault="009E6F48" w:rsidP="009C0BA0" w:rsidR="009E6F48" w:rsidRPr="00656B6A">
      <w:pPr>
        <w:jc w:val="both"/>
        <w:rPr>
          <w:rFonts w:cs="Times New Roman" w:eastAsia="Times New Roman"/>
          <w:szCs w:val="24"/>
          <w:lang w:eastAsia="hr-HR"/>
        </w:rPr>
      </w:pPr>
      <w:r w:rsidRPr="00656B6A">
        <w:rPr>
          <w:rFonts w:cs="Times New Roman" w:eastAsia="Times New Roman"/>
          <w:szCs w:val="24"/>
          <w:lang w:eastAsia="hr-HR"/>
        </w:rPr>
        <w:tab/>
        <w:t>Stoga je društvo HYPO ALPE – ADRIA – BANK d.d. pozvano očitovati se da li je vjerovnik dužnik</w:t>
      </w:r>
      <w:r w:rsidR="00B236BC" w:rsidRPr="00656B6A">
        <w:rPr>
          <w:rFonts w:cs="Times New Roman" w:eastAsia="Times New Roman"/>
          <w:szCs w:val="24"/>
          <w:lang w:eastAsia="hr-HR"/>
        </w:rPr>
        <w:t>a</w:t>
      </w:r>
      <w:r w:rsidRPr="00656B6A">
        <w:rPr>
          <w:rFonts w:cs="Times New Roman" w:eastAsia="Times New Roman"/>
          <w:szCs w:val="24"/>
          <w:lang w:eastAsia="hr-HR"/>
        </w:rPr>
        <w:t xml:space="preserve"> te, ako jest, dostaviti ovom sudu prijedlog za otvaranje stečajnog postupka nad dužnikom, uz upozorenje na pravne posljedice iz odredbe čl. 431. st. 2. SZ-a.</w:t>
      </w:r>
    </w:p>
    <w:p w:rsidRDefault="009E6F48" w:rsidP="009C0BA0" w:rsidR="009E6F48" w:rsidRPr="00656B6A">
      <w:pPr>
        <w:jc w:val="both"/>
        <w:rPr>
          <w:rFonts w:cs="Times New Roman" w:eastAsia="Times New Roman"/>
          <w:szCs w:val="24"/>
          <w:lang w:eastAsia="hr-HR"/>
        </w:rPr>
      </w:pPr>
    </w:p>
    <w:p w:rsidRDefault="009E6F48" w:rsidP="009E6F48" w:rsidR="009E6F48" w:rsidRPr="00656B6A">
      <w:pPr>
        <w:jc w:val="center"/>
        <w:rPr>
          <w:rFonts w:cs="Times New Roman" w:eastAsia="Times New Roman"/>
          <w:szCs w:val="24"/>
          <w:lang w:eastAsia="hr-HR"/>
        </w:rPr>
      </w:pPr>
      <w:r w:rsidRPr="00656B6A">
        <w:rPr>
          <w:rFonts w:cs="Times New Roman" w:eastAsia="Times New Roman"/>
          <w:szCs w:val="24"/>
          <w:lang w:eastAsia="hr-HR"/>
        </w:rPr>
        <w:t xml:space="preserve">U Zagrebu </w:t>
      </w:r>
      <w:r w:rsidR="00656B6A" w:rsidRPr="00656B6A">
        <w:rPr>
          <w:rFonts w:cs="Times New Roman" w:eastAsia="Times New Roman"/>
          <w:szCs w:val="24"/>
          <w:lang w:eastAsia="hr-HR"/>
        </w:rPr>
        <w:t>8</w:t>
      </w:r>
      <w:r w:rsidRPr="00656B6A">
        <w:rPr>
          <w:rFonts w:cs="Times New Roman" w:eastAsia="Times New Roman"/>
          <w:szCs w:val="24"/>
          <w:lang w:eastAsia="hr-HR"/>
        </w:rPr>
        <w:t xml:space="preserve">. </w:t>
      </w:r>
      <w:r w:rsidR="00656B6A" w:rsidRPr="00656B6A">
        <w:rPr>
          <w:rFonts w:cs="Times New Roman" w:eastAsia="Times New Roman"/>
          <w:szCs w:val="24"/>
          <w:lang w:eastAsia="hr-HR"/>
        </w:rPr>
        <w:t>studenog</w:t>
      </w:r>
      <w:r w:rsidRPr="00656B6A">
        <w:rPr>
          <w:rFonts w:cs="Times New Roman" w:eastAsia="Times New Roman"/>
          <w:szCs w:val="24"/>
          <w:lang w:eastAsia="hr-HR"/>
        </w:rPr>
        <w:t xml:space="preserve"> 2016.</w:t>
      </w:r>
    </w:p>
    <w:p w:rsidRDefault="00B236BC" w:rsidP="009E6F48" w:rsidR="00B236BC" w:rsidRPr="00656B6A">
      <w:pPr>
        <w:jc w:val="center"/>
        <w:rPr>
          <w:rFonts w:cs="Times New Roman" w:eastAsia="Times New Roman"/>
          <w:szCs w:val="24"/>
          <w:lang w:eastAsia="hr-HR"/>
        </w:rPr>
      </w:pPr>
    </w:p>
    <w:p w:rsidRDefault="00B236BC" w:rsidP="006F50F7" w:rsidR="00B236BC" w:rsidRPr="00656B6A">
      <w:pPr>
        <w:jc w:val="center"/>
        <w:rPr>
          <w:rFonts w:eastAsia="Times New Roman"/>
          <w:szCs w:val="24"/>
        </w:rPr>
      </w:pP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</w:r>
      <w:r w:rsidRPr="00656B6A">
        <w:rPr>
          <w:rFonts w:eastAsia="Times New Roman"/>
          <w:szCs w:val="24"/>
        </w:rPr>
        <w:tab/>
        <w:t xml:space="preserve">         Sutkinja:</w:t>
      </w:r>
    </w:p>
    <w:p w:rsidRDefault="00B236BC" w:rsidP="006F50F7" w:rsidR="00B236BC" w:rsidRPr="00656B6A">
      <w:pPr>
        <w:jc w:val="right"/>
        <w:rPr>
          <w:rFonts w:eastAsia="Times New Roman"/>
          <w:szCs w:val="24"/>
        </w:rPr>
      </w:pPr>
      <w:r w:rsidRPr="00656B6A">
        <w:rPr>
          <w:rFonts w:eastAsia="Times New Roman"/>
          <w:szCs w:val="24"/>
        </w:rPr>
        <w:t>Ivana Manestar</w:t>
      </w:r>
    </w:p>
    <w:p w:rsidRDefault="00B236BC" w:rsidP="006F50F7" w:rsidR="00B236BC" w:rsidRPr="00656B6A">
      <w:pPr>
        <w:jc w:val="right"/>
        <w:rPr>
          <w:rFonts w:eastAsia="Times New Roman"/>
          <w:szCs w:val="24"/>
        </w:rPr>
      </w:pPr>
    </w:p>
    <w:p w:rsidRDefault="00B236BC" w:rsidP="006F50F7" w:rsidR="00B236BC" w:rsidRPr="00656B6A">
      <w:pPr>
        <w:jc w:val="right"/>
        <w:rPr>
          <w:rFonts w:eastAsia="Times New Roman"/>
          <w:szCs w:val="24"/>
        </w:rPr>
      </w:pPr>
    </w:p>
    <w:p w:rsidRDefault="00B236BC" w:rsidP="006F50F7" w:rsidR="00B236BC" w:rsidRPr="00656B6A">
      <w:pPr>
        <w:jc w:val="right"/>
        <w:rPr>
          <w:rFonts w:eastAsia="Times New Roman"/>
          <w:szCs w:val="24"/>
        </w:rPr>
      </w:pPr>
    </w:p>
    <w:p w:rsidRDefault="00B236BC" w:rsidP="00B236BC" w:rsidR="00B236BC" w:rsidRPr="00656B6A">
      <w:pPr>
        <w:jc w:val="both"/>
        <w:rPr>
          <w:rFonts w:eastAsia="Times New Roman"/>
          <w:szCs w:val="24"/>
        </w:rPr>
      </w:pPr>
      <w:r w:rsidRPr="00656B6A">
        <w:rPr>
          <w:rFonts w:eastAsia="Times New Roman"/>
          <w:szCs w:val="24"/>
        </w:rPr>
        <w:t>UPUTA O PRAVNOM LIJEKU:</w:t>
      </w:r>
    </w:p>
    <w:p w:rsidRDefault="00B236BC" w:rsidP="00B236BC" w:rsidR="00B236BC" w:rsidRPr="00656B6A">
      <w:pPr>
        <w:jc w:val="both"/>
        <w:rPr>
          <w:rFonts w:cs="Times New Roman" w:eastAsia="Times New Roman"/>
          <w:szCs w:val="24"/>
          <w:lang w:eastAsia="hr-HR"/>
        </w:rPr>
      </w:pPr>
      <w:r w:rsidRPr="00656B6A">
        <w:rPr>
          <w:rFonts w:cs="Times New Roman" w:eastAsia="Times New Roman"/>
          <w:szCs w:val="24"/>
          <w:lang w:eastAsia="hr-HR"/>
        </w:rPr>
        <w:t xml:space="preserve">Protiv </w:t>
      </w:r>
      <w:r w:rsidR="00AC431B" w:rsidRPr="00656B6A">
        <w:rPr>
          <w:rFonts w:cs="Times New Roman" w:eastAsia="Times New Roman"/>
          <w:szCs w:val="24"/>
          <w:lang w:eastAsia="hr-HR"/>
        </w:rPr>
        <w:t xml:space="preserve">zaključka </w:t>
      </w:r>
      <w:r w:rsidRPr="00656B6A">
        <w:rPr>
          <w:rFonts w:cs="Times New Roman" w:eastAsia="Times New Roman"/>
          <w:szCs w:val="24"/>
          <w:lang w:eastAsia="hr-HR"/>
        </w:rPr>
        <w:t>žalba nije dopuštena.</w:t>
      </w:r>
    </w:p>
    <w:p w:rsidRDefault="00B236BC" w:rsidP="00B236BC" w:rsidR="00B236BC" w:rsidRPr="00656B6A">
      <w:pPr>
        <w:jc w:val="both"/>
        <w:rPr>
          <w:rFonts w:cs="Times New Roman" w:eastAsia="Times New Roman"/>
          <w:szCs w:val="24"/>
          <w:lang w:eastAsia="hr-HR"/>
        </w:rPr>
      </w:pPr>
    </w:p>
    <w:p w:rsidRDefault="00B236BC" w:rsidP="00B236BC" w:rsidR="00B236BC" w:rsidRPr="00656B6A">
      <w:pPr>
        <w:jc w:val="both"/>
        <w:rPr>
          <w:rFonts w:cs="Times New Roman" w:eastAsia="Times New Roman"/>
          <w:szCs w:val="24"/>
          <w:lang w:eastAsia="hr-HR"/>
        </w:rPr>
      </w:pPr>
    </w:p>
    <w:p w:rsidRDefault="00B236BC" w:rsidP="00B236BC" w:rsidR="00B236BC" w:rsidRPr="00656B6A">
      <w:pPr>
        <w:jc w:val="both"/>
        <w:rPr>
          <w:rFonts w:eastAsia="Times New Roman"/>
          <w:szCs w:val="24"/>
        </w:rPr>
      </w:pPr>
      <w:r w:rsidRPr="00656B6A">
        <w:rPr>
          <w:rFonts w:eastAsia="Times New Roman"/>
          <w:szCs w:val="24"/>
        </w:rPr>
        <w:t>DNA:</w:t>
      </w:r>
    </w:p>
    <w:p w:rsidRDefault="00B236BC" w:rsidP="00B236BC" w:rsidR="00B236BC" w:rsidRPr="00656B6A">
      <w:pPr>
        <w:pStyle w:val="Odlomakpopisa"/>
        <w:numPr>
          <w:ilvl w:val="0"/>
          <w:numId w:val="1"/>
        </w:numPr>
        <w:jc w:val="both"/>
        <w:rPr>
          <w:rFonts w:eastAsia="Times New Roman"/>
          <w:szCs w:val="24"/>
        </w:rPr>
      </w:pPr>
      <w:r w:rsidRPr="00656B6A">
        <w:rPr>
          <w:rFonts w:eastAsia="Times New Roman"/>
          <w:szCs w:val="24"/>
        </w:rPr>
        <w:t>društvu HYPO ALPE – ADRIA – BANK d.d., Zagreb, Slavonska avenija 6</w:t>
      </w:r>
    </w:p>
    <w:p w:rsidRDefault="00B236BC" w:rsidP="00B236BC" w:rsidR="00B236BC" w:rsidRPr="00656B6A">
      <w:pPr>
        <w:pStyle w:val="Odlomakpopisa"/>
        <w:numPr>
          <w:ilvl w:val="0"/>
          <w:numId w:val="1"/>
        </w:numPr>
        <w:jc w:val="both"/>
        <w:rPr>
          <w:rFonts w:eastAsia="Times New Roman"/>
          <w:szCs w:val="24"/>
        </w:rPr>
      </w:pPr>
      <w:r w:rsidRPr="00656B6A">
        <w:rPr>
          <w:rFonts w:eastAsia="Times New Roman"/>
          <w:szCs w:val="24"/>
        </w:rPr>
        <w:t>e-oglasna ploča</w:t>
      </w:r>
    </w:p>
    <w:p w:rsidRDefault="00B236BC" w:rsidP="00B236BC" w:rsidR="00B236BC">
      <w:pPr>
        <w:jc w:val="both"/>
      </w:pPr>
    </w:p>
    <w:p w:rsidRDefault="00B236BC" w:rsidP="00B236BC" w:rsidR="00B236BC" w:rsidRPr="007B4140">
      <w:pPr>
        <w:jc w:val="both"/>
        <w:rPr>
          <w:rFonts w:eastAsia="Times New Roman"/>
          <w:szCs w:val="24"/>
        </w:rPr>
      </w:pPr>
    </w:p>
    <w:p w:rsidRDefault="00B236BC" w:rsidP="009E6F48" w:rsidR="00B236BC">
      <w:pPr>
        <w:jc w:val="center"/>
      </w:pPr>
    </w:p>
    <w:sectPr w:rsidSect="00B236BC" w:rsidR="00B236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6BC" w:rsidP="00B236BC" w:rsidR="00B236BC">
      <w:r>
        <w:separator/>
      </w:r>
    </w:p>
  </w:endnote>
  <w:endnote w:id="0" w:type="continuationSeparator">
    <w:p w:rsidRDefault="00B236BC" w:rsidP="00B236BC" w:rsidR="00B23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6BC" w:rsidP="00B236BC" w:rsidR="00B236BC">
      <w:r>
        <w:separator/>
      </w:r>
    </w:p>
  </w:footnote>
  <w:footnote w:id="0" w:type="continuationSeparator">
    <w:p w:rsidRDefault="00B236BC" w:rsidP="00B236BC" w:rsidR="00B23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3659091"/>
      <w:docPartObj>
        <w:docPartGallery w:val="Page Numbers (Top of Page)"/>
        <w:docPartUnique/>
      </w:docPartObj>
    </w:sdtPr>
    <w:sdtEndPr/>
    <w:sdtContent>
      <w:p w:rsidRDefault="00B236BC" w:rsidR="00B236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B6A">
          <w:rPr>
            <w:noProof/>
          </w:rPr>
          <w:t>2</w:t>
        </w:r>
        <w:r>
          <w:fldChar w:fldCharType="end"/>
        </w:r>
      </w:p>
      <w:p w:rsidRDefault="00B236BC" w:rsidP="00B236BC" w:rsidR="00B236BC">
        <w:pPr>
          <w:pStyle w:val="Zaglavlje"/>
          <w:jc w:val="right"/>
        </w:pPr>
        <w:r>
          <w:t>Poslovni broj: 21. St-8304/15-7</w:t>
        </w:r>
      </w:p>
    </w:sdtContent>
  </w:sdt>
  <w:p w:rsidRDefault="00B236BC" w:rsidR="00B236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768EF"/>
    <w:multiLevelType w:val="hybridMultilevel"/>
    <w:tmpl w:val="4336CC22"/>
    <w:lvl w:tplc="7AD821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FBA"/>
    <w:rsid w:val="001032F4"/>
    <w:rsid w:val="00131E95"/>
    <w:rsid w:val="0019711A"/>
    <w:rsid w:val="00197F24"/>
    <w:rsid w:val="001A1D04"/>
    <w:rsid w:val="001A3FBA"/>
    <w:rsid w:val="0033624F"/>
    <w:rsid w:val="0034753A"/>
    <w:rsid w:val="00457EF8"/>
    <w:rsid w:val="00656B6A"/>
    <w:rsid w:val="006A4D89"/>
    <w:rsid w:val="007A1913"/>
    <w:rsid w:val="007B45EC"/>
    <w:rsid w:val="0085059C"/>
    <w:rsid w:val="00950F54"/>
    <w:rsid w:val="009C0BA0"/>
    <w:rsid w:val="009C1C57"/>
    <w:rsid w:val="009D3B13"/>
    <w:rsid w:val="009E6F48"/>
    <w:rsid w:val="00A011D1"/>
    <w:rsid w:val="00A53DC3"/>
    <w:rsid w:val="00AC431B"/>
    <w:rsid w:val="00B236BC"/>
    <w:rsid w:val="00B4105F"/>
    <w:rsid w:val="00B47BFA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B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0BA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45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236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36BC"/>
  </w:style>
  <w:style w:styleId="Podnoje" w:type="paragraph">
    <w:name w:val="footer"/>
    <w:basedOn w:val="Normal"/>
    <w:link w:val="PodnojeChar"/>
    <w:uiPriority w:val="99"/>
    <w:unhideWhenUsed/>
    <w:rsid w:val="00B236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36BC"/>
  </w:style>
  <w:style w:styleId="Tekstrezerviranogmjesta" w:type="character">
    <w:name w:val="Placeholder Text"/>
    <w:basedOn w:val="Zadanifontodlomka"/>
    <w:uiPriority w:val="99"/>
    <w:semiHidden/>
    <w:rsid w:val="00656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B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0BA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45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236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36BC"/>
  </w:style>
  <w:style w:styleId="Podnoje" w:type="paragraph">
    <w:name w:val="footer"/>
    <w:basedOn w:val="Normal"/>
    <w:link w:val="PodnojeChar"/>
    <w:uiPriority w:val="99"/>
    <w:unhideWhenUsed/>
    <w:rsid w:val="00B236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36BC"/>
  </w:style>
  <w:style w:styleId="Tekstrezerviranogmjesta" w:type="character">
    <w:name w:val="Placeholder Text"/>
    <w:basedOn w:val="Zadanifontodlomka"/>
    <w:uiPriority w:val="99"/>
    <w:semiHidden/>
    <w:rsid w:val="00656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8304</izvorni_sadrzaj>
    <derivirana_varijabla naziv="DomainObject.Predmet.Broj_1">8304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St-8304/2015</izvorni_sadrzaj>
    <derivirana_varijabla naziv="DomainObject.Predmet.OznakaBroj_1">St-8304/2015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TECHNOCHEM INTERNATIONAL d.o.o.</izvorni_sadrzaj>
    <derivirana_varijabla naziv="DomainObject.Predmet.ProtustrankaFormated_1">  TECHNOCHEM INTERNATIONAL d.o.o.</derivirana_varijabla>
  </DomainObject.Predmet.ProtustrankaFormated>
  <DomainObject.Predmet.ProtustrankaFormatedOIB>
    <izvorni_sadrzaj>  TECHNOCHEM INTERNATIONAL d.o.o., OIB 71834222826</izvorni_sadrzaj>
    <derivirana_varijabla naziv="DomainObject.Predmet.ProtustrankaFormatedOIB_1">  TECHNOCHEM INTERNATIONAL d.o.o., OIB 71834222826</derivirana_varijabla>
  </DomainObject.Predmet.ProtustrankaFormatedOIB>
  <DomainObject.Predmet.ProtustrankaFormatedWithAdress>
    <izvorni_sadrzaj> TECHNOCHEM INTERNATIONAL d.o.o., Pavlenski put 5 E, 10000 Zagreb</izvorni_sadrzaj>
    <derivirana_varijabla naziv="DomainObject.Predmet.ProtustrankaFormatedWithAdress_1"> TECHNOCHEM INTERNATIONAL d.o.o., Pavlenski put 5 E, 10000 Zagreb</derivirana_varijabla>
  </DomainObject.Predmet.ProtustrankaFormatedWithAdress>
  <DomainObject.Predmet.ProtustrankaFormatedWithAdressOIB>
    <izvorni_sadrzaj> TECHNOCHEM INTERNATIONAL d.o.o., OIB 71834222826, Pavlenski put 5 E, 10000 Zagreb</izvorni_sadrzaj>
    <derivirana_varijabla naziv="DomainObject.Predmet.ProtustrankaFormatedWithAdressOIB_1"> TECHNOCHEM INTERNATIONAL d.o.o., OIB 71834222826, Pavlenski put 5 E, 10000 Zagreb</derivirana_varijabla>
  </DomainObject.Predmet.ProtustrankaFormatedWithAdressOIB>
  <DomainObject.Predmet.ProtustrankaWithAdress>
    <izvorni_sadrzaj>TECHNOCHEM INTERNATIONAL d.o.o. Pavlenski put 5 E, 10000 Zagreb</izvorni_sadrzaj>
    <derivirana_varijabla naziv="DomainObject.Predmet.ProtustrankaWithAdress_1">TECHNOCHEM INTERNATIONAL d.o.o. Pavlenski put 5 E, 10000 Zagreb</derivirana_varijabla>
  </DomainObject.Predmet.ProtustrankaWithAdress>
  <DomainObject.Predmet.ProtustrankaWithAdressOIB>
    <izvorni_sadrzaj>TECHNOCHEM INTERNATIONAL d.o.o., OIB 71834222826, Pavlenski put 5 E, 10000 Zagreb</izvorni_sadrzaj>
    <derivirana_varijabla naziv="DomainObject.Predmet.ProtustrankaWithAdressOIB_1">TECHNOCHEM INTERNATIONAL d.o.o., OIB 71834222826, Pavlenski put 5 E, 10000 Zagreb</derivirana_varijabla>
  </DomainObject.Predmet.ProtustrankaWithAdressOIB>
  <DomainObject.Predmet.ProtustrankaNazivFormated>
    <izvorni_sadrzaj>TECHNOCHEM INTERNATIONAL d.o.o.</izvorni_sadrzaj>
    <derivirana_varijabla naziv="DomainObject.Predmet.ProtustrankaNazivFormated_1">TECHNOCHEM INTERNATIONAL d.o.o.</derivirana_varijabla>
  </DomainObject.Predmet.ProtustrankaNazivFormated>
  <DomainObject.Predmet.ProtustrankaNazivFormatedOIB>
    <izvorni_sadrzaj>TECHNOCHEM INTERNATIONAL d.o.o., OIB 71834222826</izvorni_sadrzaj>
    <derivirana_varijabla naziv="DomainObject.Predmet.ProtustrankaNazivFormatedOIB_1">TECHNOCHEM INTERNATIONAL d.o.o., OIB 71834222826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TECHNOCHEM INTERNATIONAL d.o.o.</item>
    </izvorni_sadrzaj>
    <derivirana_varijabla naziv="DomainObject.Predmet.ProtuStrankaListFormated_1">
      <item>TECHNOCHEM INTERNATIONAL d.o.o.</item>
    </derivirana_varijabla>
  </DomainObject.Predmet.ProtuStrankaListFormated>
  <DomainObject.Predmet.ProtuStrankaListFormatedOIB>
    <izvorni_sadrzaj>
      <item>TECHNOCHEM INTERNATIONAL d.o.o., OIB 71834222826</item>
    </izvorni_sadrzaj>
    <derivirana_varijabla naziv="DomainObject.Predmet.ProtuStrankaListFormatedOIB_1">
      <item>TECHNOCHEM INTERNATIONAL d.o.o., OIB 71834222826</item>
    </derivirana_varijabla>
  </DomainObject.Predmet.ProtuStrankaListFormatedOIB>
  <DomainObject.Predmet.ProtuStrankaListFormatedWithAdress>
    <izvorni_sadrzaj>
      <item>TECHNOCHEM INTERNATIONAL d.o.o., Pavlenski put 5 E, 10000 Zagreb</item>
    </izvorni_sadrzaj>
    <derivirana_varijabla naziv="DomainObject.Predmet.ProtuStrankaListFormatedWithAdress_1">
      <item>TECHNOCHEM INTERNATIONAL d.o.o., Pavlenski put 5 E, 10000 Zagreb</item>
    </derivirana_varijabla>
  </DomainObject.Predmet.ProtuStrankaListFormatedWithAdress>
  <DomainObject.Predmet.ProtuStrankaListFormatedWithAdressOIB>
    <izvorni_sadrzaj>
      <item>TECHNOCHEM INTERNATIONAL d.o.o., OIB 71834222826, Pavlenski put 5 E, 10000 Zagreb</item>
    </izvorni_sadrzaj>
    <derivirana_varijabla naziv="DomainObject.Predmet.ProtuStrankaListFormatedWithAdressOIB_1">
      <item>TECHNOCHEM INTERNATIONAL d.o.o., OIB 71834222826, Pavlenski put 5 E, 10000 Zagreb</item>
    </derivirana_varijabla>
  </DomainObject.Predmet.ProtuStrankaListFormatedWithAdressOIB>
  <DomainObject.Predmet.ProtuStrankaListNazivFormated>
    <izvorni_sadrzaj>
      <item>TECHNOCHEM INTERNATIONAL d.o.o.</item>
    </izvorni_sadrzaj>
    <derivirana_varijabla naziv="DomainObject.Predmet.ProtuStrankaListNazivFormated_1">
      <item>TECHNOCHEM INTERNATIONAL d.o.o.</item>
    </derivirana_varijabla>
  </DomainObject.Predmet.ProtuStrankaListNazivFormated>
  <DomainObject.Predmet.ProtuStrankaListNazivFormatedOIB>
    <izvorni_sadrzaj>
      <item>TECHNOCHEM INTERNATIONAL d.o.o., OIB 71834222826</item>
    </izvorni_sadrzaj>
    <derivirana_varijabla naziv="DomainObject.Predmet.ProtuStrankaListNazivFormatedOIB_1">
      <item>TECHNOCHEM INTERNATIONAL d.o.o., OIB 71834222826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TECHNOCHEM INTERNATIONAL d.o.o.</izvorni_sadrzaj>
    <derivirana_varijabla naziv="DomainObject.Predmet.ProtustrankaIDrugi_1">TECHNOCHEM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TECHNOCHEM INTERNATIONAL d.o.o., OIB 71834222826, Pavlenski put 5 E, 10000 Zagreb</izvorni_sadrzaj>
    <derivirana_varijabla naziv="DomainObject.Predmet.ProtustrankaIDrugiAdressOIB_1">TECHNOCHEM INTERNATIONAL d.o.o., OIB 71834222826, Pavlenski put 5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TECHNOCHEM INTERNATIONAL d.o.o.</item>
    </izvorni_sadrzaj>
    <derivirana_varijabla naziv="DomainObject.Predmet.SudioniciListNaziv_1">
      <item>FINA Regionalni centar Zagreb</item>
      <item>TECHNOCHEM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TECHNOCHEM INTERNATIONAL d.o.o., OIB 71834222826, Pavlenski put 5 E,10000 Zagreb</item>
    </izvorni_sadrzaj>
    <derivirana_varijabla naziv="DomainObject.Predmet.SudioniciListAdressOIB_1">
      <item>FINA Regionalni centar Zagreb, OIB 85821130368, Trg svibanjskih žrtava 1995. 1,10000 Zagreb</item>
      <item>TECHNOCHEM INTERNATIONAL d.o.o., OIB 71834222826, Pavlenski put 5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71834222826</item>
    </izvorni_sadrzaj>
    <derivirana_varijabla naziv="DomainObject.Predmet.SudioniciListNazivOIB_1">
      <item>, OIB 85821130368</item>
      <item>, OIB 71834222826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2640</properties:Characters>
  <properties:Lines>78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2016-10-06T10:40:00Z</dcterms:created>
  <dc:creator>Ivana Manestar</dc:creator>
  <dc:description/>
  <cp:keywords/>
  <cp:lastModifiedBy>Goran Plavšić</cp:lastModifiedBy>
  <cp:lastPrinted>2016-11-08T13:39:00Z</cp:lastPrinted>
  <dcterms:modified xmlns:xsi="http://www.w3.org/2001/XMLSchema-instance" xsi:type="dcterms:W3CDTF">2016-11-08T13:39:00Z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