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2cddb" w14:paraId="042cddb" w:rsidRDefault="006120FD" w:rsidP="006120FD" w:rsidR="006120FD" w:rsidRPr="006120FD">
      <w:pPr>
        <w:jc w:val="both"/>
        <w:outlineLvl w:val="0"/>
        <w15:collapsed w:val="false"/>
        <w:rPr>
          <w:rFonts w:cs="Times New Roman" w:eastAsia="Times New Roman"/>
          <w:szCs w:val="24"/>
          <w:lang w:eastAsia="hr-HR"/>
        </w:rPr>
      </w:pPr>
      <w:bookmarkStart w:name="_GoBack" w:id="0"/>
      <w:bookmarkEnd w:id="0"/>
      <w:r w:rsidRPr="006120FD">
        <w:rPr>
          <w:rFonts w:cs="Times New Roman" w:eastAsia="Times New Roman"/>
          <w:noProof/>
          <w:sz w:val="22"/>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6120FD" w:rsidP="006120FD" w:rsidR="006120FD" w:rsidRPr="006120FD">
      <w:pPr>
        <w:jc w:val="both"/>
        <w:outlineLvl w:val="0"/>
        <w:rPr>
          <w:rFonts w:cs="Times New Roman" w:eastAsia="Times New Roman"/>
          <w:szCs w:val="24"/>
          <w:lang w:eastAsia="hr-HR"/>
        </w:rPr>
      </w:pPr>
      <w:r w:rsidRPr="006120FD">
        <w:rPr>
          <w:rFonts w:cs="Times New Roman" w:eastAsia="Times New Roman"/>
          <w:szCs w:val="24"/>
          <w:lang w:eastAsia="hr-HR"/>
        </w:rPr>
        <w:t>REPUBLIKA HRVATSKA</w:t>
      </w:r>
    </w:p>
    <w:p w:rsidRDefault="006120FD" w:rsidP="006120FD" w:rsidR="006120FD" w:rsidRPr="006120FD">
      <w:pPr>
        <w:jc w:val="both"/>
        <w:outlineLvl w:val="0"/>
        <w:rPr>
          <w:rFonts w:cs="Times New Roman" w:eastAsia="Times New Roman"/>
          <w:szCs w:val="24"/>
          <w:lang w:eastAsia="hr-HR"/>
        </w:rPr>
      </w:pPr>
      <w:r w:rsidRPr="006120FD">
        <w:rPr>
          <w:rFonts w:cs="Times New Roman" w:eastAsia="Times New Roman"/>
          <w:szCs w:val="24"/>
          <w:lang w:eastAsia="hr-HR"/>
        </w:rPr>
        <w:t>Trgovački sud u Zagrebu</w:t>
      </w:r>
    </w:p>
    <w:p w:rsidRDefault="006120FD" w:rsidP="006120FD" w:rsidR="006120FD" w:rsidRPr="006120FD">
      <w:pPr>
        <w:jc w:val="both"/>
        <w:outlineLvl w:val="0"/>
        <w:rPr>
          <w:rFonts w:cs="Times New Roman" w:eastAsia="Times New Roman"/>
          <w:szCs w:val="24"/>
          <w:lang w:eastAsia="hr-HR"/>
        </w:rPr>
      </w:pPr>
      <w:r w:rsidRPr="006120FD">
        <w:rPr>
          <w:rFonts w:cs="Times New Roman" w:eastAsia="Times New Roman"/>
          <w:szCs w:val="24"/>
          <w:lang w:eastAsia="hr-HR"/>
        </w:rPr>
        <w:t>Zagreb, Amruševa 2/II</w:t>
      </w:r>
    </w:p>
    <w:p w:rsidRDefault="006120FD" w:rsidP="006120FD" w:rsidR="006120FD" w:rsidRPr="006120FD">
      <w:pPr>
        <w:jc w:val="both"/>
        <w:outlineLvl w:val="0"/>
        <w:rPr>
          <w:rFonts w:cs="Times New Roman" w:eastAsia="Times New Roman"/>
          <w:szCs w:val="24"/>
          <w:lang w:eastAsia="hr-HR"/>
        </w:rPr>
      </w:pPr>
    </w:p>
    <w:p w:rsidRDefault="006120FD" w:rsidP="006120FD" w:rsidR="006120FD" w:rsidRPr="006120FD">
      <w:pPr>
        <w:jc w:val="both"/>
        <w:outlineLvl w:val="0"/>
        <w:rPr>
          <w:rFonts w:cs="Times New Roman" w:eastAsia="Times New Roman"/>
          <w:szCs w:val="24"/>
          <w:lang w:eastAsia="hr-HR"/>
        </w:rPr>
      </w:pPr>
    </w:p>
    <w:p w:rsidRDefault="006120FD" w:rsidP="006120FD" w:rsidR="006120FD" w:rsidRPr="006120FD">
      <w:pPr>
        <w:tabs>
          <w:tab w:pos="9072" w:val="right"/>
        </w:tabs>
        <w:overflowPunct w:val="false"/>
        <w:jc w:val="center"/>
        <w:rPr>
          <w:rFonts w:cs="Times New Roman" w:eastAsia="Times New Roman"/>
          <w:bCs/>
          <w:szCs w:val="24"/>
          <w:lang w:eastAsia="hr-HR"/>
        </w:rPr>
      </w:pPr>
      <w:r w:rsidRPr="006120FD">
        <w:rPr>
          <w:rFonts w:cs="Times New Roman" w:eastAsia="Times New Roman"/>
          <w:bCs/>
          <w:szCs w:val="24"/>
          <w:lang w:eastAsia="hr-HR"/>
        </w:rPr>
        <w:t>R E P U B L I K A   H R V A T S K A</w:t>
      </w:r>
    </w:p>
    <w:p w:rsidRDefault="006120FD" w:rsidP="006120FD" w:rsidR="006120FD" w:rsidRPr="006120FD">
      <w:pPr>
        <w:tabs>
          <w:tab w:pos="9072" w:val="right"/>
        </w:tabs>
        <w:overflowPunct w:val="false"/>
        <w:jc w:val="center"/>
        <w:rPr>
          <w:rFonts w:cs="Times New Roman" w:eastAsia="Times New Roman"/>
          <w:szCs w:val="24"/>
          <w:lang w:eastAsia="hr-HR"/>
        </w:rPr>
      </w:pPr>
    </w:p>
    <w:p w:rsidRDefault="006120FD" w:rsidP="006120FD" w:rsidR="006120FD" w:rsidRPr="006120FD">
      <w:pPr>
        <w:overflowPunct w:val="false"/>
        <w:jc w:val="center"/>
        <w:rPr>
          <w:rFonts w:cs="Times New Roman" w:eastAsia="Times New Roman"/>
          <w:szCs w:val="24"/>
          <w:lang w:eastAsia="hr-HR"/>
        </w:rPr>
      </w:pPr>
      <w:r w:rsidRPr="006120FD">
        <w:rPr>
          <w:rFonts w:cs="Times New Roman" w:eastAsia="Times New Roman"/>
          <w:bCs/>
          <w:szCs w:val="24"/>
          <w:lang w:eastAsia="hr-HR"/>
        </w:rPr>
        <w:t>R J E Š E NJ E</w:t>
      </w:r>
    </w:p>
    <w:p w:rsidRDefault="006120FD" w:rsidP="006120FD" w:rsidR="006120FD" w:rsidRPr="006120FD">
      <w:pPr>
        <w:overflowPunct w:val="false"/>
        <w:jc w:val="center"/>
        <w:rPr>
          <w:rFonts w:cs="Times New Roman" w:eastAsia="Times New Roman"/>
          <w:bCs/>
          <w:szCs w:val="24"/>
          <w:lang w:eastAsia="hr-HR"/>
        </w:rPr>
      </w:pPr>
      <w:r w:rsidRPr="006120FD">
        <w:rPr>
          <w:rFonts w:cs="Times New Roman" w:eastAsia="Times New Roman"/>
          <w:bCs/>
          <w:szCs w:val="24"/>
          <w:lang w:eastAsia="hr-HR"/>
        </w:rPr>
        <w:t> </w:t>
      </w:r>
    </w:p>
    <w:p w:rsidRDefault="006120FD" w:rsidP="006120FD" w:rsidR="006120FD" w:rsidRPr="006120FD">
      <w:pPr>
        <w:overflowPunct w:val="false"/>
        <w:jc w:val="center"/>
        <w:rPr>
          <w:rFonts w:cs="Times New Roman" w:eastAsia="Times New Roman"/>
          <w:szCs w:val="24"/>
          <w:lang w:eastAsia="hr-HR"/>
        </w:rPr>
      </w:pPr>
    </w:p>
    <w:p w:rsidRDefault="003E1E3F" w:rsidP="006120FD" w:rsidR="006120FD" w:rsidRPr="006120FD">
      <w:pPr>
        <w:ind w:firstLine="720"/>
        <w:jc w:val="both"/>
        <w:rPr>
          <w:rFonts w:cs="Times New Roman" w:eastAsia="Times New Roman"/>
          <w:noProof/>
          <w:szCs w:val="24"/>
          <w:lang w:eastAsia="hr-HR"/>
        </w:rPr>
      </w:pPr>
      <w:r>
        <w:t xml:space="preserve">TRGOVAČKI SUD U ZAGREBU, po sucu Mirjani Chour Hršak, </w:t>
      </w:r>
      <w:r>
        <w:rPr>
          <w:szCs w:val="24"/>
        </w:rPr>
        <w:t xml:space="preserve">u prethodnom postupku pokrenutom nad </w:t>
      </w:r>
      <w:r>
        <w:t xml:space="preserve">dužnikom </w:t>
      </w:r>
      <w:r>
        <w:rPr>
          <w:szCs w:val="24"/>
        </w:rPr>
        <w:t>ENGLER GRUNDBESITZ ZAGREB d.o.o. za građevinarstvo, trgovinu i poslovanje nekretninama, Zagreb, Medulićeva 2, OIB 57953059898, MBS: 080363667,</w:t>
      </w:r>
      <w:r>
        <w:t xml:space="preserve"> </w:t>
      </w:r>
      <w:r w:rsidR="006120FD" w:rsidRPr="006120FD">
        <w:rPr>
          <w:rFonts w:cs="Times New Roman" w:eastAsia="Times New Roman"/>
          <w:szCs w:val="24"/>
          <w:lang w:eastAsia="hr-HR"/>
        </w:rPr>
        <w:t xml:space="preserve">dana </w:t>
      </w:r>
      <w:r w:rsidR="00EB6354">
        <w:rPr>
          <w:rFonts w:cs="Times New Roman" w:eastAsia="Times New Roman"/>
          <w:szCs w:val="24"/>
          <w:lang w:eastAsia="hr-HR"/>
        </w:rPr>
        <w:t>04. lipnja</w:t>
      </w:r>
      <w:r w:rsidR="006120FD" w:rsidRPr="006120FD">
        <w:rPr>
          <w:rFonts w:cs="Times New Roman" w:eastAsia="Times New Roman"/>
          <w:noProof/>
          <w:szCs w:val="24"/>
          <w:lang w:eastAsia="hr-HR"/>
        </w:rPr>
        <w:t xml:space="preserve"> 2018. godine</w:t>
      </w:r>
    </w:p>
    <w:p w:rsidRDefault="006120FD" w:rsidP="006120FD" w:rsidR="006120FD" w:rsidRPr="006120FD">
      <w:pPr>
        <w:overflowPunct w:val="false"/>
        <w:jc w:val="both"/>
        <w:rPr>
          <w:rFonts w:cs="Times New Roman" w:eastAsia="Times New Roman"/>
          <w:szCs w:val="24"/>
          <w:lang w:eastAsia="hr-HR"/>
        </w:rPr>
      </w:pPr>
    </w:p>
    <w:p w:rsidRDefault="006120FD" w:rsidP="006120FD" w:rsidR="006120FD" w:rsidRPr="006120FD">
      <w:pPr>
        <w:overflowPunct w:val="false"/>
        <w:jc w:val="center"/>
        <w:rPr>
          <w:rFonts w:cs="Times New Roman" w:eastAsia="Times New Roman"/>
          <w:bCs/>
          <w:szCs w:val="24"/>
          <w:lang w:eastAsia="hr-HR"/>
        </w:rPr>
      </w:pPr>
      <w:r w:rsidRPr="006120FD">
        <w:rPr>
          <w:rFonts w:cs="Times New Roman" w:eastAsia="Times New Roman"/>
          <w:bCs/>
          <w:szCs w:val="24"/>
          <w:lang w:eastAsia="hr-HR"/>
        </w:rPr>
        <w:t>r i j e š i o     j e</w:t>
      </w:r>
    </w:p>
    <w:p w:rsidRDefault="006120FD" w:rsidP="006120FD" w:rsidR="006120FD" w:rsidRPr="006120FD">
      <w:pPr>
        <w:overflowPunct w:val="false"/>
        <w:jc w:val="center"/>
        <w:rPr>
          <w:rFonts w:cs="Times New Roman" w:eastAsia="Times New Roman"/>
          <w:szCs w:val="24"/>
          <w:lang w:eastAsia="hr-HR"/>
        </w:rPr>
      </w:pPr>
    </w:p>
    <w:p w:rsidRDefault="006120FD" w:rsidP="006120FD" w:rsidR="006120FD" w:rsidRPr="006120FD">
      <w:pPr>
        <w:numPr>
          <w:ilvl w:val="0"/>
          <w:numId w:val="1"/>
        </w:numPr>
        <w:ind w:hanging="720"/>
        <w:contextualSpacing/>
        <w:jc w:val="both"/>
        <w:rPr>
          <w:rFonts w:cs="Times New Roman" w:eastAsia="Times New Roman"/>
          <w:bCs/>
          <w:noProof/>
          <w:szCs w:val="24"/>
          <w:lang w:eastAsia="hr-HR"/>
        </w:rPr>
      </w:pPr>
      <w:r w:rsidRPr="006120FD">
        <w:rPr>
          <w:rFonts w:cs="Times New Roman" w:eastAsia="Times New Roman"/>
          <w:bCs/>
          <w:noProof/>
          <w:szCs w:val="24"/>
          <w:lang w:eastAsia="hr-HR"/>
        </w:rPr>
        <w:t xml:space="preserve">Pozivaju se vjerovnici </w:t>
      </w:r>
      <w:r w:rsidRPr="006120FD">
        <w:rPr>
          <w:rFonts w:cs="Times New Roman" w:eastAsia="Times New Roman"/>
          <w:noProof/>
          <w:szCs w:val="24"/>
          <w:lang w:eastAsia="hr-HR"/>
        </w:rPr>
        <w:t xml:space="preserve">stečajnog dužnika </w:t>
      </w:r>
      <w:r w:rsidR="003E1E3F">
        <w:rPr>
          <w:szCs w:val="24"/>
        </w:rPr>
        <w:t xml:space="preserve">ENGLER GRUNDBESITZ ZAGREB d.o.o. za građevinarstvo, trgovinu i poslovanje nekretninama, Zagreb, Medulićeva 2, OIB 57953059898, MBS: 080363667, </w:t>
      </w:r>
      <w:r w:rsidRPr="006120FD">
        <w:rPr>
          <w:rFonts w:cs="Times New Roman" w:eastAsia="Times New Roman"/>
          <w:bCs/>
          <w:noProof/>
          <w:szCs w:val="24"/>
          <w:lang w:eastAsia="hr-HR"/>
        </w:rPr>
        <w:t xml:space="preserve">da u roku od 15 dana predujme iznos od 50.000,00 kuna za pokriće troškova prethodnog i stečajnog postupka na račun Trgovačkog suda Zagreb otvorenog pri Hrvatskoj poštanskoj banci d.d. Zagreb broj IBAN: </w:t>
      </w:r>
      <w:r w:rsidRPr="006120FD">
        <w:rPr>
          <w:rFonts w:cs="Times New Roman" w:eastAsia="Times New Roman"/>
          <w:noProof/>
          <w:szCs w:val="24"/>
          <w:lang w:eastAsia="hr-HR"/>
        </w:rPr>
        <w:t xml:space="preserve">HR9223900011300000460, </w:t>
      </w:r>
      <w:r w:rsidRPr="006120FD">
        <w:rPr>
          <w:rFonts w:cs="Times New Roman" w:eastAsia="Times New Roman"/>
          <w:bCs/>
          <w:noProof/>
          <w:szCs w:val="24"/>
          <w:lang w:eastAsia="hr-HR"/>
        </w:rPr>
        <w:t>pozivom na broj 05-</w:t>
      </w:r>
      <w:r w:rsidR="003E1E3F">
        <w:rPr>
          <w:rFonts w:cs="Times New Roman" w:eastAsia="Times New Roman"/>
          <w:bCs/>
          <w:noProof/>
          <w:szCs w:val="24"/>
          <w:lang w:eastAsia="hr-HR"/>
        </w:rPr>
        <w:t>678116</w:t>
      </w:r>
      <w:r w:rsidRPr="006120FD">
        <w:rPr>
          <w:rFonts w:cs="Times New Roman" w:eastAsia="Times New Roman"/>
          <w:bCs/>
          <w:noProof/>
          <w:szCs w:val="24"/>
          <w:lang w:eastAsia="hr-HR"/>
        </w:rPr>
        <w:t xml:space="preserve">. </w:t>
      </w:r>
    </w:p>
    <w:p w:rsidRDefault="006120FD" w:rsidP="006120FD" w:rsidR="006120FD" w:rsidRPr="006120FD">
      <w:pPr>
        <w:jc w:val="both"/>
        <w:rPr>
          <w:rFonts w:cs="Times New Roman" w:eastAsia="Times New Roman"/>
          <w:noProof/>
          <w:szCs w:val="24"/>
          <w:lang w:eastAsia="hr-HR"/>
        </w:rPr>
      </w:pPr>
    </w:p>
    <w:p w:rsidRDefault="006120FD" w:rsidP="006120FD" w:rsidR="006120FD" w:rsidRPr="006120FD">
      <w:pPr>
        <w:ind w:hanging="705" w:left="705"/>
        <w:jc w:val="both"/>
        <w:rPr>
          <w:rFonts w:cs="Times New Roman" w:eastAsia="Times New Roman"/>
          <w:bCs/>
          <w:noProof/>
          <w:szCs w:val="24"/>
          <w:lang w:eastAsia="hr-HR"/>
        </w:rPr>
      </w:pPr>
      <w:r w:rsidRPr="006120FD">
        <w:rPr>
          <w:rFonts w:cs="Times New Roman" w:eastAsia="Times New Roman"/>
          <w:noProof/>
          <w:szCs w:val="24"/>
          <w:lang w:eastAsia="hr-HR"/>
        </w:rPr>
        <w:t>2</w:t>
      </w:r>
      <w:r w:rsidRPr="006120FD">
        <w:rPr>
          <w:rFonts w:cs="Times New Roman" w:eastAsia="Times New Roman"/>
          <w:bCs/>
          <w:noProof/>
          <w:szCs w:val="24"/>
          <w:lang w:eastAsia="hr-HR"/>
        </w:rPr>
        <w:tab/>
        <w:t xml:space="preserve">Ukoliko vjerovnici stečajnog dužnika ne postupe u skladu sa točkom 1. ovog rješenja stečajni sudac će donijeti rješenje o otvaranju i zaključenju stečajnog postupka. </w:t>
      </w:r>
    </w:p>
    <w:p w:rsidRDefault="006120FD" w:rsidP="006120FD" w:rsidR="006120FD" w:rsidRPr="006120FD">
      <w:pPr>
        <w:overflowPunct w:val="false"/>
        <w:ind w:left="1005"/>
        <w:jc w:val="both"/>
        <w:rPr>
          <w:rFonts w:cs="Times New Roman" w:eastAsia="Times New Roman"/>
          <w:szCs w:val="24"/>
          <w:lang w:eastAsia="hr-HR"/>
        </w:rPr>
      </w:pPr>
    </w:p>
    <w:p w:rsidRDefault="006120FD" w:rsidP="006120FD" w:rsidR="006120FD" w:rsidRPr="006120FD">
      <w:pPr>
        <w:overflowPunct w:val="false"/>
        <w:jc w:val="center"/>
        <w:rPr>
          <w:rFonts w:cs="Times New Roman" w:eastAsia="Times New Roman"/>
          <w:szCs w:val="24"/>
          <w:lang w:eastAsia="hr-HR"/>
        </w:rPr>
      </w:pPr>
      <w:r w:rsidRPr="006120FD">
        <w:rPr>
          <w:rFonts w:cs="Times New Roman" w:eastAsia="Times New Roman"/>
          <w:szCs w:val="24"/>
          <w:lang w:eastAsia="hr-HR"/>
        </w:rPr>
        <w:t>Obrazloženje</w:t>
      </w:r>
    </w:p>
    <w:p w:rsidRDefault="006120FD" w:rsidP="006120FD" w:rsidR="006120FD" w:rsidRPr="006120FD">
      <w:pPr>
        <w:overflowPunct w:val="false"/>
        <w:jc w:val="center"/>
        <w:rPr>
          <w:rFonts w:cs="Times New Roman" w:eastAsia="Times New Roman"/>
          <w:szCs w:val="24"/>
          <w:lang w:eastAsia="hr-HR"/>
        </w:rPr>
      </w:pPr>
    </w:p>
    <w:p w:rsidRDefault="006120FD" w:rsidP="006120FD" w:rsidR="006120FD" w:rsidRPr="006120FD">
      <w:pPr>
        <w:ind w:firstLine="708"/>
        <w:jc w:val="both"/>
        <w:rPr>
          <w:rFonts w:cs="Times New Roman" w:eastAsia="Times New Roman"/>
          <w:noProof/>
          <w:szCs w:val="24"/>
          <w:lang w:eastAsia="hr-HR"/>
        </w:rPr>
      </w:pPr>
      <w:r w:rsidRPr="006120FD">
        <w:rPr>
          <w:rFonts w:cs="Times New Roman" w:eastAsia="Times New Roman"/>
          <w:noProof/>
          <w:szCs w:val="24"/>
          <w:lang w:eastAsia="hr-HR"/>
        </w:rPr>
        <w:t xml:space="preserve">FINA-e Regionalni centar Zagreb, podnijela je ovom sudu dana </w:t>
      </w:r>
      <w:r w:rsidR="004B3426">
        <w:rPr>
          <w:rFonts w:cs="Times New Roman" w:eastAsia="Times New Roman"/>
          <w:noProof/>
          <w:szCs w:val="24"/>
          <w:lang w:eastAsia="hr-HR"/>
        </w:rPr>
        <w:t>08. veljače</w:t>
      </w:r>
      <w:r w:rsidRPr="006120FD">
        <w:rPr>
          <w:rFonts w:cs="Times New Roman" w:eastAsia="Times New Roman"/>
          <w:noProof/>
          <w:szCs w:val="24"/>
          <w:lang w:eastAsia="hr-HR"/>
        </w:rPr>
        <w:t xml:space="preserve"> 2016.   godine prijedlog za otvaranje </w:t>
      </w:r>
      <w:r w:rsidR="00EB6354">
        <w:rPr>
          <w:rFonts w:cs="Times New Roman" w:eastAsia="Times New Roman"/>
          <w:noProof/>
          <w:szCs w:val="24"/>
          <w:lang w:eastAsia="hr-HR"/>
        </w:rPr>
        <w:t xml:space="preserve">skraćenog </w:t>
      </w:r>
      <w:r w:rsidRPr="006120FD">
        <w:rPr>
          <w:rFonts w:cs="Times New Roman" w:eastAsia="Times New Roman"/>
          <w:noProof/>
          <w:szCs w:val="24"/>
          <w:lang w:eastAsia="hr-HR"/>
        </w:rPr>
        <w:t xml:space="preserve">stečajnog postupka nad stečajnim dužnikom </w:t>
      </w:r>
      <w:r w:rsidR="004B3426">
        <w:rPr>
          <w:szCs w:val="24"/>
        </w:rPr>
        <w:t>ENGLER GRUNDBESITZ ZAGREB d.o.o. za građevinarstvo, trgovinu i poslovanje nekretninama, Zagreb, Medulićeva 2, OIB 57953059898, MBS: 080363667</w:t>
      </w:r>
      <w:r w:rsidRPr="006120FD">
        <w:rPr>
          <w:rFonts w:cs="Times New Roman" w:eastAsia="Times New Roman"/>
          <w:noProof/>
          <w:szCs w:val="24"/>
          <w:lang w:eastAsia="hr-HR"/>
        </w:rPr>
        <w:t>.</w:t>
      </w:r>
    </w:p>
    <w:p w:rsidRDefault="006120FD" w:rsidP="006120FD" w:rsidR="006120FD">
      <w:pPr>
        <w:ind w:firstLine="708"/>
        <w:jc w:val="both"/>
        <w:rPr>
          <w:rFonts w:cs="Times New Roman" w:eastAsia="Times New Roman"/>
          <w:noProof/>
          <w:szCs w:val="24"/>
          <w:lang w:eastAsia="hr-HR"/>
        </w:rPr>
      </w:pPr>
      <w:r w:rsidRPr="006120FD">
        <w:rPr>
          <w:rFonts w:cs="Times New Roman" w:eastAsia="Times New Roman"/>
          <w:noProof/>
          <w:szCs w:val="24"/>
          <w:lang w:eastAsia="hr-HR"/>
        </w:rPr>
        <w:t xml:space="preserve">Prijedlog je podnesen temeljem čl. 444. st. </w:t>
      </w:r>
      <w:r w:rsidR="00EB6354">
        <w:rPr>
          <w:rFonts w:cs="Times New Roman" w:eastAsia="Times New Roman"/>
          <w:noProof/>
          <w:szCs w:val="24"/>
          <w:lang w:eastAsia="hr-HR"/>
        </w:rPr>
        <w:t>1</w:t>
      </w:r>
      <w:r w:rsidRPr="006120FD">
        <w:rPr>
          <w:rFonts w:cs="Times New Roman" w:eastAsia="Times New Roman"/>
          <w:noProof/>
          <w:szCs w:val="24"/>
          <w:lang w:eastAsia="hr-HR"/>
        </w:rPr>
        <w:t xml:space="preserve">. Stečajnog zakona (NN 71/15)   u kojem se navodi da stečajni dužnik u očevidniku redoslijeda osnova za plaćanje ima evidentirane neizvršene osnove za plaćanje na dan 01. rujna 2015. godine u neprekinutom razdoblju od </w:t>
      </w:r>
      <w:r w:rsidR="004B3426">
        <w:rPr>
          <w:rFonts w:cs="Times New Roman" w:eastAsia="Times New Roman"/>
          <w:noProof/>
          <w:szCs w:val="24"/>
          <w:lang w:eastAsia="hr-HR"/>
        </w:rPr>
        <w:t>183</w:t>
      </w:r>
      <w:r w:rsidRPr="006120FD">
        <w:rPr>
          <w:rFonts w:cs="Times New Roman" w:eastAsia="Times New Roman"/>
          <w:noProof/>
          <w:szCs w:val="24"/>
          <w:lang w:eastAsia="hr-HR"/>
        </w:rPr>
        <w:t xml:space="preserve"> dana u iznosu od </w:t>
      </w:r>
      <w:r w:rsidR="004B3426">
        <w:rPr>
          <w:rFonts w:cs="Times New Roman" w:eastAsia="Times New Roman"/>
          <w:noProof/>
          <w:szCs w:val="24"/>
          <w:lang w:eastAsia="hr-HR"/>
        </w:rPr>
        <w:t>4.949.986,97</w:t>
      </w:r>
      <w:r w:rsidRPr="006120FD">
        <w:rPr>
          <w:rFonts w:cs="Times New Roman" w:eastAsia="Times New Roman"/>
          <w:noProof/>
          <w:szCs w:val="24"/>
          <w:lang w:eastAsia="hr-HR"/>
        </w:rPr>
        <w:t xml:space="preserve">  kuna te da </w:t>
      </w:r>
      <w:r w:rsidR="005D35F0">
        <w:rPr>
          <w:rFonts w:cs="Times New Roman" w:eastAsia="Times New Roman"/>
          <w:noProof/>
          <w:szCs w:val="24"/>
          <w:lang w:eastAsia="hr-HR"/>
        </w:rPr>
        <w:t>nema zaposlenih</w:t>
      </w:r>
      <w:r w:rsidRPr="006120FD">
        <w:rPr>
          <w:rFonts w:cs="Times New Roman" w:eastAsia="Times New Roman"/>
          <w:noProof/>
          <w:szCs w:val="24"/>
          <w:lang w:eastAsia="hr-HR"/>
        </w:rPr>
        <w:t xml:space="preserve">.   </w:t>
      </w:r>
    </w:p>
    <w:p w:rsidRDefault="001D34D5" w:rsidP="006120FD" w:rsidR="001D34D5" w:rsidRPr="006120FD">
      <w:pPr>
        <w:ind w:firstLine="708"/>
        <w:jc w:val="both"/>
        <w:rPr>
          <w:rFonts w:cs="Times New Roman" w:eastAsia="Times New Roman"/>
          <w:noProof/>
          <w:szCs w:val="24"/>
          <w:lang w:eastAsia="hr-HR"/>
        </w:rPr>
      </w:pPr>
      <w:r>
        <w:rPr>
          <w:rFonts w:cs="Times New Roman" w:eastAsia="Times New Roman"/>
          <w:noProof/>
          <w:szCs w:val="24"/>
          <w:lang w:eastAsia="hr-HR"/>
        </w:rPr>
        <w:t>Rješenjem od 21. rujna 2016. godine obustavljen je srkaćeni stečajni postupak budući da je vjerovnik podnio prijedlog za otvaranje stečajnog postupka.</w:t>
      </w:r>
    </w:p>
    <w:p w:rsidRDefault="006120FD" w:rsidP="006120FD" w:rsidR="006120FD" w:rsidRPr="006120FD">
      <w:pPr>
        <w:ind w:firstLine="708"/>
        <w:jc w:val="both"/>
        <w:rPr>
          <w:rFonts w:cs="Times New Roman" w:eastAsia="Times New Roman"/>
          <w:noProof/>
          <w:szCs w:val="24"/>
          <w:lang w:eastAsia="hr-HR"/>
        </w:rPr>
      </w:pPr>
      <w:r w:rsidRPr="006120FD">
        <w:rPr>
          <w:rFonts w:cs="Times New Roman" w:eastAsia="Times New Roman"/>
          <w:bCs/>
          <w:noProof/>
          <w:szCs w:val="24"/>
          <w:lang w:eastAsia="hr-HR"/>
        </w:rPr>
        <w:t xml:space="preserve">Rješenjem od </w:t>
      </w:r>
      <w:r w:rsidR="001D34D5">
        <w:rPr>
          <w:rFonts w:cs="Times New Roman" w:eastAsia="Times New Roman"/>
          <w:bCs/>
          <w:noProof/>
          <w:szCs w:val="24"/>
          <w:lang w:eastAsia="hr-HR"/>
        </w:rPr>
        <w:t>08. veljače 2017</w:t>
      </w:r>
      <w:r w:rsidRPr="006120FD">
        <w:rPr>
          <w:rFonts w:cs="Times New Roman" w:eastAsia="Times New Roman"/>
          <w:bCs/>
          <w:noProof/>
          <w:szCs w:val="24"/>
          <w:lang w:eastAsia="hr-HR"/>
        </w:rPr>
        <w:t>. godine pokrenut je prethodni postupak za utvrđenje uvjeta za otvaranje stečajnog postupka, te određeno ročište za izjašnjenje o prijedlogu za otvaranje stečajnog postupka.</w:t>
      </w:r>
      <w:r w:rsidRPr="006120FD">
        <w:rPr>
          <w:rFonts w:cs="Times New Roman" w:eastAsia="Times New Roman"/>
          <w:noProof/>
          <w:szCs w:val="24"/>
          <w:lang w:eastAsia="hr-HR"/>
        </w:rPr>
        <w:t xml:space="preserve"> </w:t>
      </w:r>
    </w:p>
    <w:p w:rsidRDefault="00CA1BFE" w:rsidP="006120FD" w:rsidR="00CA1BFE">
      <w:pPr>
        <w:ind w:firstLine="708"/>
        <w:jc w:val="both"/>
        <w:rPr>
          <w:rFonts w:cs="Times New Roman" w:eastAsia="Times New Roman"/>
          <w:noProof/>
          <w:szCs w:val="24"/>
          <w:lang w:eastAsia="hr-HR"/>
        </w:rPr>
      </w:pPr>
    </w:p>
    <w:p w:rsidRDefault="00CA1BFE" w:rsidP="006120FD" w:rsidR="00CA1BFE">
      <w:pPr>
        <w:ind w:firstLine="708"/>
        <w:jc w:val="both"/>
        <w:rPr>
          <w:rFonts w:cs="Times New Roman" w:eastAsia="Times New Roman"/>
          <w:noProof/>
          <w:szCs w:val="24"/>
          <w:lang w:eastAsia="hr-HR"/>
        </w:rPr>
      </w:pPr>
    </w:p>
    <w:p w:rsidRDefault="00CA1BFE" w:rsidP="006120FD" w:rsidR="00CA1BFE">
      <w:pPr>
        <w:ind w:firstLine="708"/>
        <w:jc w:val="both"/>
        <w:rPr>
          <w:rFonts w:cs="Times New Roman" w:eastAsia="Times New Roman"/>
          <w:noProof/>
          <w:szCs w:val="24"/>
          <w:lang w:eastAsia="hr-HR"/>
        </w:rPr>
      </w:pPr>
      <w:r>
        <w:rPr>
          <w:rFonts w:cs="Times New Roman"/>
        </w:rPr>
        <w:lastRenderedPageBreak/>
        <w:t>Nakon ročišta radi izjašnjenja o prijedlogu za otvaranje stečajnog postupka nad dužnikom pribavljeni su podaci o imovini dužnika, pa tako iz podataka elektroničkog sustava suda proizlazi da dužnik nema nekretnina u vlasništvu, prema podacima Centra za vozila Hrvatske d.d. proizlazi da dužnik nije evidentiran kao vlasnik vozila, prema podacima Porezne uprave dužnik ne posjeduje pokretnu ili nepokretnu imovinu, prema podacima Gradskog ureda za katastar Grada Zagreba dužnik nije upisan kao vlasnik odnosno posjednik nekretnina, a iz podataka FINA-e proizlazi da je dužnik na dan 01. rujna 2015. godine imao evidentiranu blokadu u razdoblju od 183 dana u iznosu 4.949.986,97 kn, a svi računi dužnika su dana 08. srpnja 2015. godine ugašeni.</w:t>
      </w:r>
    </w:p>
    <w:p w:rsidRDefault="006120FD" w:rsidP="006120FD" w:rsidR="006120FD" w:rsidRPr="006120FD">
      <w:pPr>
        <w:ind w:firstLine="708"/>
        <w:jc w:val="both"/>
        <w:rPr>
          <w:rFonts w:cs="Times New Roman" w:eastAsia="Times New Roman"/>
          <w:noProof/>
          <w:szCs w:val="24"/>
          <w:lang w:eastAsia="hr-HR"/>
        </w:rPr>
      </w:pPr>
      <w:r w:rsidRPr="006120FD">
        <w:rPr>
          <w:rFonts w:cs="Times New Roman" w:eastAsia="Times New Roman"/>
          <w:noProof/>
          <w:szCs w:val="24"/>
          <w:lang w:eastAsia="hr-HR"/>
        </w:rPr>
        <w:t xml:space="preserve">Prema odredbi čl. 132. Stečajnog zakona ako tijekom prethodnog postupka imovina stečajnog dužnika koja bi ušla u stečajnu masu nije dovoljna ni za namirenje troškova stečajnog postupka ili je neznatne vrijednosti, stečajni sudac će donijeti odluku o otvaranju i zaključenju stečajnog postupka. U tom se slučaju stečajni postupak neće provesti i na odgovarajući će se način primijeniti odredbe čl. 286.-292. Stečajnog zakona. </w:t>
      </w:r>
    </w:p>
    <w:p w:rsidRDefault="006120FD" w:rsidP="006120FD" w:rsidR="006120FD" w:rsidRPr="006120FD">
      <w:pPr>
        <w:ind w:firstLine="708"/>
        <w:jc w:val="both"/>
        <w:rPr>
          <w:rFonts w:cs="Times New Roman" w:eastAsia="Times New Roman"/>
          <w:noProof/>
          <w:szCs w:val="24"/>
          <w:lang w:eastAsia="hr-HR"/>
        </w:rPr>
      </w:pPr>
      <w:r w:rsidRPr="006120FD">
        <w:rPr>
          <w:rFonts w:cs="Times New Roman" w:eastAsia="Times New Roman"/>
          <w:noProof/>
          <w:szCs w:val="24"/>
          <w:lang w:eastAsia="hr-HR"/>
        </w:rPr>
        <w:t xml:space="preserve">Postupak se neće zaključiti ako se u roku koji odredi  stečajni sudac predujmi dostatan iznos za pokriće troškova kako prethodnog tako i otvorenog stečajnog postupka. </w:t>
      </w:r>
    </w:p>
    <w:p w:rsidRDefault="006120FD" w:rsidP="006120FD" w:rsidR="006120FD" w:rsidRPr="006120FD">
      <w:pPr>
        <w:ind w:firstLine="720"/>
        <w:jc w:val="both"/>
        <w:rPr>
          <w:rFonts w:cs="Times New Roman" w:eastAsia="Times New Roman"/>
          <w:noProof/>
          <w:szCs w:val="24"/>
          <w:lang w:eastAsia="hr-HR"/>
        </w:rPr>
      </w:pPr>
      <w:r w:rsidRPr="006120FD">
        <w:rPr>
          <w:rFonts w:cs="Times New Roman" w:eastAsia="Times New Roman"/>
          <w:noProof/>
          <w:szCs w:val="24"/>
          <w:lang w:eastAsia="hr-HR"/>
        </w:rPr>
        <w:t>U smislu citirane odredbe članka 132.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 blagajne i ostalih administrativnih poslova mjesečno neto 2.500,00 kn, odnosno bruto 3.546,10 kn, a sve bazirano na trajanju postupka u vremenu od 4 mjeseca.</w:t>
      </w:r>
    </w:p>
    <w:p w:rsidRDefault="006120FD" w:rsidP="006120FD" w:rsidR="006120FD" w:rsidRPr="006120FD">
      <w:pPr>
        <w:ind w:firstLine="720"/>
        <w:jc w:val="both"/>
        <w:rPr>
          <w:rFonts w:cs="Times New Roman" w:eastAsia="Times New Roman"/>
          <w:noProof/>
          <w:szCs w:val="24"/>
          <w:lang w:eastAsia="hr-HR"/>
        </w:rPr>
      </w:pPr>
      <w:r w:rsidRPr="006120FD">
        <w:rPr>
          <w:rFonts w:cs="Times New Roman" w:eastAsia="Times New Roman"/>
          <w:noProof/>
          <w:szCs w:val="24"/>
          <w:lang w:eastAsia="hr-HR"/>
        </w:rPr>
        <w:t xml:space="preserve">Zatraženi iznos i predviđeno trajanje postuka odnose se na nužne troškove i trajanje prethodnog i stečajnog postupka potrebne za utvrđivanje i eventualno unovčenje imovine stečajnog dužnika.   </w:t>
      </w:r>
    </w:p>
    <w:p w:rsidRDefault="006120FD" w:rsidP="006120FD" w:rsidR="006120FD" w:rsidRPr="006120FD">
      <w:pPr>
        <w:ind w:firstLine="708"/>
        <w:jc w:val="both"/>
        <w:rPr>
          <w:rFonts w:cs="Times New Roman" w:eastAsia="Times New Roman"/>
          <w:noProof/>
          <w:szCs w:val="24"/>
          <w:lang w:eastAsia="hr-HR"/>
        </w:rPr>
      </w:pPr>
      <w:r w:rsidRPr="006120FD">
        <w:rPr>
          <w:rFonts w:cs="Times New Roman" w:eastAsia="Times New Roman"/>
          <w:noProof/>
          <w:szCs w:val="24"/>
          <w:lang w:eastAsia="hr-HR"/>
        </w:rPr>
        <w:t xml:space="preserve">Ukoliko vjerovnici ne uplate iznos naveden u točki 1. stečajni postupak će se otvoriti i zaključiti kako je navedeno u točki 2. ovog rješenja. </w:t>
      </w:r>
    </w:p>
    <w:p w:rsidRDefault="006120FD" w:rsidP="006120FD" w:rsidR="006120FD" w:rsidRPr="006120FD">
      <w:pPr>
        <w:overflowPunct w:val="false"/>
        <w:jc w:val="both"/>
        <w:rPr>
          <w:rFonts w:cs="Times New Roman" w:eastAsia="Times New Roman"/>
          <w:szCs w:val="24"/>
          <w:lang w:eastAsia="hr-HR"/>
        </w:rPr>
      </w:pPr>
    </w:p>
    <w:p w:rsidRDefault="006120FD" w:rsidP="006120FD" w:rsidR="006120FD" w:rsidRPr="006120FD">
      <w:pPr>
        <w:overflowPunct w:val="false"/>
        <w:jc w:val="center"/>
        <w:rPr>
          <w:rFonts w:cs="Times New Roman" w:eastAsia="Times New Roman"/>
          <w:szCs w:val="24"/>
          <w:lang w:eastAsia="hr-HR"/>
        </w:rPr>
      </w:pPr>
      <w:r w:rsidRPr="006120FD">
        <w:rPr>
          <w:rFonts w:cs="Times New Roman" w:eastAsia="Times New Roman"/>
          <w:szCs w:val="24"/>
          <w:lang w:eastAsia="hr-HR"/>
        </w:rPr>
        <w:t xml:space="preserve">Zagreb, </w:t>
      </w:r>
      <w:r w:rsidR="00EB6354">
        <w:rPr>
          <w:rFonts w:cs="Times New Roman" w:eastAsia="Times New Roman"/>
          <w:szCs w:val="24"/>
          <w:lang w:eastAsia="hr-HR"/>
        </w:rPr>
        <w:t>04. lipnja 2018</w:t>
      </w:r>
      <w:r w:rsidRPr="006120FD">
        <w:rPr>
          <w:rFonts w:cs="Times New Roman" w:eastAsia="Times New Roman"/>
          <w:szCs w:val="24"/>
          <w:lang w:eastAsia="hr-HR"/>
        </w:rPr>
        <w:t xml:space="preserve">.  </w:t>
      </w:r>
    </w:p>
    <w:p w:rsidRDefault="006120FD" w:rsidP="006120FD" w:rsidR="006120FD" w:rsidRPr="006120FD">
      <w:pPr>
        <w:overflowPunct w:val="false"/>
        <w:jc w:val="center"/>
        <w:rPr>
          <w:rFonts w:cs="Times New Roman" w:eastAsia="Times New Roman"/>
          <w:szCs w:val="24"/>
          <w:lang w:eastAsia="hr-HR"/>
        </w:rPr>
      </w:pPr>
    </w:p>
    <w:p w:rsidRDefault="006120FD" w:rsidP="006120FD" w:rsidR="006120FD" w:rsidRPr="006120FD">
      <w:pPr>
        <w:tabs>
          <w:tab w:pos="7530" w:val="left"/>
        </w:tabs>
        <w:overflowPunct w:val="false"/>
        <w:ind w:firstLine="708" w:left="4956"/>
        <w:jc w:val="both"/>
        <w:rPr>
          <w:rFonts w:cs="Times New Roman" w:eastAsia="Times New Roman"/>
          <w:szCs w:val="24"/>
          <w:lang w:eastAsia="hr-HR"/>
        </w:rPr>
      </w:pPr>
      <w:r w:rsidRPr="006120FD">
        <w:rPr>
          <w:rFonts w:cs="Times New Roman" w:eastAsia="Times New Roman"/>
          <w:szCs w:val="24"/>
          <w:lang w:eastAsia="hr-HR"/>
        </w:rPr>
        <w:t xml:space="preserve">                  </w:t>
      </w:r>
      <w:r w:rsidR="00EB6354">
        <w:rPr>
          <w:rFonts w:cs="Times New Roman" w:eastAsia="Times New Roman"/>
          <w:szCs w:val="24"/>
          <w:lang w:eastAsia="hr-HR"/>
        </w:rPr>
        <w:t xml:space="preserve">      </w:t>
      </w:r>
      <w:r w:rsidRPr="006120FD">
        <w:rPr>
          <w:rFonts w:cs="Times New Roman" w:eastAsia="Times New Roman"/>
          <w:szCs w:val="24"/>
          <w:lang w:eastAsia="hr-HR"/>
        </w:rPr>
        <w:t>S U D A C :</w:t>
      </w:r>
    </w:p>
    <w:p w:rsidRDefault="006120FD" w:rsidP="006120FD" w:rsidR="006120FD" w:rsidRPr="006120FD">
      <w:pPr>
        <w:tabs>
          <w:tab w:pos="7530" w:val="left"/>
        </w:tabs>
        <w:overflowPunct w:val="false"/>
        <w:ind w:firstLine="708" w:left="4956"/>
        <w:jc w:val="both"/>
        <w:rPr>
          <w:rFonts w:cs="Times New Roman" w:eastAsia="Times New Roman"/>
          <w:szCs w:val="24"/>
          <w:lang w:eastAsia="hr-HR"/>
        </w:rPr>
      </w:pPr>
    </w:p>
    <w:p w:rsidRDefault="006120FD" w:rsidP="006120FD" w:rsidR="006120FD" w:rsidRPr="006120FD">
      <w:pPr>
        <w:tabs>
          <w:tab w:pos="7530" w:val="left"/>
        </w:tabs>
        <w:overflowPunct w:val="false"/>
        <w:ind w:firstLine="708" w:left="4956"/>
        <w:jc w:val="right"/>
        <w:rPr>
          <w:rFonts w:cs="Times New Roman" w:eastAsia="Times New Roman"/>
          <w:szCs w:val="24"/>
          <w:lang w:eastAsia="hr-HR"/>
        </w:rPr>
      </w:pPr>
      <w:r w:rsidRPr="006120FD">
        <w:rPr>
          <w:rFonts w:cs="Times New Roman" w:eastAsia="Times New Roman"/>
          <w:szCs w:val="24"/>
          <w:lang w:eastAsia="hr-HR"/>
        </w:rPr>
        <w:t>MIRJANA CHOUR HRŠAK</w:t>
      </w:r>
      <w:r w:rsidR="000C2AFE">
        <w:rPr>
          <w:rFonts w:cs="Times New Roman" w:eastAsia="Times New Roman"/>
          <w:szCs w:val="24"/>
          <w:lang w:eastAsia="hr-HR"/>
        </w:rPr>
        <w:t>, v.r.</w:t>
      </w:r>
    </w:p>
    <w:p w:rsidRDefault="006120FD" w:rsidP="006120FD" w:rsidR="006120FD" w:rsidRPr="006120FD">
      <w:pPr>
        <w:tabs>
          <w:tab w:pos="7530" w:val="left"/>
        </w:tabs>
        <w:overflowPunct w:val="false"/>
        <w:ind w:firstLine="708" w:left="4956"/>
        <w:jc w:val="right"/>
        <w:rPr>
          <w:rFonts w:cs="Times New Roman" w:eastAsia="Times New Roman"/>
          <w:szCs w:val="24"/>
          <w:lang w:eastAsia="hr-HR"/>
        </w:rPr>
      </w:pPr>
    </w:p>
    <w:p w:rsidRDefault="006120FD" w:rsidP="006120FD" w:rsidR="006120FD" w:rsidRPr="006120FD">
      <w:pPr>
        <w:overflowPunct w:val="false"/>
        <w:jc w:val="both"/>
        <w:rPr>
          <w:rFonts w:cs="Times New Roman" w:eastAsia="Times New Roman"/>
          <w:szCs w:val="24"/>
          <w:lang w:eastAsia="hr-HR"/>
        </w:rPr>
      </w:pPr>
      <w:r w:rsidRPr="006120FD">
        <w:rPr>
          <w:rFonts w:cs="Times New Roman" w:eastAsia="Times New Roman"/>
          <w:szCs w:val="24"/>
          <w:lang w:eastAsia="hr-HR"/>
        </w:rPr>
        <w:t>UPUTA O PRAVNOM LIJEKU:</w:t>
      </w:r>
    </w:p>
    <w:p w:rsidRDefault="006120FD" w:rsidP="006120FD" w:rsidR="006120FD" w:rsidRPr="006120FD">
      <w:pPr>
        <w:overflowPunct w:val="false"/>
        <w:jc w:val="both"/>
        <w:rPr>
          <w:rFonts w:cs="Times New Roman" w:eastAsia="Times New Roman"/>
          <w:szCs w:val="24"/>
          <w:lang w:eastAsia="hr-HR"/>
        </w:rPr>
      </w:pPr>
      <w:r w:rsidRPr="006120FD">
        <w:rPr>
          <w:rFonts w:cs="Times New Roman" w:eastAsia="Times New Roman"/>
          <w:szCs w:val="24"/>
          <w:lang w:eastAsia="hr-HR"/>
        </w:rPr>
        <w:t>Protiv ovog rješenja može se izjaviti žalba. Žalba se podnosi ovom sudu u 2 primjerka za Visoki trgovački sud RH u roku od 8 dana, od dana dostave rješenja.</w:t>
      </w:r>
    </w:p>
    <w:p w:rsidRDefault="006120FD" w:rsidP="006120FD" w:rsidR="006120FD" w:rsidRPr="006120FD">
      <w:pPr>
        <w:overflowPunct w:val="false"/>
        <w:jc w:val="both"/>
        <w:rPr>
          <w:rFonts w:cs="Times New Roman" w:eastAsia="Times New Roman"/>
          <w:szCs w:val="24"/>
          <w:lang w:eastAsia="hr-HR"/>
        </w:rPr>
      </w:pPr>
    </w:p>
    <w:p w:rsidRDefault="006120FD" w:rsidP="006120FD" w:rsidR="006120FD" w:rsidRPr="006120FD">
      <w:pPr>
        <w:rPr>
          <w:rFonts w:cs="Times New Roman" w:eastAsia="Times New Roman"/>
          <w:noProof/>
          <w:szCs w:val="24"/>
          <w:lang w:eastAsia="hr-HR"/>
        </w:rPr>
      </w:pPr>
      <w:r w:rsidRPr="006120FD">
        <w:rPr>
          <w:rFonts w:cs="Times New Roman" w:eastAsia="Times New Roman"/>
          <w:noProof/>
          <w:szCs w:val="24"/>
          <w:lang w:eastAsia="hr-HR"/>
        </w:rPr>
        <w:tab/>
      </w:r>
      <w:r w:rsidRPr="006120FD">
        <w:rPr>
          <w:rFonts w:cs="Times New Roman" w:eastAsia="Times New Roman"/>
          <w:noProof/>
          <w:szCs w:val="24"/>
          <w:lang w:eastAsia="hr-HR"/>
        </w:rPr>
        <w:tab/>
      </w:r>
      <w:r w:rsidRPr="006120FD">
        <w:rPr>
          <w:rFonts w:cs="Times New Roman" w:eastAsia="Times New Roman"/>
          <w:noProof/>
          <w:szCs w:val="24"/>
          <w:lang w:eastAsia="hr-HR"/>
        </w:rPr>
        <w:tab/>
      </w:r>
      <w:r w:rsidRPr="006120FD">
        <w:rPr>
          <w:rFonts w:cs="Times New Roman" w:eastAsia="Times New Roman"/>
          <w:noProof/>
          <w:szCs w:val="24"/>
          <w:lang w:eastAsia="hr-HR"/>
        </w:rPr>
        <w:tab/>
      </w:r>
      <w:r w:rsidRPr="006120FD">
        <w:rPr>
          <w:rFonts w:cs="Times New Roman" w:eastAsia="Times New Roman"/>
          <w:noProof/>
          <w:szCs w:val="24"/>
          <w:lang w:eastAsia="hr-HR"/>
        </w:rPr>
        <w:tab/>
      </w:r>
      <w:r w:rsidRPr="006120FD">
        <w:rPr>
          <w:rFonts w:cs="Times New Roman" w:eastAsia="Times New Roman"/>
          <w:noProof/>
          <w:szCs w:val="24"/>
          <w:lang w:eastAsia="hr-HR"/>
        </w:rPr>
        <w:tab/>
      </w:r>
      <w:r w:rsidRPr="006120FD">
        <w:rPr>
          <w:rFonts w:cs="Times New Roman" w:eastAsia="Times New Roman"/>
          <w:noProof/>
          <w:szCs w:val="24"/>
          <w:lang w:eastAsia="hr-HR"/>
        </w:rPr>
        <w:tab/>
      </w:r>
    </w:p>
    <w:p w:rsidRDefault="000C2AFE" w:rsidP="00E40762" w:rsidR="000C2AFE">
      <w:pPr>
        <w:jc w:val="right"/>
        <w:rPr>
          <w:szCs w:val="24"/>
        </w:rPr>
      </w:pPr>
      <w:r>
        <w:rPr>
          <w:szCs w:val="24"/>
        </w:rPr>
        <w:t>Za točnost otpravka – ovlašteni službenik:</w:t>
      </w:r>
    </w:p>
    <w:p w:rsidRDefault="000C2AFE" w:rsidP="00E40762" w:rsidR="000C2AFE">
      <w:pPr>
        <w:ind w:firstLine="708" w:left="3540"/>
        <w:jc w:val="center"/>
      </w:pPr>
      <w:r>
        <w:rPr>
          <w:szCs w:val="24"/>
        </w:rPr>
        <w:t xml:space="preserve">             Vlasta Bogović Milisavljević</w:t>
      </w:r>
    </w:p>
    <w:p w:rsidRDefault="006120FD" w:rsidP="006120FD" w:rsidR="006120FD" w:rsidRPr="006120FD">
      <w:pPr>
        <w:overflowPunct w:val="false"/>
        <w:jc w:val="both"/>
        <w:rPr>
          <w:rFonts w:cs="Times New Roman" w:eastAsia="Times New Roman"/>
          <w:szCs w:val="24"/>
          <w:lang w:eastAsia="hr-HR"/>
        </w:rPr>
      </w:pPr>
    </w:p>
    <w:p w:rsidRDefault="006120FD" w:rsidP="006120FD" w:rsidR="006120FD" w:rsidRPr="006120FD">
      <w:pPr>
        <w:rPr>
          <w:rFonts w:cs="Times New Roman" w:eastAsia="Times New Roman"/>
          <w:noProof/>
          <w:szCs w:val="24"/>
          <w:lang w:eastAsia="hr-HR"/>
        </w:rPr>
      </w:pPr>
    </w:p>
    <w:p w:rsidRDefault="006120FD" w:rsidP="006120FD" w:rsidR="006120FD" w:rsidRPr="006120FD">
      <w:pPr>
        <w:rPr>
          <w:rFonts w:cs="Times New Roman" w:eastAsia="Times New Roman"/>
          <w:noProof/>
          <w:szCs w:val="24"/>
          <w:lang w:eastAsia="hr-HR"/>
        </w:rPr>
      </w:pPr>
    </w:p>
    <w:p w:rsidRDefault="006120FD" w:rsidP="006120FD" w:rsidR="006120FD" w:rsidRPr="006120FD">
      <w:pPr>
        <w:rPr>
          <w:rFonts w:cs="Times New Roman" w:eastAsia="Times New Roman"/>
          <w:noProof/>
          <w:szCs w:val="24"/>
          <w:lang w:eastAsia="hr-HR"/>
        </w:rPr>
      </w:pPr>
    </w:p>
    <w:p w:rsidRDefault="006120FD" w:rsidP="006120FD" w:rsidR="006120FD" w:rsidRPr="006120FD">
      <w:pPr>
        <w:rPr>
          <w:rFonts w:cs="Times New Roman" w:eastAsia="Times New Roman"/>
          <w:noProof/>
          <w:szCs w:val="24"/>
          <w:lang w:eastAsia="hr-HR"/>
        </w:rPr>
      </w:pPr>
    </w:p>
    <w:p w:rsidRDefault="001E1F87" w:rsidP="006120FD" w:rsidR="001E1F87" w:rsidRPr="006120FD"/>
    <w:sectPr w:rsidR="001E1F87" w:rsidRPr="006120FD">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20FD" w:rsidP="006120FD" w:rsidR="006120FD">
      <w:r>
        <w:separator/>
      </w:r>
    </w:p>
  </w:endnote>
  <w:endnote w:id="0" w:type="continuationSeparator">
    <w:p w:rsidRDefault="006120FD" w:rsidP="006120FD" w:rsidR="006120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20FD" w:rsidP="006120FD" w:rsidR="006120FD">
      <w:r>
        <w:separator/>
      </w:r>
    </w:p>
  </w:footnote>
  <w:footnote w:id="0" w:type="continuationSeparator">
    <w:p w:rsidRDefault="006120FD" w:rsidP="006120FD" w:rsidR="006120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2598512"/>
      <w:docPartObj>
        <w:docPartGallery w:val="Page Numbers (Top of Page)"/>
        <w:docPartUnique/>
      </w:docPartObj>
    </w:sdtPr>
    <w:sdtEndPr/>
    <w:sdtContent>
      <w:p w:rsidRDefault="00E2030D" w:rsidR="00C72EB2">
        <w:pPr>
          <w:pStyle w:val="Zaglavlje"/>
          <w:jc w:val="center"/>
        </w:pPr>
        <w:r>
          <w:fldChar w:fldCharType="begin"/>
        </w:r>
        <w:r>
          <w:instrText>PAGE   \* MERGEFORMAT</w:instrText>
        </w:r>
        <w:r>
          <w:fldChar w:fldCharType="separate"/>
        </w:r>
        <w:r w:rsidR="000C2AFE">
          <w:t>1</w:t>
        </w:r>
        <w:r>
          <w:fldChar w:fldCharType="end"/>
        </w:r>
      </w:p>
    </w:sdtContent>
  </w:sdt>
  <w:p w:rsidRDefault="00E2030D" w:rsidP="00C72EB2" w:rsidR="00C72EB2">
    <w:pPr>
      <w:pStyle w:val="Zaglavlje"/>
      <w:jc w:val="right"/>
    </w:pPr>
    <w:r>
      <w:t>34. St-</w:t>
    </w:r>
    <w:r w:rsidR="006120FD">
      <w:t>6781/2016</w:t>
    </w:r>
    <w:r>
      <w:t>-</w:t>
    </w:r>
    <w:r w:rsidR="006120FD">
      <w:t>28</w:t>
    </w:r>
  </w:p>
  <w:p w:rsidRDefault="000C2AFE" w:rsidP="00C72EB2" w:rsidR="00C72EB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B901BF"/>
    <w:multiLevelType w:val="hybridMultilevel"/>
    <w:tmpl w:val="F5BCC87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11D27F7"/>
    <w:multiLevelType w:val="hybridMultilevel"/>
    <w:tmpl w:val="560C7D16"/>
    <w:lvl w:tplc="DAD49D98"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20FD"/>
    <w:rsid w:val="000434F1"/>
    <w:rsid w:val="00045FAF"/>
    <w:rsid w:val="0005710B"/>
    <w:rsid w:val="00096970"/>
    <w:rsid w:val="000C2AFE"/>
    <w:rsid w:val="001033F0"/>
    <w:rsid w:val="00117BC5"/>
    <w:rsid w:val="00193FB6"/>
    <w:rsid w:val="001D34D5"/>
    <w:rsid w:val="001E1F87"/>
    <w:rsid w:val="002A523F"/>
    <w:rsid w:val="002F1388"/>
    <w:rsid w:val="00380484"/>
    <w:rsid w:val="003A5CA7"/>
    <w:rsid w:val="003C05E2"/>
    <w:rsid w:val="003E1E3F"/>
    <w:rsid w:val="00431B33"/>
    <w:rsid w:val="004A164D"/>
    <w:rsid w:val="004B3426"/>
    <w:rsid w:val="004E5A94"/>
    <w:rsid w:val="00586C62"/>
    <w:rsid w:val="005C31AA"/>
    <w:rsid w:val="005C7E40"/>
    <w:rsid w:val="005D35F0"/>
    <w:rsid w:val="006120FD"/>
    <w:rsid w:val="00624600"/>
    <w:rsid w:val="00697A50"/>
    <w:rsid w:val="006B087F"/>
    <w:rsid w:val="00712582"/>
    <w:rsid w:val="0073291F"/>
    <w:rsid w:val="0078397D"/>
    <w:rsid w:val="007F726F"/>
    <w:rsid w:val="008064D1"/>
    <w:rsid w:val="00854CB5"/>
    <w:rsid w:val="0085732A"/>
    <w:rsid w:val="0086702C"/>
    <w:rsid w:val="0087609D"/>
    <w:rsid w:val="008E6B30"/>
    <w:rsid w:val="009035D9"/>
    <w:rsid w:val="009461D1"/>
    <w:rsid w:val="00AF40C4"/>
    <w:rsid w:val="00BA536C"/>
    <w:rsid w:val="00C60B87"/>
    <w:rsid w:val="00CA1BFE"/>
    <w:rsid w:val="00CD0023"/>
    <w:rsid w:val="00CF6257"/>
    <w:rsid w:val="00E2030D"/>
    <w:rsid w:val="00E37745"/>
    <w:rsid w:val="00EB6354"/>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120FD"/>
    <w:pPr>
      <w:tabs>
        <w:tab w:pos="4536" w:val="center"/>
        <w:tab w:pos="9072" w:val="right"/>
      </w:tabs>
    </w:pPr>
    <w:rPr>
      <w:rFonts w:cs="Times New Roman" w:eastAsia="Times New Roman"/>
      <w:noProof/>
      <w:szCs w:val="24"/>
      <w:lang w:eastAsia="hr-HR"/>
    </w:rPr>
  </w:style>
  <w:style w:customStyle="true" w:styleId="ZaglavljeChar" w:type="character">
    <w:name w:val="Zaglavlje Char"/>
    <w:basedOn w:val="Zadanifontodlomka"/>
    <w:link w:val="Zaglavlje"/>
    <w:uiPriority w:val="99"/>
    <w:rsid w:val="006120FD"/>
    <w:rPr>
      <w:rFonts w:cs="Times New Roman" w:eastAsia="Times New Roman"/>
      <w:noProof/>
      <w:szCs w:val="24"/>
      <w:lang w:eastAsia="hr-HR"/>
    </w:rPr>
  </w:style>
  <w:style w:styleId="Tekstbalonia" w:type="paragraph">
    <w:name w:val="Balloon Text"/>
    <w:basedOn w:val="Normal"/>
    <w:link w:val="TekstbaloniaChar"/>
    <w:uiPriority w:val="99"/>
    <w:semiHidden/>
    <w:unhideWhenUsed/>
    <w:rsid w:val="006120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20FD"/>
    <w:rPr>
      <w:rFonts w:cs="Tahoma" w:hAnsi="Tahoma" w:ascii="Tahoma"/>
      <w:sz w:val="16"/>
      <w:szCs w:val="16"/>
    </w:rPr>
  </w:style>
  <w:style w:styleId="Podnoje" w:type="paragraph">
    <w:name w:val="footer"/>
    <w:basedOn w:val="Normal"/>
    <w:link w:val="PodnojeChar"/>
    <w:uiPriority w:val="99"/>
    <w:unhideWhenUsed/>
    <w:rsid w:val="006120FD"/>
    <w:pPr>
      <w:tabs>
        <w:tab w:pos="4536" w:val="center"/>
        <w:tab w:pos="9072" w:val="right"/>
      </w:tabs>
    </w:pPr>
  </w:style>
  <w:style w:customStyle="true" w:styleId="PodnojeChar" w:type="character">
    <w:name w:val="Podnožje Char"/>
    <w:basedOn w:val="Zadanifontodlomka"/>
    <w:link w:val="Podnoje"/>
    <w:uiPriority w:val="99"/>
    <w:rsid w:val="006120FD"/>
  </w:style>
  <w:style w:styleId="Tekstrezerviranogmjesta" w:type="character">
    <w:name w:val="Placeholder Text"/>
    <w:basedOn w:val="Zadanifontodlomka"/>
    <w:uiPriority w:val="99"/>
    <w:semiHidden/>
    <w:rsid w:val="000C2AFE"/>
    <w:rPr>
      <w:color w:val="808080"/>
      <w:bdr w:space="0" w:sz="0" w:color="auto" w:val="none"/>
      <w:shd w:fill="auto" w:color="auto" w:val="clear"/>
    </w:rPr>
  </w:style>
  <w:style w:customStyle="true" w:styleId="eSPISCCParagraphDefaultFont" w:type="character">
    <w:name w:val="eSPIS_CC_Paragraph Default Font"/>
    <w:basedOn w:val="Zadanifontodlomka"/>
    <w:rsid w:val="000C2AF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C2AFE"/>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C2AF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C2AF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120FD"/>
    <w:pPr>
      <w:tabs>
        <w:tab w:pos="4536" w:val="center"/>
        <w:tab w:pos="9072" w:val="right"/>
      </w:tabs>
    </w:pPr>
    <w:rPr>
      <w:rFonts w:cs="Times New Roman" w:eastAsia="Times New Roman"/>
      <w:noProof/>
      <w:szCs w:val="24"/>
      <w:lang w:eastAsia="hr-HR"/>
    </w:rPr>
  </w:style>
  <w:style w:customStyle="1" w:styleId="ZaglavljeChar" w:type="character">
    <w:name w:val="Zaglavlje Char"/>
    <w:basedOn w:val="Zadanifontodlomka"/>
    <w:link w:val="Zaglavlje"/>
    <w:uiPriority w:val="99"/>
    <w:rsid w:val="006120FD"/>
    <w:rPr>
      <w:rFonts w:cs="Times New Roman" w:eastAsia="Times New Roman"/>
      <w:noProof/>
      <w:szCs w:val="24"/>
      <w:lang w:eastAsia="hr-HR"/>
    </w:rPr>
  </w:style>
  <w:style w:styleId="Tekstbalonia" w:type="paragraph">
    <w:name w:val="Balloon Text"/>
    <w:basedOn w:val="Normal"/>
    <w:link w:val="TekstbaloniaChar"/>
    <w:uiPriority w:val="99"/>
    <w:semiHidden/>
    <w:unhideWhenUsed/>
    <w:rsid w:val="006120FD"/>
    <w:rPr>
      <w:rFonts w:ascii="Tahoma" w:cs="Tahoma" w:hAnsi="Tahoma"/>
      <w:sz w:val="16"/>
      <w:szCs w:val="16"/>
    </w:rPr>
  </w:style>
  <w:style w:customStyle="1" w:styleId="TekstbaloniaChar" w:type="character">
    <w:name w:val="Tekst balončića Char"/>
    <w:basedOn w:val="Zadanifontodlomka"/>
    <w:link w:val="Tekstbalonia"/>
    <w:uiPriority w:val="99"/>
    <w:semiHidden/>
    <w:rsid w:val="006120FD"/>
    <w:rPr>
      <w:rFonts w:ascii="Tahoma" w:cs="Tahoma" w:hAnsi="Tahoma"/>
      <w:sz w:val="16"/>
      <w:szCs w:val="16"/>
    </w:rPr>
  </w:style>
  <w:style w:styleId="Podnoje" w:type="paragraph">
    <w:name w:val="footer"/>
    <w:basedOn w:val="Normal"/>
    <w:link w:val="PodnojeChar"/>
    <w:uiPriority w:val="99"/>
    <w:unhideWhenUsed/>
    <w:rsid w:val="006120FD"/>
    <w:pPr>
      <w:tabs>
        <w:tab w:pos="4536" w:val="center"/>
        <w:tab w:pos="9072" w:val="right"/>
      </w:tabs>
    </w:pPr>
  </w:style>
  <w:style w:customStyle="1" w:styleId="PodnojeChar" w:type="character">
    <w:name w:val="Podnožje Char"/>
    <w:basedOn w:val="Zadanifontodlomka"/>
    <w:link w:val="Podnoje"/>
    <w:uiPriority w:val="99"/>
    <w:rsid w:val="006120FD"/>
  </w:style>
  <w:style w:styleId="Tekstrezerviranogmjesta" w:type="character">
    <w:name w:val="Placeholder Text"/>
    <w:basedOn w:val="Zadanifontodlomka"/>
    <w:uiPriority w:val="99"/>
    <w:semiHidden/>
    <w:rsid w:val="000C2AFE"/>
    <w:rPr>
      <w:color w:val="808080"/>
      <w:bdr w:color="auto" w:space="0" w:sz="0" w:val="none"/>
      <w:shd w:color="auto" w:fill="auto" w:val="clear"/>
    </w:rPr>
  </w:style>
  <w:style w:customStyle="1" w:styleId="eSPISCCParagraphDefaultFont" w:type="character">
    <w:name w:val="eSPIS_CC_Paragraph Default Font"/>
    <w:basedOn w:val="Zadanifontodlomka"/>
    <w:rsid w:val="000C2AF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C2AFE"/>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C2AF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C2AF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6781</izvorni_sadrzaj>
    <derivirana_varijabla naziv="DomainObject.Predmet.Broj_1">6781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St-6781/2016</izvorni_sadrzaj>
    <derivirana_varijabla naziv="DomainObject.Predmet.OznakaBroj_1">St-6781/2016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ENGLER GRUNDBESITZ ZAGREB d.o.o. zastupanog po punomoćniku Josip Đerek</izvorni_sadrzaj>
    <derivirana_varijabla naziv="DomainObject.Predmet.ProtustrankaFormated_1">  ENGLER GRUNDBESITZ ZAGREB d.o.o. zastupanog po punomoćniku Josip Đerek</derivirana_varijabla>
  </DomainObject.Predmet.ProtustrankaFormated>
  <DomainObject.Predmet.ProtustrankaFormatedOIB>
    <izvorni_sadrzaj>  ENGLER GRUNDBESITZ ZAGREB d.o.o., OIB 57953059898 zastupanog po punomoćniku Josip Đerek</izvorni_sadrzaj>
    <derivirana_varijabla naziv="DomainObject.Predmet.ProtustrankaFormatedOIB_1">  ENGLER GRUNDBESITZ ZAGREB d.o.o., OIB 57953059898 zastupanog po punomoćniku Josip Đerek</derivirana_varijabla>
  </DomainObject.Predmet.ProtustrankaFormatedOIB>
  <DomainObject.Predmet.ProtustrankaFormatedWithAdress>
    <izvorni_sadrzaj> ENGLER GRUNDBESITZ ZAGREB d.o.o., Medulićeva 2, 10000 Zagreb zastupanog po punomoćniku Josip Đerek</izvorni_sadrzaj>
    <derivirana_varijabla naziv="DomainObject.Predmet.ProtustrankaFormatedWithAdress_1"> ENGLER GRUNDBESITZ ZAGREB d.o.o., Medulićeva 2, 10000 Zagreb zastupanog po punomoćniku Josip Đerek</derivirana_varijabla>
  </DomainObject.Predmet.ProtustrankaFormatedWithAdress>
  <DomainObject.Predmet.ProtustrankaFormatedWithAdressOIB>
    <izvorni_sadrzaj> ENGLER GRUNDBESITZ ZAGREB d.o.o., OIB 57953059898, Medulićeva 2, 10000 Zagreb zastupanog po punomoćniku Josip Đerek</izvorni_sadrzaj>
    <derivirana_varijabla naziv="DomainObject.Predmet.ProtustrankaFormatedWithAdressOIB_1"> ENGLER GRUNDBESITZ ZAGREB d.o.o., OIB 57953059898, Medulićeva 2, 10000 Zagreb zastupanog po punomoćniku Josip Đerek</derivirana_varijabla>
  </DomainObject.Predmet.ProtustrankaFormatedWithAdressOIB>
  <DomainObject.Predmet.ProtustrankaWithAdress>
    <izvorni_sadrzaj>ENGLER GRUNDBESITZ ZAGREB d.o.o. Medulićeva 2, 10000 Zagreb</izvorni_sadrzaj>
    <derivirana_varijabla naziv="DomainObject.Predmet.ProtustrankaWithAdress_1">ENGLER GRUNDBESITZ ZAGREB d.o.o. Medulićeva 2, 10000 Zagreb</derivirana_varijabla>
  </DomainObject.Predmet.ProtustrankaWithAdress>
  <DomainObject.Predmet.ProtustrankaWithAdressOIB>
    <izvorni_sadrzaj>ENGLER GRUNDBESITZ ZAGREB d.o.o., OIB 57953059898, Medulićeva 2, 10000 Zagreb</izvorni_sadrzaj>
    <derivirana_varijabla naziv="DomainObject.Predmet.ProtustrankaWithAdressOIB_1">ENGLER GRUNDBESITZ ZAGREB d.o.o., OIB 57953059898, Medulićeva 2, 10000 Zagreb</derivirana_varijabla>
  </DomainObject.Predmet.ProtustrankaWithAdressOIB>
  <DomainObject.Predmet.ProtustrankaNazivFormated>
    <izvorni_sadrzaj>ENGLER GRUNDBESITZ ZAGREB d.o.o.</izvorni_sadrzaj>
    <derivirana_varijabla naziv="DomainObject.Predmet.ProtustrankaNazivFormated_1">ENGLER GRUNDBESITZ ZAGREB d.o.o.</derivirana_varijabla>
  </DomainObject.Predmet.ProtustrankaNazivFormated>
  <DomainObject.Predmet.ProtustrankaNazivFormatedOIB>
    <izvorni_sadrzaj>ENGLER GRUNDBESITZ ZAGREB d.o.o., OIB 57953059898</izvorni_sadrzaj>
    <derivirana_varijabla naziv="DomainObject.Predmet.ProtustrankaNazivFormatedOIB_1">ENGLER GRUNDBESITZ ZAGREB d.o.o., OIB 57953059898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d.d. u stečaju</izvorni_sadrzaj>
    <derivirana_varijabla naziv="DomainObject.Predmet.StrankaFormated_1">  FINA Regionalni centar Zagreb; NAVA BANKA d.d. u stečaju</derivirana_varijabla>
  </DomainObject.Predmet.StrankaFormated>
  <DomainObject.Predmet.StrankaFormatedOIB>
    <izvorni_sadrzaj>  FINA Regionalni centar Zagreb, OIB 85821130368; NAVA BANKA d.d. u stečaju, OIB 07492912398</izvorni_sadrzaj>
    <derivirana_varijabla naziv="DomainObject.Predmet.StrankaFormatedOIB_1">  FINA Regionalni centar Zagreb, OIB 85821130368; NAVA BANKA d.d. u stečaju, OIB 07492912398</derivirana_varijabla>
  </DomainObject.Predmet.StrankaFormatedOIB>
  <DomainObject.Predmet.StrankaFormatedWithAdress>
    <izvorni_sadrzaj> FINA Regionalni centar Zagreb, Trg svibanjskih žrtava 1995. 1, 10000 Zagreb; NAVA BANKA d.d. u stečaju, Tratinska 27, 10000 Zagreb</izvorni_sadrzaj>
    <derivirana_varijabla naziv="DomainObject.Predmet.StrankaFormatedWithAdress_1"> FINA Regionalni centar Zagreb, Trg svibanjskih žrtava 1995. 1, 10000 Zagreb; NAVA BANKA d.d. u stečaju, Tratinska 27, 10000 Zagreb</derivirana_varijabla>
  </DomainObject.Predmet.StrankaFormatedWithAdress>
  <DomainObject.Predmet.StrankaFormatedWithAdressOIB>
    <izvorni_sadrzaj> FINA Regionalni centar Zagreb, OIB 85821130368, Trg svibanjskih žrtava 1995. 1, 10000 Zagreb; NAVA BANKA d.d. u stečaju, OIB 07492912398, Tratinska 27, 10000 Zagreb</izvorni_sadrzaj>
    <derivirana_varijabla naziv="DomainObject.Predmet.StrankaFormatedWithAdressOIB_1"> FINA Regionalni centar Zagreb, OIB 85821130368, Trg svibanjskih žrtava 1995. 1, 10000 Zagreb; NAVA BANKA d.d. u stečaju, OIB 07492912398, Tratinska 27, 10000 Zagreb</derivirana_varijabla>
  </DomainObject.Predmet.StrankaFormatedWithAdressOIB>
  <DomainObject.Predmet.StrankaWithAdress>
    <izvorni_sadrzaj>FINA Regionalni centar Zagreb Trg svibanjskih žrtava 1995. 1,10000 Zagreb,NAVA BANKA d.d. u stečaju Tratinska 27,10000 Zagreb</izvorni_sadrzaj>
    <derivirana_varijabla naziv="DomainObject.Predmet.StrankaWithAdress_1">FINA Regionalni centar Zagreb Trg svibanjskih žrtava 1995. 1,10000 Zagreb,NAVA BANKA d.d. u stečaju Tratinska 27,10000 Zagreb</derivirana_varijabla>
  </DomainObject.Predmet.StrankaWithAdress>
  <DomainObject.Predmet.StrankaWithAdressOIB>
    <izvorni_sadrzaj>FINA Regionalni centar Zagreb, OIB 85821130368, Trg svibanjskih žrtava 1995. 1,10000 Zagreb,NAVA BANKA d.d. u stečaju, OIB 07492912398, Tratinska 27,10000 Zagreb</izvorni_sadrzaj>
    <derivirana_varijabla naziv="DomainObject.Predmet.StrankaWithAdressOIB_1">FINA Regionalni centar Zagreb, OIB 85821130368, Trg svibanjskih žrtava 1995. 1,10000 Zagreb,NAVA BANKA d.d. u stečaju, OIB 07492912398, Tratinska 27,10000 Zagreb</derivirana_varijabla>
  </DomainObject.Predmet.StrankaWithAdressOIB>
  <DomainObject.Predmet.StrankaNazivFormated>
    <izvorni_sadrzaj>FINA Regionalni centar Zagreb,NAVA BANKA d.d. u stečaju</izvorni_sadrzaj>
    <derivirana_varijabla naziv="DomainObject.Predmet.StrankaNazivFormated_1">FINA Regionalni centar Zagreb,NAVA BANKA d.d. u stečaju</derivirana_varijabla>
  </DomainObject.Predmet.StrankaNazivFormated>
  <DomainObject.Predmet.StrankaNazivFormatedOIB>
    <izvorni_sadrzaj>FINA Regionalni centar Zagreb, OIB 85821130368,NAVA BANKA d.d. u stečaju, OIB 07492912398</izvorni_sadrzaj>
    <derivirana_varijabla naziv="DomainObject.Predmet.StrankaNazivFormatedOIB_1">FINA Regionalni centar Zagreb, OIB 85821130368,NAVA BANKA d.d.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NAVA BANKA d.d. u stečaju</item>
    </izvorni_sadrzaj>
    <derivirana_varijabla naziv="DomainObject.Predmet.StrankaListFormated_1">
      <item>FINA Regionalni centar Zagreb</item>
      <item>NAVA BANKA d.d. u stečaju</item>
    </derivirana_varijabla>
  </DomainObject.Predmet.StrankaListFormated>
  <DomainObject.Predmet.StrankaListFormatedOIB>
    <izvorni_sadrzaj>
      <item>FINA Regionalni centar Zagreb, OIB 85821130368</item>
      <item>NAVA BANKA d.d. u stečaju, OIB 07492912398</item>
    </izvorni_sadrzaj>
    <derivirana_varijabla naziv="DomainObject.Predmet.StrankaListFormatedOIB_1">
      <item>FINA Regionalni centar Zagreb, OIB 85821130368</item>
      <item>NAVA BANKA d.d. u stečaju, OIB 07492912398</item>
    </derivirana_varijabla>
  </DomainObject.Predmet.StrankaListFormatedOIB>
  <DomainObject.Predmet.StrankaListFormatedWithAdress>
    <izvorni_sadrzaj>
      <item>FINA Regionalni centar Zagreb, Trg svibanjskih žrtava 1995. 1, 10000 Zagreb</item>
      <item>NAVA BANKA d.d. u stečaju, Tratinska 27, 10000 Zagreb</item>
    </izvorni_sadrzaj>
    <derivirana_varijabla naziv="DomainObject.Predmet.StrankaListFormatedWithAdress_1">
      <item>FINA Regionalni centar Zagreb, Trg svibanjskih žrtava 1995. 1, 10000 Zagreb</item>
      <item>NAVA BANKA d.d.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d.d. u stečaju, OIB 07492912398, Tratinska 27, 10000 Zagreb</item>
    </izvorni_sadrzaj>
    <derivirana_varijabla naziv="DomainObject.Predmet.StrankaListFormatedWithAdressOIB_1">
      <item>FINA Regionalni centar Zagreb, OIB 85821130368, Trg svibanjskih žrtava 1995. 1, 10000 Zagreb</item>
      <item>NAVA BANKA d.d. u stečaju, OIB 07492912398, Tratinska 27, 10000 Zagreb</item>
    </derivirana_varijabla>
  </DomainObject.Predmet.StrankaListFormatedWithAdressOIB>
  <DomainObject.Predmet.StrankaListNazivFormated>
    <izvorni_sadrzaj>
      <item>FINA Regionalni centar Zagreb</item>
      <item>NAVA BANKA d.d. u stečaju</item>
    </izvorni_sadrzaj>
    <derivirana_varijabla naziv="DomainObject.Predmet.StrankaListNazivFormated_1">
      <item>FINA Regionalni centar Zagreb</item>
      <item>NAVA BANKA d.d. u stečaju</item>
    </derivirana_varijabla>
  </DomainObject.Predmet.StrankaListNazivFormated>
  <DomainObject.Predmet.StrankaListNazivFormatedOIB>
    <izvorni_sadrzaj>
      <item>FINA Regionalni centar Zagreb, OIB 85821130368</item>
      <item>NAVA BANKA d.d. u stečaju, OIB 07492912398</item>
    </izvorni_sadrzaj>
    <derivirana_varijabla naziv="DomainObject.Predmet.StrankaListNazivFormatedOIB_1">
      <item>FINA Regionalni centar Zagreb, OIB 85821130368</item>
      <item>NAVA BANKA d.d. u stečaju, OIB 07492912398</item>
    </derivirana_varijabla>
  </DomainObject.Predmet.StrankaListNazivFormatedOIB>
  <DomainObject.Predmet.ProtuStrankaListFormated>
    <izvorni_sadrzaj>
      <item>ENGLER GRUNDBESITZ ZAGREB d.o.o. zastupanog po punomoćniku Josip Đerek</item>
    </izvorni_sadrzaj>
    <derivirana_varijabla naziv="DomainObject.Predmet.ProtuStrankaListFormated_1">
      <item>ENGLER GRUNDBESITZ ZAGREB d.o.o. zastupanog po punomoćniku Josip Đerek</item>
    </derivirana_varijabla>
  </DomainObject.Predmet.ProtuStrankaListFormated>
  <DomainObject.Predmet.ProtuStrankaListFormatedOIB>
    <izvorni_sadrzaj>
      <item>ENGLER GRUNDBESITZ ZAGREB d.o.o., OIB 57953059898 zastupanog po punomoćniku Josip Đerek</item>
    </izvorni_sadrzaj>
    <derivirana_varijabla naziv="DomainObject.Predmet.ProtuStrankaListFormatedOIB_1">
      <item>ENGLER GRUNDBESITZ ZAGREB d.o.o., OIB 57953059898 zastupanog po punomoćniku Josip Đerek</item>
    </derivirana_varijabla>
  </DomainObject.Predmet.ProtuStrankaListFormatedOIB>
  <DomainObject.Predmet.ProtuStrankaListFormatedWithAdress>
    <izvorni_sadrzaj>
      <item>ENGLER GRUNDBESITZ ZAGREB d.o.o., Medulićeva 2, 10000 Zagreb zastupanog po punomoćniku Josip Đerek</item>
    </izvorni_sadrzaj>
    <derivirana_varijabla naziv="DomainObject.Predmet.ProtuStrankaListFormatedWithAdress_1">
      <item>ENGLER GRUNDBESITZ ZAGREB d.o.o., Medulićeva 2, 10000 Zagreb zastupanog po punomoćniku Josip Đerek</item>
    </derivirana_varijabla>
  </DomainObject.Predmet.ProtuStrankaListFormatedWithAdress>
  <DomainObject.Predmet.ProtuStrankaListFormatedWithAdressOIB>
    <izvorni_sadrzaj>
      <item>ENGLER GRUNDBESITZ ZAGREB d.o.o., OIB 57953059898, Medulićeva 2, 10000 Zagreb zastupanog po punomoćniku Josip Đerek</item>
    </izvorni_sadrzaj>
    <derivirana_varijabla naziv="DomainObject.Predmet.ProtuStrankaListFormatedWithAdressOIB_1">
      <item>ENGLER GRUNDBESITZ ZAGREB d.o.o., OIB 57953059898, Medulićeva 2, 10000 Zagreb zastupanog po punomoćniku Josip Đerek</item>
    </derivirana_varijabla>
  </DomainObject.Predmet.ProtuStrankaListFormatedWithAdressOIB>
  <DomainObject.Predmet.ProtuStrankaListNazivFormated>
    <izvorni_sadrzaj>
      <item>ENGLER GRUNDBESITZ ZAGREB d.o.o.</item>
    </izvorni_sadrzaj>
    <derivirana_varijabla naziv="DomainObject.Predmet.ProtuStrankaListNazivFormated_1">
      <item>ENGLER GRUNDBESITZ ZAGREB d.o.o.</item>
    </derivirana_varijabla>
  </DomainObject.Predmet.ProtuStrankaListNazivFormated>
  <DomainObject.Predmet.ProtuStrankaListNazivFormatedOIB>
    <izvorni_sadrzaj>
      <item>ENGLER GRUNDBESITZ ZAGREB d.o.o., OIB 57953059898</item>
    </izvorni_sadrzaj>
    <derivirana_varijabla naziv="DomainObject.Predmet.ProtuStrankaListNazivFormatedOIB_1">
      <item>ENGLER GRUNDBESITZ ZAGREB d.o.o., OIB 57953059898</item>
    </derivirana_varijabla>
  </DomainObject.Predmet.ProtuStrankaListNazivFormatedOIB>
  <DomainObject.Predmet.OstaliListFormated>
    <izvorni_sadrzaj>
      <item>Zdravko Mitak</item>
      <item>Josip Đerek punomoćnik sudionika u postupku ENGLER GRUNDBESITZ ZAGREB d.o.o.</item>
    </izvorni_sadrzaj>
    <derivirana_varijabla naziv="DomainObject.Predmet.OstaliListFormated_1">
      <item>Zdravko Mitak</item>
      <item>Josip Đerek punomoćnik sudionika u postupku ENGLER GRUNDBESITZ ZAGREB d.o.o.</item>
    </derivirana_varijabla>
  </DomainObject.Predmet.OstaliListFormated>
  <DomainObject.Predmet.OstaliListFormatedOIB>
    <izvorni_sadrzaj>
      <item>Zdravko Mitak, OIB </item>
      <item>Josip Đerek, OIB 67219483199 punomoćnik sudionika u postupku ENGLER GRUNDBESITZ ZAGREB d.o.o.</item>
    </izvorni_sadrzaj>
    <derivirana_varijabla naziv="DomainObject.Predmet.OstaliListFormatedOIB_1">
      <item>Zdravko Mitak, OIB </item>
      <item>Josip Đerek, OIB 67219483199 punomoćnik sudionika u postupku ENGLER GRUNDBESITZ ZAGREB d.o.o.</item>
    </derivirana_varijabla>
  </DomainObject.Predmet.OstaliListFormatedOIB>
  <DomainObject.Predmet.OstaliListFormatedWithAdress>
    <izvorni_sadrzaj>
      <item>Zdravko Mitak, Tratinska 27, 10000 Zagreb</item>
      <item>Josip Đerek, Bolnička Cesta 95, 10000 Zagreb punomoćnik sudionika u postupku ENGLER GRUNDBESITZ ZAGREB d.o.o.</item>
    </izvorni_sadrzaj>
    <derivirana_varijabla naziv="DomainObject.Predmet.OstaliListFormatedWithAdress_1">
      <item>Zdravko Mitak, Tratinska 27, 10000 Zagreb</item>
      <item>Josip Đerek, Bolnička Cesta 95, 10000 Zagreb punomoćnik sudionika u postupku ENGLER GRUNDBESITZ ZAGREB d.o.o.</item>
    </derivirana_varijabla>
  </DomainObject.Predmet.OstaliListFormatedWithAdress>
  <DomainObject.Predmet.OstaliListFormatedWithAdressOIB>
    <izvorni_sadrzaj>
      <item>Zdravko Mitak, OIB , Tratinska 27, 10000 Zagreb</item>
      <item>Josip Đerek, OIB 67219483199, Bolnička Cesta 95, 10000 Zagreb punomoćnik sudionika u postupku ENGLER GRUNDBESITZ ZAGREB d.o.o.</item>
    </izvorni_sadrzaj>
    <derivirana_varijabla naziv="DomainObject.Predmet.OstaliListFormatedWithAdressOIB_1">
      <item>Zdravko Mitak, OIB , Tratinska 27, 10000 Zagreb</item>
      <item>Josip Đerek, OIB 67219483199, Bolnička Cesta 95, 10000 Zagreb punomoćnik sudionika u postupku ENGLER GRUNDBESITZ ZAGREB d.o.o.</item>
    </derivirana_varijabla>
  </DomainObject.Predmet.OstaliListFormatedWithAdressOIB>
  <DomainObject.Predmet.OstaliListNazivFormated>
    <izvorni_sadrzaj>
      <item>Zdravko Mitak</item>
      <item>Josip Đerek</item>
    </izvorni_sadrzaj>
    <derivirana_varijabla naziv="DomainObject.Predmet.OstaliListNazivFormated_1">
      <item>Zdravko Mitak</item>
      <item>Josip Đerek</item>
    </derivirana_varijabla>
  </DomainObject.Predmet.OstaliListNazivFormated>
  <DomainObject.Predmet.OstaliListNazivFormatedOIB>
    <izvorni_sadrzaj>
      <item>Zdravko Mitak, OIB </item>
      <item>Josip Đerek, OIB 67219483199</item>
    </izvorni_sadrzaj>
    <derivirana_varijabla naziv="DomainObject.Predmet.OstaliListNazivFormatedOIB_1">
      <item>Zdravko Mitak, OIB </item>
      <item>Josip Đerek, OIB 67219483199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ENGLER GRUNDBESITZ ZAGREB d.o.o.</izvorni_sadrzaj>
    <derivirana_varijabla naziv="DomainObject.Predmet.ProtustrankaIDrugi_1">ENGLER GRUNDBESITZ ZAGREB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ENGLER GRUNDBESITZ ZAGREB d.o.o., OIB 57953059898, Medulićeva 2, 10000 Zagreb</izvorni_sadrzaj>
    <derivirana_varijabla naziv="DomainObject.Predmet.ProtustrankaIDrugiAdressOIB_1">ENGLER GRUNDBESITZ ZAGREB d.o.o., OIB 57953059898, Medulićeva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ENGLER GRUNDBESITZ ZAGREB d.o.o.</item>
      <item>FINA Regionalni centar Zagreb</item>
      <item>NAVA BANKA d.d. u stečaju</item>
      <item>Zdravko Mitak</item>
      <item>Josip Đerek</item>
    </izvorni_sadrzaj>
    <derivirana_varijabla naziv="DomainObject.Predmet.SudioniciListNaziv_1">
      <item>ENGLER GRUNDBESITZ ZAGREB d.o.o.</item>
      <item>FINA Regionalni centar Zagreb</item>
      <item>NAVA BANKA d.d. u stečaju</item>
      <item>Zdravko Mitak</item>
      <item>Josip Đerek</item>
    </derivirana_varijabla>
  </DomainObject.Predmet.SudioniciListNaziv>
  <DomainObject.Predmet.SudioniciListAdressOIB>
    <izvorni_sadrzaj>
      <item>ENGLER GRUNDBESITZ ZAGREB d.o.o., OIB 57953059898, Medulićeva 2,10000 Zagreb</item>
      <item>FINA Regionalni centar Zagreb, OIB 85821130368, Trg svibanjskih žrtava 1995. 1,10000 Zagreb</item>
      <item>NAVA BANKA d.d. u stečaju, OIB 07492912398, Tratinska 27,10000 Zagreb</item>
      <item>Zdravko Mitak, OIB , Tratinska 27,10000 Zagreb</item>
      <item>Josip Đerek, OIB 67219483199, Bolnička Cesta 95,10000 Zagreb</item>
    </izvorni_sadrzaj>
    <derivirana_varijabla naziv="DomainObject.Predmet.SudioniciListAdressOIB_1">
      <item>ENGLER GRUNDBESITZ ZAGREB d.o.o., OIB 57953059898, Medulićeva 2,10000 Zagreb</item>
      <item>FINA Regionalni centar Zagreb, OIB 85821130368, Trg svibanjskih žrtava 1995. 1,10000 Zagreb</item>
      <item>NAVA BANKA d.d. u stečaju, OIB 07492912398, Tratinska 27,10000 Zagreb</item>
      <item>Zdravko Mitak, OIB , Tratinska 27,10000 Zagreb</item>
      <item>Josip Đerek, OIB 67219483199, Bolnička Cesta 95,10000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57953059898</item>
      <item>, OIB 85821130368</item>
      <item>, OIB 07492912398</item>
      <item>, OIB </item>
      <item>, OIB 67219483199</item>
    </izvorni_sadrzaj>
    <derivirana_varijabla naziv="DomainObject.Predmet.SudioniciListNazivOIB_1">
      <item>, OIB 57953059898</item>
      <item>, OIB 85821130368</item>
      <item>, OIB 07492912398</item>
      <item>, OIB </item>
      <item>, OIB 67219483199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684</properties:Words>
  <properties:Characters>3823</properties:Characters>
  <properties:Lines>91</properties:Lines>
  <properties:Paragraphs>27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2018-05-30T09:55:00Z</dcterms:created>
  <dc:creator>Vlasta Bogović Milisavljević</dc:creator>
  <cp:lastModifiedBy>Vlasta Bogović Milisavljević</cp:lastModifiedBy>
  <dcterms:modified xmlns:xsi="http://www.w3.org/2001/XMLSchema-instance" xsi:type="dcterms:W3CDTF">2018-06-04T08:48:00Z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 plaćanje predujma za pokriće troškova prethodnog postupka/stečajnog postupka (predujam 04.06.2018..docx)</vt:lpwstr>
  </prop:property>
  <prop:property name="CC_coloring" pid="4" fmtid="{D5CDD505-2E9C-101B-9397-08002B2CF9AE}">
    <vt:bool>false</vt:bool>
  </prop:property>
  <prop:property name="BrojStranica" pid="5" fmtid="{D5CDD505-2E9C-101B-9397-08002B2CF9AE}">
    <vt:i4>2</vt:i4>
  </prop:property>
</prop:Properties>
</file>