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f684d0" w14:paraId="bf684d0" w:rsidRDefault="00152AF0" w:rsidR="00152AF0">
      <w:pPr>
        <w:pStyle w:val="Tijeloteksta"/>
        <w:spacing w:lineRule="auto" w:line="240" w:after="0"/>
        <w15:collapsed w:val="false"/>
        <w:rPr>
          <w:rFonts w:hint="eastAsia"/>
        </w:rPr>
      </w:pPr>
      <w:bookmarkStart w:name="_GoBack" w:id="0"/>
      <w:bookmarkEnd w:id="0"/>
      <w:r>
        <w:rPr>
          <w:rFonts w:cs="Bookman Old Style" w:hAnsi="Times New Roman" w:ascii="Times New Roman"/>
          <w:lang w:val="hr-HR"/>
        </w:rPr>
        <w:t>Na osnovu članka 227. Stečajnog zakona te Rješenja Trgovačkog suda u Zagrebu, broj St-3323/16 od 21.prosinca 2017. godine, stečajna upraviteljica tvrtke Floris d.o.o. u stečaju iz Zagreba, Biankinijeva 8/1, podnosi sljedeće</w:t>
      </w: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jc w:val="center"/>
        <w:rPr>
          <w:rFonts w:hint="eastAsia"/>
        </w:rPr>
      </w:pPr>
      <w:r>
        <w:rPr>
          <w:rFonts w:cs="Bookman Old Style" w:hAnsi="Times New Roman" w:ascii="Times New Roman"/>
          <w:b/>
          <w:lang w:val="hr-HR"/>
        </w:rPr>
        <w:t>IZVJEŠĆE</w:t>
      </w:r>
    </w:p>
    <w:p w:rsidRDefault="00152AF0" w:rsidR="00152AF0">
      <w:pPr>
        <w:pStyle w:val="Tijeloteksta"/>
        <w:spacing w:lineRule="auto" w:line="240" w:after="0"/>
        <w:jc w:val="center"/>
        <w:rPr>
          <w:rFonts w:hint="eastAsia"/>
        </w:rPr>
      </w:pPr>
      <w:r>
        <w:rPr>
          <w:rFonts w:cs="Bookman Old Style" w:hAnsi="Times New Roman" w:ascii="Times New Roman"/>
          <w:b/>
          <w:lang w:val="hr-HR"/>
        </w:rPr>
        <w:t>O GOSPODARSKOM POLOŽAJU STEČAJNOG DUŽNIKA I NJEGOVIM UZROCIMA</w:t>
      </w:r>
    </w:p>
    <w:p w:rsidRDefault="00152AF0" w:rsidR="00152AF0">
      <w:pPr>
        <w:pStyle w:val="Tijeloteksta"/>
        <w:spacing w:lineRule="auto" w:line="240" w:after="0"/>
        <w:jc w:val="center"/>
        <w:rPr>
          <w:rFonts w:cs="Bookman Old Style" w:hAnsi="Times New Roman" w:ascii="Times New Roman"/>
          <w:b/>
          <w:lang w:val="hr-HR"/>
        </w:rPr>
      </w:pP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b/>
          <w:lang w:val="hr-HR"/>
        </w:rPr>
      </w:pPr>
    </w:p>
    <w:p w:rsidRDefault="00152AF0" w:rsidR="00152AF0">
      <w:pPr>
        <w:pStyle w:val="Tijeloteksta"/>
        <w:spacing w:lineRule="auto" w:line="240" w:after="0"/>
        <w:ind w:left="360"/>
        <w:rPr>
          <w:rFonts w:hint="eastAsia"/>
        </w:rPr>
      </w:pPr>
      <w:r>
        <w:rPr>
          <w:rFonts w:cs="Bookman Old Style" w:hAnsi="Times New Roman" w:ascii="Times New Roman"/>
          <w:b/>
          <w:lang w:val="hr-HR"/>
        </w:rPr>
        <w:t>1. UVODNE NAPOMENE</w:t>
      </w: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b/>
          <w:lang w:val="hr-HR"/>
        </w:rPr>
      </w:pPr>
    </w:p>
    <w:p w:rsidRDefault="00152AF0" w:rsidR="00152AF0">
      <w:pPr>
        <w:pStyle w:val="Tijeloteksta"/>
        <w:spacing w:lineRule="auto" w:line="240" w:after="0"/>
        <w:rPr>
          <w:rFonts w:hint="eastAsia"/>
        </w:rPr>
      </w:pPr>
      <w:r>
        <w:rPr>
          <w:rFonts w:cs="Times New Roman" w:eastAsia="Times New Roman" w:hAnsi="Times New Roman" w:ascii="Times New Roman"/>
          <w:lang w:eastAsia="hr-HR"/>
        </w:rPr>
        <w:t>Financijska agencija podnijela je prijedlog za otvaranje stečajnog postupka nad dužnikom FLORIS d.o.o., Zagreb, Biankinijeva 8, OIB: 66887802844, MBS: 080410538, temeljem čl. 110 st. 1. Stečajnog zakona u kojem se navodi da stečajni dužnik u očevidniku redoslijeda osnova za plaćanje ima evidentirane neizvršene osnove za plaćanje u neprekinutom razdoblju od 1142 dana u iznosu od 30.480,11 kn, na dan 1. rujna 2015. godine.</w:t>
      </w: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Dužnik je nesposoban za plaćanje jer ima evidentirane nepodmirene obveze kod banke koja za njega obavlja poslove platnog prometa u razdoblju duljem od 60 dana.</w:t>
      </w: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Kako su ostvareni stečajni razlozi sukladno Stečajnom zakonu, Trgovački sud u Zagrebu otvorio je dana 21.prosinca 2017. godine stečajni postupak nad stečajnim dužnikom Floris d.o.o. Rješenjem broj St- 3323/16</w:t>
      </w: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ind w:left="360"/>
        <w:rPr>
          <w:rFonts w:hint="eastAsia"/>
        </w:rPr>
      </w:pPr>
      <w:r>
        <w:rPr>
          <w:rFonts w:cs="Bookman Old Style" w:hAnsi="Times New Roman" w:ascii="Times New Roman"/>
          <w:b/>
          <w:lang w:val="hr-HR"/>
        </w:rPr>
        <w:t>2. OSNOVNI PODACI O STEČAJNOM DUŽNIKU</w:t>
      </w:r>
    </w:p>
    <w:p w:rsidRDefault="00152AF0" w:rsidR="00152AF0">
      <w:pPr>
        <w:rPr>
          <w:rFonts w:cs="Bookman Old Style" w:hAnsi="Times New Roman" w:ascii="Times New Roman"/>
          <w:lang w:val="hr-HR"/>
        </w:rPr>
      </w:pPr>
    </w:p>
    <w:p w:rsidRDefault="00152AF0" w:rsidR="00152AF0">
      <w:pPr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Pravni oblik: društvo s ograničenom odgovornošću.</w:t>
      </w:r>
      <w:r>
        <w:rPr>
          <w:rFonts w:cs="Bookman Old Style" w:hAnsi="Times New Roman" w:ascii="Times New Roman"/>
          <w:lang w:val="hr-HR"/>
        </w:rPr>
        <w:tab/>
      </w:r>
    </w:p>
    <w:p w:rsidRDefault="00152AF0" w:rsidR="00152AF0">
      <w:pPr>
        <w:rPr>
          <w:rFonts w:cs="Bookman Old Style" w:hAnsi="Times New Roman" w:ascii="Times New Roman"/>
          <w:lang w:val="hr-HR"/>
        </w:rPr>
      </w:pPr>
    </w:p>
    <w:p w:rsidRDefault="00152AF0" w:rsidR="00152AF0">
      <w:pPr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 xml:space="preserve">Društvo je osnovano Izjavom o osnivanju društva s ograničenom odgovornošću od 17.04.1990. godine.  </w:t>
      </w:r>
    </w:p>
    <w:p w:rsidRDefault="00152AF0" w:rsidR="00152AF0">
      <w:pPr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Osnivači društva su:</w:t>
      </w:r>
    </w:p>
    <w:p w:rsidRDefault="00152AF0" w:rsidR="00152AF0">
      <w:pPr>
        <w:rPr>
          <w:rFonts w:hAnsi="Times New Roman" w:ascii="Times New Roman"/>
        </w:rPr>
      </w:pPr>
    </w:p>
    <w:p w:rsidRDefault="00152AF0" w:rsidR="00152AF0">
      <w:pPr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Ljerka Kosar, OIB: 11359028093</w:t>
      </w:r>
    </w:p>
    <w:p w:rsidRDefault="00152AF0" w:rsidR="00152AF0">
      <w:pPr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Zagreb, Biankinijeva 8</w:t>
      </w:r>
    </w:p>
    <w:p w:rsidRDefault="00152AF0" w:rsidR="00152AF0">
      <w:pPr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- član društva</w:t>
      </w:r>
    </w:p>
    <w:p w:rsidRDefault="00152AF0" w:rsidR="00152AF0">
      <w:pPr>
        <w:rPr>
          <w:rFonts w:hAnsi="Times New Roman" w:ascii="Times New Roman"/>
        </w:rPr>
      </w:pPr>
    </w:p>
    <w:p w:rsidRDefault="00152AF0" w:rsidR="00152AF0">
      <w:pPr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 xml:space="preserve">Snježana Marinčić, OIB: 35426399390 </w:t>
      </w:r>
    </w:p>
    <w:p w:rsidRDefault="00152AF0" w:rsidR="00152AF0">
      <w:pPr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Zagreb, Ilica 317</w:t>
      </w:r>
    </w:p>
    <w:p w:rsidRDefault="00152AF0" w:rsidR="00152AF0">
      <w:pPr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- član društva</w:t>
      </w:r>
    </w:p>
    <w:p w:rsidRDefault="00152AF0" w:rsidR="00152AF0">
      <w:pPr>
        <w:rPr>
          <w:rFonts w:hAnsi="Times New Roman" w:ascii="Times New Roman"/>
        </w:rPr>
      </w:pPr>
    </w:p>
    <w:p w:rsidRDefault="00152AF0" w:rsidR="00152AF0">
      <w:pPr>
        <w:shd w:fill="FFFFFF" w:color="auto" w:val="clear"/>
        <w:jc w:val="both"/>
        <w:rPr>
          <w:rFonts w:hint="eastAsia"/>
        </w:rPr>
      </w:pPr>
      <w:r>
        <w:rPr>
          <w:rFonts w:cs="Bookman Old Style" w:hAnsi="Times New Roman" w:ascii="Times New Roman"/>
          <w:color w:val="000000"/>
          <w:spacing w:val="3"/>
          <w:lang w:val="hr-HR"/>
        </w:rPr>
        <w:t xml:space="preserve">Temeljni kapital društva: </w:t>
      </w:r>
    </w:p>
    <w:p w:rsidRDefault="00152AF0" w:rsidR="00152AF0">
      <w:pPr>
        <w:shd w:fill="FFFFFF" w:color="auto" w:val="clear"/>
        <w:jc w:val="both"/>
        <w:rPr>
          <w:rFonts w:hint="eastAsia"/>
        </w:rPr>
      </w:pPr>
      <w:r>
        <w:rPr>
          <w:rFonts w:cs="Bookman Old Style" w:hAnsi="Times New Roman" w:ascii="Times New Roman"/>
          <w:color w:val="000000"/>
          <w:spacing w:val="3"/>
          <w:lang w:val="hr-HR"/>
        </w:rPr>
        <w:t>97.200,00 kuna.</w:t>
      </w:r>
    </w:p>
    <w:p w:rsidRDefault="00152AF0" w:rsidR="00152AF0">
      <w:pPr>
        <w:shd w:fill="FFFFFF" w:color="auto" w:val="clear"/>
        <w:jc w:val="both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ind w:left="360"/>
        <w:rPr>
          <w:rFonts w:hint="eastAsia"/>
        </w:rPr>
      </w:pPr>
      <w:r>
        <w:rPr>
          <w:rFonts w:cs="Bookman Old Style" w:hAnsi="Times New Roman" w:ascii="Times New Roman"/>
          <w:b/>
          <w:lang w:val="hr-HR"/>
        </w:rPr>
        <w:lastRenderedPageBreak/>
        <w:t>3. RADNI ODNOSI I NASTAVAK POSLOVANJA</w:t>
      </w: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Kod stupanja na dužnost stečajna upraviteljica je utvrdila da u društvu  nema zaposlenih radnika, a što proizlazi i iz potvrde Hrvatskog zavoda za mirovinsko osiguranje od dana 11.01.2018.g. u kojoj se navodi da je zadnji zaposlenik odjavljen dana 26.12.2016.g.</w:t>
      </w: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Utvrđeno je da je stečajni dužnik obustavio poslovanje i prije otvaranja stečajnog postupka pa samim time ne treba nastaviti obavljati svoju registriranu djelatnost iz razloga što se ne mogu stvoriti prihodi iz kojih  bi se mogli u cijelosti isplaćivati troškovi stečajnog postupka, a niti bi se u konačnici omogućilo vjerovnicima bolje namirenje njihovih potraživanja.</w:t>
      </w: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ind w:left="360"/>
        <w:rPr>
          <w:rFonts w:hint="eastAsia"/>
        </w:rPr>
      </w:pPr>
      <w:r>
        <w:rPr>
          <w:rFonts w:cs="Bookman Old Style" w:hAnsi="Times New Roman" w:ascii="Times New Roman"/>
          <w:b/>
          <w:lang w:val="hr-HR"/>
        </w:rPr>
        <w:t xml:space="preserve">4. PODUZETE AKTIVNOSTI OD OTVARANJA STEČAJNOG POSTUPKA </w:t>
      </w: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b/>
          <w:lang w:val="hr-HR"/>
        </w:rPr>
      </w:pPr>
    </w:p>
    <w:p w:rsidRDefault="00152AF0" w:rsidR="00152AF0">
      <w:pPr>
        <w:pStyle w:val="Tijeloteksta"/>
        <w:spacing w:lineRule="auto" w:line="240" w:after="0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Nakon otvaranja stečajnog postupka poduzela sam sljedeće aktivnosti:</w:t>
      </w: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 xml:space="preserve">Od društva Š.u.m.i. - kod d.o.o. koje je vodilo knjigovostvo društva, zatražila sam dokumente         </w:t>
      </w:r>
    </w:p>
    <w:p w:rsidRDefault="00152AF0" w:rsidR="00152AF0">
      <w:pPr>
        <w:pStyle w:val="Tijeloteksta"/>
        <w:spacing w:lineRule="auto" w:line="240" w:after="0"/>
        <w:ind w:left="750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 xml:space="preserve">             za koje smatram da su od posebne važnosti,</w:t>
      </w:r>
    </w:p>
    <w:p w:rsidRDefault="00152AF0" w:rsidR="00152AF0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Stupila sam u kontakt sa bivšim članom uprave radi dobivanja relevantnih podataka,</w:t>
      </w:r>
    </w:p>
    <w:p w:rsidRDefault="00152AF0" w:rsidR="00152AF0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Od nadležnih institucija sam prikupila podatke o imovini stečajnog dužnika,</w:t>
      </w:r>
    </w:p>
    <w:p w:rsidRDefault="00152AF0" w:rsidR="00152AF0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Ispitala sam prijave vjerovnika i izradila tablice (obrazac 19).</w:t>
      </w:r>
    </w:p>
    <w:p w:rsidRDefault="00152AF0" w:rsidR="00152AF0">
      <w:pPr>
        <w:pStyle w:val="Tijeloteksta"/>
        <w:spacing w:lineRule="auto" w:line="240" w:after="0"/>
        <w:rPr>
          <w:rFonts w:cs="Bookman Old Style" w:hAnsi="Times New Roman" w:ascii="Times New Roman"/>
          <w:lang w:val="hr-HR"/>
        </w:rPr>
      </w:pPr>
    </w:p>
    <w:p w:rsidRDefault="00152AF0" w:rsidR="00152AF0">
      <w:pPr>
        <w:shd w:fill="FFFFFF" w:color="auto" w:val="clear"/>
        <w:ind w:left="360"/>
        <w:jc w:val="both"/>
        <w:rPr>
          <w:rFonts w:hint="eastAsia"/>
        </w:rPr>
      </w:pPr>
      <w:r>
        <w:rPr>
          <w:rFonts w:cs="Bookman Old Style" w:hAnsi="Times New Roman" w:ascii="Times New Roman"/>
          <w:b/>
          <w:bCs/>
          <w:color w:val="000000"/>
          <w:spacing w:val="1"/>
          <w:lang w:val="hr-HR"/>
        </w:rPr>
        <w:t>5. POSLOVANJE DUŽNIKA</w:t>
      </w:r>
    </w:p>
    <w:p w:rsidRDefault="00152AF0" w:rsidR="00152AF0">
      <w:pPr>
        <w:shd w:fill="FFFFFF" w:color="auto" w:val="clear"/>
        <w:jc w:val="both"/>
        <w:rPr>
          <w:rFonts w:cs="Bookman Old Style" w:hAnsi="Times New Roman" w:ascii="Times New Roman"/>
          <w:lang w:val="hr-HR"/>
        </w:rPr>
      </w:pPr>
    </w:p>
    <w:p w:rsidRDefault="00152AF0" w:rsidR="00152AF0">
      <w:pPr>
        <w:shd w:fill="FFFFFF" w:color="auto" w:val="clear"/>
        <w:jc w:val="both"/>
        <w:rPr>
          <w:rFonts w:hint="eastAsia"/>
        </w:rPr>
      </w:pPr>
      <w:r>
        <w:rPr>
          <w:rFonts w:cs="Bookman Old Style" w:hAnsi="Times New Roman" w:ascii="Times New Roman"/>
          <w:bCs/>
          <w:color w:val="000000"/>
          <w:spacing w:val="1"/>
          <w:lang w:val="hr-HR"/>
        </w:rPr>
        <w:t>Društvo Floris d.o.o. je osnovano 1990.g. te je obavljalo djelatnost Trgovine na malo cvijećem i uglavnom je poslovalo sa pravnim osobama. Dolaskom ekonomske krize 2008.g. društvo počinje poslovati sa gubitkom, te 2016.g. prestaje obavljati svoju registriranu djelatnost i zatvara cvijećarnicu koja je se nalazila na adresi Tratinska 36 u Zagrebu.</w:t>
      </w:r>
    </w:p>
    <w:p w:rsidRDefault="00152AF0" w:rsidR="00152AF0">
      <w:pPr>
        <w:shd w:fill="FFFFFF" w:color="auto" w:val="clear"/>
        <w:jc w:val="both"/>
        <w:rPr>
          <w:rFonts w:cs="Bookman Old Style" w:hAnsi="Times New Roman" w:ascii="Times New Roman"/>
          <w:lang w:val="hr-HR"/>
        </w:rPr>
      </w:pPr>
    </w:p>
    <w:p w:rsidRDefault="00152AF0" w:rsidR="00152AF0">
      <w:pPr>
        <w:shd w:fill="FFFFFF" w:color="auto" w:val="clear"/>
        <w:jc w:val="both"/>
        <w:rPr>
          <w:rFonts w:hint="eastAsia"/>
        </w:rPr>
      </w:pPr>
      <w:r>
        <w:rPr>
          <w:rFonts w:cs="Bookman Old Style" w:hAnsi="Times New Roman" w:ascii="Times New Roman"/>
          <w:color w:val="000000"/>
          <w:spacing w:val="7"/>
          <w:lang w:val="hr-HR"/>
        </w:rPr>
        <w:t>Prema dostupnoj dokumentaciji izvršena je a</w:t>
      </w:r>
      <w:r>
        <w:rPr>
          <w:rFonts w:cs="Bookman Old Style" w:hAnsi="Times New Roman" w:ascii="Times New Roman"/>
          <w:color w:val="000000"/>
          <w:spacing w:val="6"/>
          <w:lang w:val="hr-HR"/>
        </w:rPr>
        <w:t>naliza poslovanja za period od 2015. godine do 2016. godine.</w:t>
      </w:r>
    </w:p>
    <w:p w:rsidRDefault="00152AF0" w:rsidR="00152AF0">
      <w:pPr>
        <w:shd w:fill="FFFFFF" w:color="auto" w:val="clear"/>
        <w:jc w:val="both"/>
        <w:rPr>
          <w:rFonts w:cs="Bookman Old Style" w:hAnsi="Times New Roman" w:ascii="Times New Roman"/>
          <w:lang w:val="hr-HR"/>
        </w:rPr>
      </w:pPr>
    </w:p>
    <w:tbl>
      <w:tblPr>
        <w:tblW w:type="auto" w:w="0"/>
        <w:tblInd w:type="dxa" w:w="108"/>
        <w:tblLayout w:type="fixed"/>
        <w:tblLook w:val="0000" w:noVBand="0" w:noHBand="0" w:lastColumn="0" w:firstColumn="0" w:lastRow="0" w:firstRow="0"/>
      </w:tblPr>
      <w:tblGrid>
        <w:gridCol w:w="807"/>
        <w:gridCol w:w="3333"/>
        <w:gridCol w:w="3100"/>
        <w:gridCol w:w="1877"/>
        <w:gridCol w:w="127"/>
        <w:gridCol w:w="236"/>
        <w:gridCol w:w="15"/>
      </w:tblGrid>
      <w:tr w:rsidR="00152AF0">
        <w:trPr>
          <w:gridAfter w:val="1"/>
          <w:wAfter w:type="dxa" w:w="15"/>
          <w:trHeight w:val="270"/>
        </w:trPr>
        <w:tc>
          <w:tcPr>
            <w:tcW w:type="dxa" w:w="4140"/>
            <w:gridSpan w:val="2"/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Tablica 1.</w:t>
            </w:r>
          </w:p>
        </w:tc>
        <w:tc>
          <w:tcPr>
            <w:tcW w:type="dxa" w:w="3100"/>
            <w:shd w:fill="auto" w:color="auto" w:val="clear"/>
            <w:vAlign w:val="bottom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  <w:tc>
          <w:tcPr>
            <w:tcW w:type="dxa" w:w="2004"/>
            <w:gridSpan w:val="2"/>
            <w:shd w:fill="auto" w:color="auto" w:val="clear"/>
            <w:vAlign w:val="bottom"/>
          </w:tcPr>
          <w:p w:rsidRDefault="00152AF0" w:rsidR="00152AF0">
            <w:pPr>
              <w:snapToGrid w:val="false"/>
              <w:jc w:val="right"/>
              <w:rPr>
                <w:rFonts w:cs="Bookman Old Style" w:hAnsi="Times New Roman" w:ascii="Times New Roman"/>
                <w:lang w:val="hr-HR"/>
              </w:rPr>
            </w:pPr>
          </w:p>
        </w:tc>
        <w:tc>
          <w:tcPr>
            <w:tcW w:type="dxa" w:w="236"/>
            <w:shd w:fill="auto" w:color="auto" w:val="clear"/>
            <w:vAlign w:val="bottom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70"/>
        </w:trPr>
        <w:tc>
          <w:tcPr>
            <w:tcW w:type="dxa" w:w="807"/>
            <w:tcBorders>
              <w:top w:space="0" w:sz="6" w:color="000000" w:val="double"/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R.b.</w:t>
            </w:r>
          </w:p>
        </w:tc>
        <w:tc>
          <w:tcPr>
            <w:tcW w:type="dxa" w:w="3333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eastAsia="Bookman Old Style" w:hAnsi="Times New Roman" w:ascii="Times New Roman"/>
                <w:b/>
                <w:bCs/>
                <w:lang w:val="hr-HR"/>
              </w:rPr>
              <w:t xml:space="preserve"> </w:t>
            </w:r>
            <w:r>
              <w:rPr>
                <w:rFonts w:cs="Bookman Old Style" w:hAnsi="Times New Roman" w:ascii="Times New Roman"/>
                <w:b/>
                <w:bCs/>
                <w:lang w:val="hr-HR"/>
              </w:rPr>
              <w:t>O  P  I  S</w:t>
            </w:r>
          </w:p>
        </w:tc>
        <w:tc>
          <w:tcPr>
            <w:tcW w:type="dxa" w:w="3100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31.12.2015.</w:t>
            </w:r>
          </w:p>
        </w:tc>
        <w:tc>
          <w:tcPr>
            <w:tcW w:type="dxa" w:w="1877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31.12.2016.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353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0</w:t>
            </w:r>
          </w:p>
        </w:tc>
        <w:tc>
          <w:tcPr>
            <w:tcW w:type="dxa" w:w="33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0</w:t>
            </w:r>
          </w:p>
        </w:tc>
        <w:tc>
          <w:tcPr>
            <w:tcW w:type="dxa" w:w="31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2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tabs>
                <w:tab w:pos="3327" w:val="left"/>
              </w:tabs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3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1.</w:t>
            </w:r>
          </w:p>
        </w:tc>
        <w:tc>
          <w:tcPr>
            <w:tcW w:type="dxa" w:w="33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Poslovni prihodi</w:t>
            </w:r>
          </w:p>
        </w:tc>
        <w:tc>
          <w:tcPr>
            <w:tcW w:type="dxa" w:w="31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45,161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17,074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2.</w:t>
            </w:r>
          </w:p>
        </w:tc>
        <w:tc>
          <w:tcPr>
            <w:tcW w:type="dxa" w:w="33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Poslovni rashodi</w:t>
            </w:r>
          </w:p>
        </w:tc>
        <w:tc>
          <w:tcPr>
            <w:tcW w:type="dxa" w:w="31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87,110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30,307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3.</w:t>
            </w:r>
          </w:p>
        </w:tc>
        <w:tc>
          <w:tcPr>
            <w:tcW w:type="dxa" w:w="33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Financijski prihodi</w:t>
            </w:r>
          </w:p>
        </w:tc>
        <w:tc>
          <w:tcPr>
            <w:tcW w:type="dxa" w:w="31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0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0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4.</w:t>
            </w:r>
          </w:p>
        </w:tc>
        <w:tc>
          <w:tcPr>
            <w:tcW w:type="dxa" w:w="33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Financijski rashodi</w:t>
            </w:r>
          </w:p>
        </w:tc>
        <w:tc>
          <w:tcPr>
            <w:tcW w:type="dxa" w:w="31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0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10,252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5.</w:t>
            </w:r>
          </w:p>
        </w:tc>
        <w:tc>
          <w:tcPr>
            <w:tcW w:type="dxa" w:w="3333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UKUPNI PRIHODI (1+3)</w:t>
            </w:r>
          </w:p>
        </w:tc>
        <w:tc>
          <w:tcPr>
            <w:tcW w:type="dxa" w:w="3100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45,161</w:t>
            </w:r>
          </w:p>
        </w:tc>
        <w:tc>
          <w:tcPr>
            <w:tcW w:type="dxa" w:w="1877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17,074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top w:space="0" w:sz="4" w:color="000000" w:val="single"/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6.</w:t>
            </w:r>
          </w:p>
        </w:tc>
        <w:tc>
          <w:tcPr>
            <w:tcW w:type="dxa" w:w="333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UKUPNI RASHODI (2+4)</w:t>
            </w:r>
          </w:p>
        </w:tc>
        <w:tc>
          <w:tcPr>
            <w:tcW w:type="dxa" w:w="310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87,110</w:t>
            </w:r>
          </w:p>
        </w:tc>
        <w:tc>
          <w:tcPr>
            <w:tcW w:type="dxa" w:w="187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40,559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 </w:t>
            </w:r>
          </w:p>
        </w:tc>
        <w:tc>
          <w:tcPr>
            <w:tcW w:type="dxa" w:w="33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 xml:space="preserve">7.1.Dobitak prije oporezivanja </w:t>
            </w:r>
          </w:p>
        </w:tc>
        <w:tc>
          <w:tcPr>
            <w:tcW w:type="dxa" w:w="31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eastAsia="Bookman Old Style" w:hAnsi="Times New Roman" w:ascii="Times New Roman"/>
                <w:lang w:val="hr-HR"/>
              </w:rPr>
              <w:t xml:space="preserve">                                </w:t>
            </w:r>
          </w:p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eastAsia="Bookman Old Style" w:hAnsi="Times New Roman" w:ascii="Times New Roman"/>
                <w:lang w:val="hr-HR"/>
              </w:rPr>
              <w:t xml:space="preserve">                              0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eastAsia="Bookman Old Style" w:hAnsi="Times New Roman" w:ascii="Times New Roman"/>
                <w:lang w:val="hr-HR"/>
              </w:rPr>
              <w:t xml:space="preserve">                             </w:t>
            </w:r>
          </w:p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eastAsia="Bookman Old Style" w:hAnsi="Times New Roman" w:ascii="Times New Roman"/>
                <w:lang w:val="hr-HR"/>
              </w:rPr>
              <w:t xml:space="preserve">               0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lastRenderedPageBreak/>
              <w:t>7.</w:t>
            </w:r>
          </w:p>
        </w:tc>
        <w:tc>
          <w:tcPr>
            <w:tcW w:type="dxa" w:w="33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 xml:space="preserve">7.2.Gubitak prije oporezivanja </w:t>
            </w:r>
          </w:p>
        </w:tc>
        <w:tc>
          <w:tcPr>
            <w:tcW w:type="dxa" w:w="31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41,949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23,485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8.</w:t>
            </w:r>
          </w:p>
        </w:tc>
        <w:tc>
          <w:tcPr>
            <w:tcW w:type="dxa" w:w="33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Porez na dobitak ili gubitak</w:t>
            </w:r>
          </w:p>
        </w:tc>
        <w:tc>
          <w:tcPr>
            <w:tcW w:type="dxa" w:w="31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0</w:t>
            </w: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0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 </w:t>
            </w:r>
          </w:p>
        </w:tc>
        <w:tc>
          <w:tcPr>
            <w:tcW w:type="dxa" w:w="3333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DOBITAK FINANCIJSKE</w:t>
            </w:r>
          </w:p>
        </w:tc>
        <w:tc>
          <w:tcPr>
            <w:tcW w:type="dxa" w:w="3100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eastAsia="Bookman Old Style" w:hAnsi="Times New Roman" w:ascii="Times New Roman"/>
                <w:lang w:val="hr-HR"/>
              </w:rPr>
              <w:t xml:space="preserve">                                </w:t>
            </w:r>
          </w:p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eastAsia="Bookman Old Style" w:hAnsi="Times New Roman" w:ascii="Times New Roman"/>
                <w:lang w:val="hr-HR"/>
              </w:rPr>
              <w:t xml:space="preserve">                              0</w:t>
            </w:r>
          </w:p>
        </w:tc>
        <w:tc>
          <w:tcPr>
            <w:tcW w:type="dxa" w:w="1877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eastAsia="Bookman Old Style" w:hAnsi="Times New Roman" w:ascii="Times New Roman"/>
                <w:lang w:val="hr-HR"/>
              </w:rPr>
              <w:t xml:space="preserve">            0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9.</w:t>
            </w:r>
          </w:p>
        </w:tc>
        <w:tc>
          <w:tcPr>
            <w:tcW w:type="dxa" w:w="333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 xml:space="preserve">GODINE </w:t>
            </w:r>
          </w:p>
        </w:tc>
        <w:tc>
          <w:tcPr>
            <w:tcW w:type="dxa" w:w="310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snapToGrid w:val="false"/>
              <w:jc w:val="right"/>
              <w:rPr>
                <w:rFonts w:cs="Bookman Old Style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87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snapToGrid w:val="false"/>
              <w:jc w:val="right"/>
              <w:rPr>
                <w:rFonts w:cs="Bookman Old Style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b/>
                <w:bCs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55"/>
        </w:trPr>
        <w:tc>
          <w:tcPr>
            <w:tcW w:type="dxa" w:w="807"/>
            <w:tcBorders>
              <w:left w:space="0" w:sz="6" w:color="000000" w:val="doub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 </w:t>
            </w:r>
          </w:p>
        </w:tc>
        <w:tc>
          <w:tcPr>
            <w:tcW w:type="dxa" w:w="3333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 xml:space="preserve">GUBITAK FINANCIJSKE </w:t>
            </w:r>
          </w:p>
        </w:tc>
        <w:tc>
          <w:tcPr>
            <w:tcW w:type="dxa" w:w="3100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877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b/>
                <w:bCs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70"/>
        </w:trPr>
        <w:tc>
          <w:tcPr>
            <w:tcW w:type="dxa" w:w="807"/>
            <w:tcBorders>
              <w:left w:space="0" w:sz="6" w:color="000000" w:val="double"/>
            </w:tcBorders>
            <w:shd w:fill="auto" w:color="auto" w:val="clear"/>
            <w:vAlign w:val="bottom"/>
          </w:tcPr>
          <w:p w:rsidRDefault="00152AF0" w:rsidR="00152AF0">
            <w:pPr>
              <w:jc w:val="center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> </w:t>
            </w:r>
          </w:p>
        </w:tc>
        <w:tc>
          <w:tcPr>
            <w:tcW w:type="dxa" w:w="3333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rPr>
                <w:rFonts w:hint="eastAsia"/>
              </w:rPr>
            </w:pPr>
            <w:r>
              <w:rPr>
                <w:rFonts w:cs="Bookman Old Style" w:hAnsi="Times New Roman" w:ascii="Times New Roman"/>
                <w:b/>
                <w:bCs/>
                <w:lang w:val="hr-HR"/>
              </w:rPr>
              <w:t xml:space="preserve">GODINE </w:t>
            </w:r>
          </w:p>
        </w:tc>
        <w:tc>
          <w:tcPr>
            <w:tcW w:type="dxa" w:w="3100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41,949</w:t>
            </w:r>
          </w:p>
        </w:tc>
        <w:tc>
          <w:tcPr>
            <w:tcW w:type="dxa" w:w="1877"/>
            <w:tcBorders>
              <w:left w:space="0" w:sz="4" w:color="000000" w:val="single"/>
            </w:tcBorders>
            <w:shd w:fill="auto" w:color="auto" w:val="clear"/>
            <w:vAlign w:val="bottom"/>
          </w:tcPr>
          <w:p w:rsidRDefault="00152AF0" w:rsidR="00152AF0">
            <w:pPr>
              <w:jc w:val="right"/>
              <w:rPr>
                <w:rFonts w:hint="eastAsia"/>
              </w:rPr>
            </w:pPr>
            <w:r>
              <w:rPr>
                <w:rFonts w:cs="Bookman Old Style" w:hAnsi="Times New Roman" w:ascii="Times New Roman"/>
                <w:lang w:val="hr-HR"/>
              </w:rPr>
              <w:t>23,485</w:t>
            </w: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lang w:val="hr-HR"/>
              </w:rPr>
            </w:pPr>
          </w:p>
        </w:tc>
      </w:tr>
      <w:tr w:rsidR="00152AF0">
        <w:tblPrEx>
          <w:tblCellMar>
            <w:left w:type="dxa" w:w="0"/>
            <w:right w:type="dxa" w:w="0"/>
          </w:tblCellMar>
        </w:tblPrEx>
        <w:trPr>
          <w:trHeight w:val="270"/>
        </w:trPr>
        <w:tc>
          <w:tcPr>
            <w:tcW w:type="dxa" w:w="807"/>
            <w:tcBorders>
              <w:left w:space="0" w:sz="6" w:color="000000" w:val="double"/>
              <w:bottom w:space="0" w:sz="6" w:color="000000" w:val="double"/>
            </w:tcBorders>
            <w:shd w:fill="auto" w:color="auto" w:val="clear"/>
            <w:vAlign w:val="bottom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3333"/>
            <w:tcBorders>
              <w:left w:space="0" w:sz="4" w:color="000000" w:val="single"/>
              <w:bottom w:space="0" w:sz="6" w:color="000000" w:val="double"/>
            </w:tcBorders>
            <w:shd w:fill="auto" w:color="auto" w:val="clear"/>
            <w:vAlign w:val="bottom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3100"/>
            <w:tcBorders>
              <w:left w:space="0" w:sz="4" w:color="000000" w:val="single"/>
              <w:bottom w:space="0" w:sz="6" w:color="000000" w:val="double"/>
            </w:tcBorders>
            <w:shd w:fill="auto" w:color="auto" w:val="clear"/>
            <w:vAlign w:val="bottom"/>
          </w:tcPr>
          <w:p w:rsidRDefault="00152AF0" w:rsidR="00152AF0">
            <w:pPr>
              <w:snapToGrid w:val="false"/>
              <w:jc w:val="right"/>
              <w:rPr>
                <w:rFonts w:cs="Bookman Old Style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877"/>
            <w:tcBorders>
              <w:left w:space="0" w:sz="4" w:color="000000" w:val="single"/>
              <w:bottom w:space="0" w:sz="6" w:color="000000" w:val="double"/>
            </w:tcBorders>
            <w:shd w:fill="auto" w:color="auto" w:val="clear"/>
            <w:vAlign w:val="bottom"/>
          </w:tcPr>
          <w:p w:rsidRDefault="00152AF0" w:rsidR="00152AF0">
            <w:pPr>
              <w:snapToGrid w:val="false"/>
              <w:jc w:val="right"/>
              <w:rPr>
                <w:rFonts w:cs="Bookman Old Style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378"/>
            <w:gridSpan w:val="3"/>
            <w:tcBorders>
              <w:left w:space="0" w:sz="6" w:color="000000" w:val="double"/>
            </w:tcBorders>
            <w:shd w:fill="auto" w:color="auto" w:val="clear"/>
          </w:tcPr>
          <w:p w:rsidRDefault="00152AF0" w:rsidR="00152AF0">
            <w:pPr>
              <w:snapToGrid w:val="false"/>
              <w:rPr>
                <w:rFonts w:cs="Bookman Old Style" w:hAnsi="Times New Roman" w:ascii="Times New Roman"/>
                <w:b/>
                <w:bCs/>
                <w:lang w:val="hr-HR"/>
              </w:rPr>
            </w:pPr>
          </w:p>
        </w:tc>
      </w:tr>
    </w:tbl>
    <w:p w:rsidRDefault="00152AF0" w:rsidR="00152AF0">
      <w:pPr>
        <w:rPr>
          <w:rFonts w:hAnsi="Times New Roman" w:ascii="Times New Roman"/>
        </w:rPr>
      </w:pPr>
    </w:p>
    <w:p w:rsidRDefault="00152AF0" w:rsidR="00152AF0">
      <w:pPr>
        <w:shd w:fill="FFFFFF" w:color="auto" w:val="clear"/>
        <w:spacing w:lineRule="exact" w:line="295"/>
        <w:ind w:hanging="14" w:right="382" w:left="14"/>
        <w:jc w:val="both"/>
        <w:rPr>
          <w:rFonts w:cs="Bookman Old Style" w:hAnsi="Times New Roman" w:ascii="Times New Roman"/>
          <w:color w:val="000000"/>
          <w:spacing w:val="8"/>
          <w:lang w:val="hr-HR"/>
        </w:rPr>
      </w:pPr>
    </w:p>
    <w:p w:rsidRDefault="00152AF0" w:rsidR="00152AF0">
      <w:pPr>
        <w:shd w:fill="FFFFFF" w:color="auto" w:val="clear"/>
        <w:spacing w:lineRule="exact" w:line="295"/>
        <w:ind w:hanging="14" w:right="382" w:left="14"/>
        <w:jc w:val="both"/>
        <w:rPr>
          <w:rFonts w:hint="eastAsia"/>
        </w:rPr>
      </w:pPr>
      <w:r>
        <w:rPr>
          <w:rFonts w:cs="Bookman Old Style" w:hAnsi="Times New Roman" w:ascii="Times New Roman"/>
          <w:b/>
          <w:color w:val="000000"/>
          <w:spacing w:val="6"/>
          <w:lang w:val="hr-HR"/>
        </w:rPr>
        <w:t xml:space="preserve">U 2015. </w:t>
      </w:r>
      <w:r>
        <w:rPr>
          <w:rFonts w:cs="Bookman Old Style" w:hAnsi="Times New Roman" w:ascii="Times New Roman"/>
          <w:color w:val="000000"/>
          <w:spacing w:val="6"/>
          <w:lang w:val="hr-HR"/>
        </w:rPr>
        <w:t xml:space="preserve">godini  ostvaruje ukupni prihod u iznosu </w:t>
      </w:r>
      <w:r>
        <w:rPr>
          <w:rFonts w:cs="Bookman Old Style" w:hAnsi="Times New Roman" w:ascii="Times New Roman"/>
          <w:color w:val="000000"/>
          <w:spacing w:val="10"/>
          <w:lang w:val="hr-HR"/>
        </w:rPr>
        <w:t>od 45,161 kuna, ukupni rashod u iznosu od 87,110 kuna, gubitak financijske godine nakon oporezivanja iznosi 41,949</w:t>
      </w:r>
      <w:r>
        <w:rPr>
          <w:rFonts w:cs="Bookman Old Style" w:hAnsi="Times New Roman" w:ascii="Times New Roman"/>
          <w:color w:val="000000"/>
          <w:spacing w:val="8"/>
          <w:lang w:val="hr-HR"/>
        </w:rPr>
        <w:t xml:space="preserve"> kuna.</w:t>
      </w:r>
    </w:p>
    <w:p w:rsidRDefault="00152AF0" w:rsidR="00152AF0">
      <w:pPr>
        <w:shd w:fill="FFFFFF" w:color="auto" w:val="clear"/>
        <w:spacing w:lineRule="exact" w:line="295"/>
        <w:ind w:hanging="14" w:right="382" w:left="14"/>
        <w:jc w:val="both"/>
        <w:rPr>
          <w:rFonts w:cs="Bookman Old Style" w:hAnsi="Times New Roman" w:ascii="Times New Roman"/>
          <w:b/>
          <w:color w:val="000000"/>
          <w:spacing w:val="6"/>
          <w:lang w:val="hr-HR"/>
        </w:rPr>
      </w:pPr>
    </w:p>
    <w:p w:rsidRDefault="00152AF0" w:rsidR="00152AF0">
      <w:pPr>
        <w:shd w:fill="FFFFFF" w:color="auto" w:val="clear"/>
        <w:spacing w:lineRule="exact" w:line="295"/>
        <w:ind w:hanging="14" w:right="382" w:left="14"/>
        <w:jc w:val="both"/>
        <w:rPr>
          <w:rFonts w:hint="eastAsia"/>
        </w:rPr>
      </w:pPr>
      <w:r>
        <w:rPr>
          <w:rFonts w:cs="Bookman Old Style" w:hAnsi="Times New Roman" w:ascii="Times New Roman"/>
          <w:b/>
          <w:color w:val="000000"/>
          <w:spacing w:val="6"/>
          <w:lang w:val="hr-HR"/>
        </w:rPr>
        <w:tab/>
        <w:t xml:space="preserve">U 2016. </w:t>
      </w:r>
      <w:r>
        <w:rPr>
          <w:rFonts w:cs="Bookman Old Style" w:hAnsi="Times New Roman" w:ascii="Times New Roman"/>
          <w:color w:val="000000"/>
          <w:spacing w:val="6"/>
          <w:lang w:val="hr-HR"/>
        </w:rPr>
        <w:t xml:space="preserve">godini ostvaruje ukupni prihod u iznosu </w:t>
      </w:r>
      <w:r>
        <w:rPr>
          <w:rFonts w:cs="Bookman Old Style" w:hAnsi="Times New Roman" w:ascii="Times New Roman"/>
          <w:color w:val="000000"/>
          <w:spacing w:val="10"/>
          <w:lang w:val="hr-HR"/>
        </w:rPr>
        <w:t>od 17,074 kuna, ukupni rashod u iznosu od 30,307 kuna, gubitak financijske godine nakon oporezivanja iznosi 23,485</w:t>
      </w:r>
      <w:r>
        <w:rPr>
          <w:rFonts w:cs="Bookman Old Style" w:hAnsi="Times New Roman" w:ascii="Times New Roman"/>
          <w:color w:val="000000"/>
          <w:spacing w:val="8"/>
          <w:lang w:val="hr-HR"/>
        </w:rPr>
        <w:t xml:space="preserve"> kuna.</w:t>
      </w:r>
    </w:p>
    <w:p w:rsidRDefault="00152AF0" w:rsidR="00152AF0">
      <w:pPr>
        <w:shd w:fill="FFFFFF" w:color="auto" w:val="clear"/>
        <w:spacing w:lineRule="exact" w:line="295"/>
        <w:ind w:right="382" w:left="24"/>
        <w:jc w:val="both"/>
        <w:rPr>
          <w:rFonts w:cs="Bookman Old Style" w:hAnsi="Times New Roman" w:ascii="Times New Roman"/>
          <w:color w:val="000000"/>
          <w:spacing w:val="8"/>
          <w:lang w:val="hr-HR"/>
        </w:rPr>
      </w:pPr>
    </w:p>
    <w:p w:rsidRDefault="00152AF0" w:rsidR="00152AF0">
      <w:pPr>
        <w:shd w:fill="FFFFFF" w:color="auto" w:val="clear"/>
        <w:autoSpaceDE w:val="false"/>
        <w:spacing w:lineRule="exact" w:line="295" w:before="281"/>
        <w:ind w:right="382" w:left="91"/>
        <w:jc w:val="both"/>
        <w:rPr>
          <w:rFonts w:hint="eastAsia"/>
        </w:rPr>
      </w:pPr>
      <w:r>
        <w:rPr>
          <w:rFonts w:cs="Bookman Old Style" w:hAnsi="Times New Roman" w:ascii="Times New Roman"/>
          <w:b/>
          <w:bCs/>
          <w:color w:val="000000"/>
          <w:spacing w:val="-2"/>
          <w:lang w:val="hr-HR"/>
        </w:rPr>
        <w:t>6. IMOVINA I OBVEZE DUŽNIKA</w:t>
      </w:r>
    </w:p>
    <w:p w:rsidRDefault="00152AF0" w:rsidR="00152AF0">
      <w:pPr>
        <w:shd w:fill="FFFFFF" w:color="auto" w:val="clear"/>
        <w:spacing w:lineRule="exact" w:line="288" w:before="302"/>
        <w:ind w:right="367" w:left="43"/>
        <w:jc w:val="both"/>
        <w:rPr>
          <w:rFonts w:hint="eastAsia"/>
        </w:rPr>
      </w:pPr>
      <w:r>
        <w:rPr>
          <w:rFonts w:cs="Bookman Old Style" w:hAnsi="Times New Roman" w:ascii="Times New Roman"/>
          <w:color w:val="000000"/>
          <w:spacing w:val="10"/>
          <w:lang w:val="hr-HR"/>
        </w:rPr>
        <w:t>Stečajni dužnik u poslovnim knjigama vodi imovinu na dan 31.12.2016.g. u ukupnom iznosu od 77,723 kuna i to kako sljedi:</w:t>
      </w:r>
    </w:p>
    <w:p w:rsidRDefault="00152AF0" w:rsidR="00152AF0">
      <w:pPr>
        <w:shd w:fill="FFFFFF" w:color="auto" w:val="clear"/>
        <w:spacing w:lineRule="exact" w:line="288" w:before="302"/>
        <w:ind w:right="367" w:left="43"/>
        <w:jc w:val="both"/>
        <w:rPr>
          <w:rFonts w:hint="eastAsia"/>
        </w:rPr>
      </w:pPr>
      <w:r>
        <w:rPr>
          <w:rFonts w:cs="Bookman Old Style" w:hAnsi="Times New Roman" w:ascii="Times New Roman"/>
          <w:b/>
          <w:bCs/>
          <w:color w:val="000000"/>
          <w:spacing w:val="10"/>
          <w:lang w:val="hr-HR"/>
        </w:rPr>
        <w:t>DUGOTRAJNA IMOVINA                                    0 kuna</w:t>
      </w:r>
    </w:p>
    <w:p w:rsidRDefault="00152AF0" w:rsidR="00152AF0">
      <w:pPr>
        <w:shd w:fill="FFFFFF" w:color="auto" w:val="clear"/>
        <w:spacing w:lineRule="exact" w:line="288" w:before="302"/>
        <w:ind w:right="367"/>
        <w:jc w:val="both"/>
        <w:rPr>
          <w:rFonts w:hint="eastAsia"/>
        </w:rPr>
      </w:pPr>
      <w:r>
        <w:rPr>
          <w:rFonts w:cs="Bookman Old Style" w:hAnsi="Times New Roman" w:ascii="Times New Roman"/>
          <w:b/>
          <w:bCs/>
          <w:color w:val="000000"/>
          <w:spacing w:val="10"/>
          <w:lang w:val="hr-HR"/>
        </w:rPr>
        <w:t>KRATKOTRAJNA IMOVINA                         77,723 kuna</w:t>
      </w:r>
    </w:p>
    <w:p w:rsidRDefault="00152AF0" w:rsidR="00152AF0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Bookman Old Style" w:eastAsia="Bookman Old Style" w:hAnsi="Times New Roman" w:ascii="Times New Roman"/>
          <w:color w:val="000000"/>
          <w:spacing w:val="10"/>
          <w:lang w:val="hr-HR"/>
        </w:rPr>
        <w:t xml:space="preserve">               </w:t>
      </w:r>
      <w:r>
        <w:rPr>
          <w:rFonts w:cs="Bookman Old Style" w:hAnsi="Times New Roman" w:ascii="Times New Roman"/>
          <w:color w:val="000000"/>
          <w:spacing w:val="10"/>
          <w:lang w:val="hr-HR"/>
        </w:rPr>
        <w:t>1. Zalihe</w:t>
      </w:r>
    </w:p>
    <w:p w:rsidRDefault="00152AF0" w:rsidR="00152AF0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Bookman Old Style" w:eastAsia="Bookman Old Style" w:hAnsi="Times New Roman" w:ascii="Times New Roman"/>
          <w:color w:val="000000"/>
          <w:spacing w:val="10"/>
          <w:lang w:val="hr-HR"/>
        </w:rPr>
        <w:t xml:space="preserve">                  </w:t>
      </w:r>
      <w:r>
        <w:rPr>
          <w:rFonts w:cs="Bookman Old Style" w:hAnsi="Times New Roman" w:ascii="Times New Roman"/>
          <w:color w:val="000000"/>
          <w:spacing w:val="10"/>
          <w:lang w:val="hr-HR"/>
        </w:rPr>
        <w:t>Trgovačka roba                                61,860 kuna</w:t>
      </w:r>
    </w:p>
    <w:p w:rsidRDefault="00152AF0" w:rsidR="00152AF0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Bookman Old Style" w:eastAsia="Bookman Old Style" w:hAnsi="Times New Roman" w:ascii="Times New Roman"/>
          <w:color w:val="000000"/>
          <w:spacing w:val="10"/>
          <w:lang w:val="hr-HR"/>
        </w:rPr>
        <w:t xml:space="preserve">             </w:t>
      </w:r>
      <w:r>
        <w:rPr>
          <w:rFonts w:cs="Bookman Old Style" w:hAnsi="Times New Roman" w:ascii="Times New Roman"/>
          <w:color w:val="000000"/>
          <w:spacing w:val="10"/>
          <w:lang w:val="hr-HR"/>
        </w:rPr>
        <w:t xml:space="preserve">2. Potraživanja   </w:t>
      </w:r>
      <w:r>
        <w:rPr>
          <w:rFonts w:cs="Bookman Old Style" w:hAnsi="Times New Roman" w:ascii="Times New Roman"/>
          <w:color w:val="000000"/>
          <w:spacing w:val="10"/>
          <w:lang w:val="hr-HR"/>
        </w:rPr>
        <w:tab/>
        <w:t xml:space="preserve">                       </w:t>
      </w:r>
    </w:p>
    <w:p w:rsidRDefault="00152AF0" w:rsidR="00152AF0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Bookman Old Style" w:eastAsia="Bookman Old Style" w:hAnsi="Times New Roman" w:ascii="Times New Roman"/>
          <w:color w:val="000000"/>
          <w:spacing w:val="10"/>
          <w:lang w:val="hr-HR"/>
        </w:rPr>
        <w:t xml:space="preserve">                 </w:t>
      </w:r>
      <w:r>
        <w:rPr>
          <w:rFonts w:cs="Bookman Old Style" w:hAnsi="Times New Roman" w:ascii="Times New Roman"/>
          <w:color w:val="000000"/>
          <w:spacing w:val="10"/>
          <w:lang w:val="hr-HR"/>
        </w:rPr>
        <w:t>Potraživanja od kupaca                        15,863 kuna</w:t>
      </w:r>
    </w:p>
    <w:p w:rsidRDefault="00152AF0" w:rsidR="00152AF0">
      <w:pPr>
        <w:shd w:fill="FFFFFF" w:color="auto" w:val="clear"/>
        <w:tabs>
          <w:tab w:pos="3600" w:val="left"/>
        </w:tabs>
        <w:spacing w:lineRule="exact" w:line="288" w:before="302"/>
        <w:ind w:right="367"/>
        <w:jc w:val="both"/>
        <w:rPr>
          <w:rFonts w:hint="eastAsia"/>
        </w:rPr>
      </w:pPr>
      <w:r>
        <w:rPr>
          <w:rFonts w:cs="Bookman Old Style" w:eastAsia="Bookman Old Style" w:hAnsi="Times New Roman" w:ascii="Times New Roman"/>
          <w:b/>
          <w:bCs/>
          <w:color w:val="000000"/>
          <w:spacing w:val="10"/>
          <w:lang w:val="hr-HR"/>
        </w:rPr>
        <w:t xml:space="preserve">6.1. </w:t>
      </w:r>
      <w:r>
        <w:rPr>
          <w:rFonts w:cs="Bookman Old Style" w:eastAsia="Bookman Old Style" w:hAnsi="Times New Roman" w:ascii="Times New Roman"/>
          <w:color w:val="000000"/>
          <w:spacing w:val="10"/>
          <w:lang w:val="hr-HR"/>
        </w:rPr>
        <w:t xml:space="preserve"> </w:t>
      </w:r>
      <w:r>
        <w:rPr>
          <w:rFonts w:cs="Bookman Old Style" w:hAnsi="Times New Roman" w:ascii="Times New Roman"/>
          <w:b/>
          <w:color w:val="000000"/>
          <w:spacing w:val="6"/>
          <w:lang w:val="hr-HR"/>
        </w:rPr>
        <w:t>Nekretnine u vlasništvu stečajnog dužnika:</w:t>
      </w:r>
    </w:p>
    <w:p w:rsidRDefault="00152AF0" w:rsidR="00152AF0">
      <w:pPr>
        <w:shd w:fill="FFFFFF" w:color="auto" w:val="clear"/>
        <w:autoSpaceDE w:val="false"/>
        <w:spacing w:lineRule="exact" w:line="295"/>
        <w:jc w:val="both"/>
        <w:rPr>
          <w:rFonts w:cs="Bookman Old Style" w:hAnsi="Times New Roman" w:ascii="Times New Roman"/>
          <w:color w:val="000000"/>
          <w:spacing w:val="6"/>
          <w:lang w:val="hr-HR"/>
        </w:rPr>
      </w:pPr>
    </w:p>
    <w:p w:rsidRDefault="00152AF0" w:rsidR="00152AF0">
      <w:pPr>
        <w:shd w:fill="FFFFFF" w:color="auto" w:val="clear"/>
        <w:autoSpaceDE w:val="false"/>
        <w:spacing w:lineRule="exact" w:line="295"/>
        <w:jc w:val="both"/>
        <w:rPr>
          <w:rFonts w:hint="eastAsia"/>
        </w:rPr>
      </w:pPr>
      <w:r>
        <w:rPr>
          <w:rFonts w:cs="Bookman Old Style" w:hAnsi="Times New Roman" w:ascii="Times New Roman"/>
          <w:color w:val="000000"/>
          <w:spacing w:val="6"/>
          <w:lang w:val="hr-HR"/>
        </w:rPr>
        <w:t>Stečajni dužnik u svom vlasništvu nema nekretnina, a što proizlazi iz Potvrde Ministarstva financija, porezna uprava, područni ured Zagreb, uvjerenja o neposjedovanju nekretnina gradskog ureda za katastar i geodetske poslove Grada Zagreba, uvjerenja o neposjedovanju nekretnina državne geodetske uprave, područni ured za katastar Pula-Pola i uvjerenja Državne geodetske uprave, središnji ured.</w:t>
      </w:r>
    </w:p>
    <w:p w:rsidRDefault="00152AF0" w:rsidR="00152AF0">
      <w:pPr>
        <w:shd w:fill="FFFFFF" w:color="auto" w:val="clear"/>
        <w:autoSpaceDE w:val="false"/>
        <w:spacing w:lineRule="exact" w:line="295"/>
        <w:jc w:val="both"/>
        <w:rPr>
          <w:rFonts w:cs="Bookman Old Style" w:hAnsi="Times New Roman" w:ascii="Times New Roman"/>
          <w:color w:val="000000"/>
          <w:spacing w:val="6"/>
          <w:lang w:val="hr-HR"/>
        </w:rPr>
      </w:pPr>
    </w:p>
    <w:p w:rsidRDefault="00152AF0" w:rsidR="00152AF0">
      <w:pPr>
        <w:shd w:fill="FFFFFF" w:color="auto" w:val="clear"/>
        <w:autoSpaceDE w:val="false"/>
        <w:spacing w:lineRule="exact" w:line="295"/>
        <w:jc w:val="both"/>
        <w:rPr>
          <w:rFonts w:hint="eastAsia"/>
        </w:rPr>
      </w:pPr>
      <w:r>
        <w:rPr>
          <w:rFonts w:cs="Bookman Old Style" w:hAnsi="Times New Roman" w:ascii="Times New Roman"/>
          <w:color w:val="000000"/>
          <w:spacing w:val="6"/>
          <w:lang w:val="hr-HR"/>
        </w:rPr>
        <w:lastRenderedPageBreak/>
        <w:t>Prema podacima dobivenim od Ministarstva financija, porezna uprava, područni ured Zagreb, ispostava Medveščak proizlazi da Stečajni dužnik nije evidentiran u postupku utvrđivanja poreza na promet nekretnina od 01.01.2007.g. pa do 2018.g.</w:t>
      </w:r>
    </w:p>
    <w:p w:rsidRDefault="00152AF0" w:rsidR="00152AF0">
      <w:pPr>
        <w:shd w:fill="FFFFFF" w:color="auto" w:val="clear"/>
        <w:autoSpaceDE w:val="false"/>
        <w:spacing w:lineRule="exact" w:line="295"/>
        <w:jc w:val="both"/>
        <w:rPr>
          <w:rFonts w:hint="eastAsia"/>
        </w:rPr>
      </w:pPr>
      <w:r>
        <w:rPr>
          <w:rFonts w:cs="Bookman Old Style" w:hAnsi="Times New Roman" w:ascii="Times New Roman"/>
          <w:color w:val="000000"/>
          <w:spacing w:val="6"/>
          <w:lang w:val="hr-HR"/>
        </w:rPr>
        <w:t>Stečajni upravitelj ističe kako je u rješenju o otvaranju stečajnog postupka naloženo Općinskom sudu u Puli – Pola zk. odjel  da izvrši upis zabilježbe otvaranja stečajnog postupka na nekretninama dužnika upisanih u zk. ul. 1917, ali uvidom u zemljišne knjige proizlazi da stečajni dužnik nije vlasnik nekretnine koja je upisana u zk. ul. 1917 kod Općinskog suda u Puli-Pola.</w:t>
      </w:r>
    </w:p>
    <w:p w:rsidRDefault="00152AF0" w:rsidR="00152AF0">
      <w:pPr>
        <w:shd w:fill="FFFFFF" w:color="auto" w:val="clear"/>
        <w:autoSpaceDE w:val="false"/>
        <w:spacing w:lineRule="exact" w:line="295"/>
        <w:jc w:val="both"/>
        <w:rPr>
          <w:rFonts w:cs="Bookman Old Style" w:hAnsi="Times New Roman" w:ascii="Times New Roman"/>
          <w:color w:val="000000"/>
          <w:spacing w:val="6"/>
          <w:lang w:val="hr-HR"/>
        </w:rPr>
      </w:pPr>
    </w:p>
    <w:p w:rsidRDefault="00152AF0" w:rsidR="00152AF0">
      <w:pPr>
        <w:shd w:fill="FFFFFF" w:color="auto" w:val="clear"/>
        <w:autoSpaceDE w:val="false"/>
        <w:spacing w:lineRule="exact" w:line="295"/>
        <w:ind w:left="360"/>
        <w:jc w:val="both"/>
        <w:rPr>
          <w:rFonts w:cs="Bookman Old Style" w:hAnsi="Times New Roman" w:ascii="Times New Roman"/>
          <w:color w:val="000000"/>
          <w:spacing w:val="6"/>
          <w:lang w:val="hr-HR"/>
        </w:rPr>
      </w:pPr>
    </w:p>
    <w:p w:rsidRDefault="00152AF0" w:rsidR="00152AF0">
      <w:pPr>
        <w:shd w:fill="FFFFFF" w:color="auto" w:val="clear"/>
        <w:autoSpaceDE w:val="false"/>
        <w:spacing w:lineRule="exact" w:line="295"/>
        <w:ind w:left="360"/>
        <w:jc w:val="both"/>
        <w:rPr>
          <w:rFonts w:cs="Bookman Old Style" w:hAnsi="Times New Roman" w:ascii="Times New Roman"/>
          <w:color w:val="000000"/>
          <w:spacing w:val="6"/>
          <w:lang w:val="hr-HR"/>
        </w:rPr>
      </w:pPr>
    </w:p>
    <w:p w:rsidRDefault="00152AF0" w:rsidR="00152AF0">
      <w:pPr>
        <w:autoSpaceDE w:val="false"/>
        <w:jc w:val="both"/>
        <w:rPr>
          <w:rFonts w:hint="eastAsia"/>
        </w:rPr>
      </w:pPr>
      <w:r>
        <w:rPr>
          <w:rFonts w:cs="Bookman Old Style" w:hAnsi="Times New Roman" w:ascii="Times New Roman"/>
          <w:b/>
          <w:color w:val="000000"/>
          <w:spacing w:val="6"/>
          <w:lang w:val="hr-HR"/>
        </w:rPr>
        <w:t>6.2. Pokretnine</w:t>
      </w:r>
    </w:p>
    <w:p w:rsidRDefault="00152AF0" w:rsidR="00152AF0">
      <w:pPr>
        <w:ind w:left="360"/>
        <w:jc w:val="both"/>
        <w:rPr>
          <w:rFonts w:cs="Bookman Old Style" w:hAnsi="Times New Roman" w:ascii="Times New Roman"/>
          <w:color w:val="000000"/>
          <w:spacing w:val="6"/>
          <w:lang w:val="hr-HR"/>
        </w:rPr>
      </w:pPr>
    </w:p>
    <w:p w:rsidRDefault="00152AF0" w:rsidR="00152AF0">
      <w:pPr>
        <w:ind w:left="360"/>
        <w:jc w:val="both"/>
        <w:rPr>
          <w:rFonts w:hint="eastAsia"/>
        </w:rPr>
      </w:pPr>
      <w:r>
        <w:rPr>
          <w:rFonts w:cs="Bookman Old Style" w:hAnsi="Times New Roman" w:ascii="Times New Roman"/>
          <w:color w:val="000000"/>
          <w:spacing w:val="6"/>
          <w:lang w:val="hr-HR"/>
        </w:rPr>
        <w:t>Prema uvjerenju Ministarstva unutarnjih poslova, policijska uprava Zagrebačka proizlazi da društvo nije evidentirano kao vlasnik vozila.</w:t>
      </w:r>
    </w:p>
    <w:p w:rsidRDefault="00152AF0" w:rsidR="00152AF0">
      <w:pPr>
        <w:jc w:val="both"/>
        <w:rPr>
          <w:rFonts w:cs="Bookman Old Style" w:hAnsi="Times New Roman" w:ascii="Times New Roman"/>
          <w:b/>
          <w:color w:val="000000"/>
          <w:spacing w:val="6"/>
          <w:lang w:val="hr-HR"/>
        </w:rPr>
      </w:pPr>
    </w:p>
    <w:p w:rsidRDefault="00152AF0" w:rsidR="00152AF0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Bookman Old Style" w:hAnsi="Times New Roman" w:ascii="Times New Roman"/>
          <w:b/>
          <w:bCs/>
          <w:lang w:val="hr-HR"/>
        </w:rPr>
        <w:t>7. OBVEZE STEČAJNOG DUŽNIKA</w:t>
      </w:r>
    </w:p>
    <w:p w:rsidRDefault="00152AF0" w:rsidR="00152AF0">
      <w:pPr>
        <w:pStyle w:val="Zaglavlje"/>
        <w:tabs>
          <w:tab w:pos="708" w:val="left"/>
        </w:tabs>
        <w:jc w:val="both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Ukupne obaveze stečajnog dužnika po pristiglim i ispitanim tražbinama iznose:</w:t>
      </w:r>
    </w:p>
    <w:p w:rsidRDefault="00152AF0" w:rsidR="00152AF0">
      <w:pPr>
        <w:pStyle w:val="Zaglavlje"/>
        <w:tabs>
          <w:tab w:pos="708" w:val="left"/>
        </w:tabs>
        <w:jc w:val="both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Zaglavlje"/>
        <w:tabs>
          <w:tab w:pos="708" w:val="left"/>
        </w:tabs>
        <w:jc w:val="both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 xml:space="preserve">- Priznato I. viši isplatni red </w:t>
      </w:r>
      <w:r>
        <w:rPr>
          <w:rFonts w:cs="Bookman Old Style" w:hAnsi="Times New Roman" w:ascii="Times New Roman"/>
          <w:lang w:val="hr-HR"/>
        </w:rPr>
        <w:tab/>
      </w:r>
      <w:r>
        <w:rPr>
          <w:rFonts w:cs="Bookman Old Style" w:hAnsi="Times New Roman" w:ascii="Times New Roman"/>
          <w:lang w:val="hr-HR"/>
        </w:rPr>
        <w:tab/>
        <w:t>27.532.81 kuna</w:t>
      </w:r>
    </w:p>
    <w:p w:rsidRDefault="00152AF0" w:rsidR="00152AF0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 xml:space="preserve">- Osporeno I. viši isplatni red </w:t>
      </w:r>
      <w:r>
        <w:rPr>
          <w:rFonts w:cs="Bookman Old Style" w:hAnsi="Times New Roman" w:ascii="Times New Roman"/>
          <w:lang w:val="hr-HR"/>
        </w:rPr>
        <w:tab/>
      </w:r>
      <w:r>
        <w:rPr>
          <w:rFonts w:cs="Bookman Old Style" w:hAnsi="Times New Roman" w:ascii="Times New Roman"/>
          <w:lang w:val="hr-HR"/>
        </w:rPr>
        <w:tab/>
        <w:t>0 kuna</w:t>
      </w:r>
    </w:p>
    <w:p w:rsidRDefault="00152AF0" w:rsidR="00152AF0">
      <w:pPr>
        <w:pStyle w:val="Zaglavlje"/>
        <w:tabs>
          <w:tab w:pos="708" w:val="left"/>
        </w:tabs>
        <w:jc w:val="both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Zaglavlje"/>
        <w:tabs>
          <w:tab w:pos="708" w:val="left"/>
        </w:tabs>
        <w:jc w:val="both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 xml:space="preserve">- Priznato II. viši isplatni red </w:t>
      </w:r>
      <w:r>
        <w:rPr>
          <w:rFonts w:cs="Bookman Old Style" w:hAnsi="Times New Roman" w:ascii="Times New Roman"/>
          <w:lang w:val="hr-HR"/>
        </w:rPr>
        <w:tab/>
      </w:r>
      <w:r>
        <w:rPr>
          <w:rFonts w:cs="Bookman Old Style" w:hAnsi="Times New Roman" w:ascii="Times New Roman"/>
          <w:lang w:val="hr-HR"/>
        </w:rPr>
        <w:tab/>
        <w:t>78.208,13 kuna</w:t>
      </w:r>
    </w:p>
    <w:p w:rsidRDefault="00152AF0" w:rsidR="00152AF0">
      <w:pPr>
        <w:pStyle w:val="Zaglavlje"/>
        <w:tabs>
          <w:tab w:pos="708" w:val="left"/>
        </w:tabs>
        <w:jc w:val="both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 xml:space="preserve">- Osporeno II. viši isplatni red </w:t>
      </w:r>
      <w:r>
        <w:rPr>
          <w:rFonts w:cs="Bookman Old Style" w:hAnsi="Times New Roman" w:ascii="Times New Roman"/>
          <w:lang w:val="hr-HR"/>
        </w:rPr>
        <w:tab/>
      </w:r>
      <w:r>
        <w:rPr>
          <w:rFonts w:cs="Bookman Old Style" w:hAnsi="Times New Roman" w:ascii="Times New Roman"/>
          <w:lang w:val="hr-HR"/>
        </w:rPr>
        <w:tab/>
        <w:t>28.332.38 kuna</w:t>
      </w:r>
    </w:p>
    <w:p w:rsidRDefault="00152AF0" w:rsidR="00152AF0">
      <w:pPr>
        <w:pStyle w:val="Zaglavlje"/>
        <w:tabs>
          <w:tab w:pos="708" w:val="left"/>
        </w:tabs>
        <w:jc w:val="both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hint="eastAsia"/>
        </w:rPr>
      </w:pPr>
      <w:r>
        <w:rPr>
          <w:rFonts w:cs="Bookman Old Style" w:eastAsia="Bookman Old Style" w:hAnsi="Times New Roman" w:ascii="Times New Roman"/>
          <w:color w:val="993300"/>
          <w:lang w:val="hr-HR"/>
        </w:rPr>
        <w:t xml:space="preserve">  </w:t>
      </w:r>
    </w:p>
    <w:p w:rsidRDefault="00152AF0" w:rsidR="00152AF0">
      <w:pPr>
        <w:pStyle w:val="Zaglavlje"/>
        <w:tabs>
          <w:tab w:pos="540" w:val="left"/>
        </w:tabs>
        <w:jc w:val="both"/>
        <w:rPr>
          <w:rFonts w:hint="eastAsia"/>
        </w:rPr>
      </w:pPr>
      <w:r>
        <w:rPr>
          <w:rFonts w:cs="Bookman Old Style" w:hAnsi="Times New Roman" w:ascii="Times New Roman"/>
          <w:b/>
          <w:lang w:val="hr-HR"/>
        </w:rPr>
        <w:t>8. POSTUPCI U TIJEKU</w:t>
      </w:r>
    </w:p>
    <w:p w:rsidRDefault="00152AF0" w:rsidR="00152AF0">
      <w:pPr>
        <w:pStyle w:val="Zaglavlje"/>
        <w:tabs>
          <w:tab w:pos="708" w:val="left"/>
        </w:tabs>
        <w:jc w:val="both"/>
        <w:rPr>
          <w:rFonts w:cs="Bookman Old Style" w:hAnsi="Times New Roman" w:ascii="Times New Roman"/>
          <w:b/>
          <w:lang w:val="hr-HR"/>
        </w:rPr>
      </w:pPr>
    </w:p>
    <w:p w:rsidRDefault="00152AF0" w:rsidR="00152AF0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Zakonska zastupnica dužnika je istaknula kako društvo nije imalo punomoćnika koji bi u ime i za račun društva vodio sporove, te ista negira da takvi sporovi postoje.</w:t>
      </w:r>
      <w:r>
        <w:rPr>
          <w:rFonts w:cs="Bookman Old Style" w:hAnsi="Times New Roman" w:ascii="Times New Roman"/>
          <w:color w:val="000000"/>
          <w:spacing w:val="6"/>
          <w:lang w:val="hr-HR"/>
        </w:rPr>
        <w:t xml:space="preserve"> Prema postojećoj dokumentaciji ne proizlazi da dužnik vodi sporove radi naplate svojih potraživanja.</w:t>
      </w:r>
    </w:p>
    <w:p w:rsidRDefault="00152AF0" w:rsidR="00152AF0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cs="Bookman Old Style" w:hAnsi="Times New Roman" w:ascii="Times New Roman"/>
          <w:lang w:val="hr-HR"/>
        </w:rPr>
      </w:pPr>
    </w:p>
    <w:p w:rsidRDefault="00152AF0" w:rsidR="00152AF0">
      <w:pPr>
        <w:pStyle w:val="Tijeloteksta"/>
        <w:tabs>
          <w:tab w:pos="142" w:val="left"/>
        </w:tabs>
        <w:ind w:left="142"/>
        <w:rPr>
          <w:rFonts w:hint="eastAsia"/>
        </w:rPr>
      </w:pPr>
      <w:r>
        <w:rPr>
          <w:rFonts w:cs="Bookman Old Style" w:hAnsi="Times New Roman" w:ascii="Times New Roman"/>
          <w:b/>
          <w:lang w:val="hr-HR"/>
        </w:rPr>
        <w:t>9.  ZAKLJUČCI I PRIJEDLOZI</w:t>
      </w:r>
    </w:p>
    <w:p w:rsidRDefault="00152AF0" w:rsidR="00152AF0">
      <w:pPr>
        <w:pStyle w:val="Tijeloteksta"/>
        <w:tabs>
          <w:tab w:pos="981" w:val="left"/>
        </w:tabs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Iz izvješća je vidljivo da dužnik trenutno nema imovine koja bi bila dostatna za vođenje stečajnog postupka pa stečajni upravitelj predlaže da sud sukladno čl.293.st.1. Stečajnog zakona obustavi ovaj postupak.</w:t>
      </w:r>
    </w:p>
    <w:p w:rsidRDefault="00152AF0" w:rsidR="00152AF0">
      <w:pPr>
        <w:pStyle w:val="Tijeloteksta"/>
        <w:tabs>
          <w:tab w:pos="981" w:val="left"/>
        </w:tabs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Potreban iznos za podmirenje troškova vođenja  stečajnog postupka (  nagrada stečajnom upravitelju,, troškovi knjigovodstva), te ostali materijalni troškovi, prema procjeni stečajnog upravitelja bi iznosili:</w:t>
      </w:r>
    </w:p>
    <w:p w:rsidRDefault="00152AF0" w:rsidR="00152AF0">
      <w:pPr>
        <w:pStyle w:val="Tijeloteksta"/>
        <w:tabs>
          <w:tab w:pos="981" w:val="left"/>
        </w:tabs>
        <w:rPr>
          <w:rFonts w:hint="eastAsia"/>
        </w:rPr>
      </w:pPr>
      <w:r>
        <w:rPr>
          <w:rFonts w:cs="Bookman Old Style" w:hAnsi="Times New Roman" w:ascii="Times New Roman"/>
          <w:lang w:val="hr-HR"/>
        </w:rPr>
        <w:lastRenderedPageBreak/>
        <w:t xml:space="preserve">-  bruto nagrada stečajnom upravitelju                           20.000,00 kuna </w:t>
      </w:r>
    </w:p>
    <w:p w:rsidRDefault="00152AF0" w:rsidR="00152AF0">
      <w:pPr>
        <w:pStyle w:val="Tijeloteksta"/>
        <w:tabs>
          <w:tab w:pos="981" w:val="left"/>
        </w:tabs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-  troškovi knjigovodstva (s PDV-om)                             10.000,00 kuna</w:t>
      </w:r>
    </w:p>
    <w:p w:rsidRDefault="00152AF0" w:rsidR="00152AF0">
      <w:pPr>
        <w:pStyle w:val="Tijeloteksta"/>
        <w:tabs>
          <w:tab w:pos="981" w:val="left"/>
        </w:tabs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- ostalo ( naknade banci, pristojbe i sl.)                             2.000,00 kuna</w:t>
      </w:r>
    </w:p>
    <w:p w:rsidRDefault="00152AF0" w:rsidR="00152AF0">
      <w:pPr>
        <w:pStyle w:val="Tijeloteksta"/>
        <w:tabs>
          <w:tab w:pos="981" w:val="left"/>
        </w:tabs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 xml:space="preserve">                                                             Ukupno:               32.000,00 kuna</w:t>
      </w:r>
    </w:p>
    <w:p w:rsidRDefault="00152AF0" w:rsidR="00152AF0">
      <w:pPr>
        <w:pStyle w:val="Tijeloteksta"/>
        <w:tabs>
          <w:tab w:pos="981" w:val="left"/>
        </w:tabs>
        <w:rPr>
          <w:rFonts w:hAnsi="Times New Roman" w:ascii="Times New Roman"/>
        </w:rPr>
      </w:pPr>
    </w:p>
    <w:p w:rsidRDefault="00152AF0" w:rsidR="00152AF0">
      <w:pPr>
        <w:pStyle w:val="Tijeloteksta"/>
        <w:tabs>
          <w:tab w:pos="981" w:val="left"/>
        </w:tabs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>Obzirom na sve navedeno Stečajni upravitelj predlaže da se vjerovnici pozovu na  očitovanje o obustavi i zaključenju ovog stečajnog postupka sukladno čl. 293 Stečajnog zakona, odnosno da se izjasne o eventualnoj uplati predujma u iznosu od 32.000,00 kuna za podmirenje nužnih troškova stečajnog postupka kako bi se stečajni postupak mogao provesti.</w:t>
      </w:r>
    </w:p>
    <w:p w:rsidRDefault="00152AF0" w:rsidR="00152AF0">
      <w:pPr>
        <w:pStyle w:val="Tijeloteksta"/>
        <w:tabs>
          <w:tab w:pos="981" w:val="left"/>
        </w:tabs>
        <w:rPr>
          <w:rFonts w:hint="eastAsia"/>
        </w:rPr>
      </w:pPr>
      <w:r>
        <w:rPr>
          <w:rFonts w:cs="Bookman Old Style" w:hAnsi="Times New Roman" w:ascii="Times New Roman"/>
          <w:lang w:val="hr-HR"/>
        </w:rPr>
        <w:t xml:space="preserve">          </w:t>
      </w:r>
    </w:p>
    <w:p w:rsidRDefault="00152AF0" w:rsidR="00152AF0">
      <w:pPr>
        <w:pStyle w:val="Tijeloteksta"/>
        <w:tabs>
          <w:tab w:pos="6468" w:val="left"/>
          <w:tab w:pos="9913" w:val="center"/>
          <w:tab w:pos="14066" w:val="right"/>
        </w:tabs>
        <w:ind w:firstLine="720" w:left="5760"/>
        <w:jc w:val="both"/>
        <w:rPr>
          <w:rFonts w:cs="Bookman Old Style" w:hAnsi="Times New Roman" w:ascii="Times New Roman"/>
          <w:lang w:val="hr-HR"/>
        </w:rPr>
      </w:pPr>
    </w:p>
    <w:p w:rsidRDefault="00152AF0" w:rsidR="00152AF0">
      <w:pPr>
        <w:widowControl/>
        <w:suppressAutoHyphens w:val="false"/>
        <w:ind w:firstLine="720" w:left="5760"/>
        <w:jc w:val="both"/>
        <w:rPr>
          <w:rFonts w:hint="eastAsia"/>
        </w:rPr>
      </w:pPr>
      <w:r>
        <w:rPr>
          <w:rFonts w:cs="Bookman Old Style" w:eastAsia="Times New Roman" w:hAnsi="Times New Roman" w:ascii="Times New Roman"/>
          <w:lang w:bidi="ar-SA" w:eastAsia="hr-HR" w:val="hr-HR"/>
        </w:rPr>
        <w:t>Stečajna upraviteljica</w:t>
      </w:r>
    </w:p>
    <w:p w:rsidRDefault="00152AF0" w:rsidR="00152AF0">
      <w:pPr>
        <w:widowControl/>
        <w:suppressAutoHyphens w:val="false"/>
        <w:ind w:left="6480"/>
        <w:jc w:val="both"/>
        <w:rPr>
          <w:rFonts w:hint="eastAsia"/>
        </w:rPr>
      </w:pPr>
      <w:r>
        <w:rPr>
          <w:rFonts w:cs="Bookman Old Style" w:eastAsia="Bookman Old Style" w:hAnsi="Times New Roman" w:ascii="Times New Roman"/>
          <w:lang w:bidi="ar-SA" w:eastAsia="hr-HR" w:val="hr-HR"/>
        </w:rPr>
        <w:t xml:space="preserve">    </w:t>
      </w:r>
      <w:r>
        <w:rPr>
          <w:rFonts w:cs="Bookman Old Style" w:eastAsia="Times New Roman" w:hAnsi="Times New Roman" w:ascii="Times New Roman"/>
          <w:lang w:bidi="ar-SA" w:eastAsia="hr-HR" w:val="hr-HR"/>
        </w:rPr>
        <w:t>Irena Kelava</w:t>
      </w:r>
    </w:p>
    <w:p w:rsidRDefault="00152AF0" w:rsidR="00152AF0">
      <w:pPr>
        <w:widowControl/>
        <w:suppressAutoHyphens w:val="false"/>
        <w:jc w:val="both"/>
        <w:rPr>
          <w:rFonts w:cs="Bookman Old Style" w:eastAsia="Times New Roman" w:hAnsi="Times New Roman" w:ascii="Times New Roman"/>
          <w:i/>
          <w:lang w:bidi="ar-SA" w:eastAsia="hr-HR" w:val="hr-HR"/>
        </w:rPr>
      </w:pPr>
    </w:p>
    <w:p w:rsidRDefault="00152AF0" w:rsidR="00152AF0">
      <w:pPr>
        <w:widowControl/>
        <w:suppressAutoHyphens w:val="false"/>
        <w:jc w:val="both"/>
        <w:rPr>
          <w:rFonts w:hint="eastAsia"/>
        </w:rPr>
      </w:pPr>
      <w:r>
        <w:rPr>
          <w:rFonts w:cs="Bookman Old Style" w:eastAsia="Times New Roman" w:hAnsi="Times New Roman" w:ascii="Times New Roman"/>
          <w:szCs w:val="20"/>
          <w:lang w:bidi="ar-SA" w:eastAsia="hr-HR" w:val="hr-HR"/>
        </w:rPr>
        <w:t>Prilozi:</w:t>
      </w:r>
    </w:p>
    <w:p w:rsidRDefault="00152AF0" w:rsidR="00152AF0">
      <w:pPr>
        <w:widowControl/>
        <w:suppressAutoHyphens w:val="false"/>
        <w:jc w:val="both"/>
        <w:rPr>
          <w:rFonts w:cs="Bookman Old Style" w:eastAsia="Times New Roman" w:hAnsi="Times New Roman" w:ascii="Times New Roman"/>
          <w:szCs w:val="20"/>
          <w:lang w:bidi="ar-SA" w:eastAsia="hr-HR" w:val="hr-HR"/>
        </w:rPr>
      </w:pPr>
    </w:p>
    <w:p w:rsidRDefault="00152AF0" w:rsidR="00152AF0">
      <w:pPr>
        <w:widowControl/>
        <w:suppressAutoHyphens w:val="false"/>
        <w:jc w:val="both"/>
        <w:rPr>
          <w:rFonts w:hint="eastAsia"/>
        </w:rPr>
      </w:pPr>
      <w:r>
        <w:rPr>
          <w:rFonts w:cs="Bookman Old Style" w:eastAsia="Times New Roman" w:hAnsi="Times New Roman" w:ascii="Times New Roman"/>
          <w:szCs w:val="20"/>
          <w:lang w:bidi="ar-SA" w:eastAsia="hr-HR" w:val="hr-HR"/>
        </w:rPr>
        <w:t>1. Potvrda Ministarstva Financija, porezna uprava</w:t>
      </w:r>
    </w:p>
    <w:p w:rsidRDefault="00152AF0" w:rsidR="00152AF0">
      <w:pPr>
        <w:widowControl/>
        <w:suppressAutoHyphens w:val="false"/>
        <w:jc w:val="both"/>
        <w:rPr>
          <w:rFonts w:hint="eastAsia"/>
        </w:rPr>
      </w:pPr>
      <w:r>
        <w:rPr>
          <w:rFonts w:cs="Bookman Old Style" w:eastAsia="Times New Roman" w:hAnsi="Times New Roman" w:ascii="Times New Roman"/>
          <w:szCs w:val="20"/>
          <w:lang w:bidi="ar-SA" w:eastAsia="hr-HR" w:val="hr-HR"/>
        </w:rPr>
        <w:t>2. Potvrda Ministarstva unutarnji poslova</w:t>
      </w:r>
    </w:p>
    <w:p w:rsidRDefault="00152AF0" w:rsidR="00152AF0">
      <w:pPr>
        <w:widowControl/>
        <w:suppressAutoHyphens w:val="false"/>
        <w:jc w:val="both"/>
        <w:rPr>
          <w:rFonts w:hint="eastAsia"/>
        </w:rPr>
      </w:pPr>
      <w:r>
        <w:rPr>
          <w:rFonts w:cs="Bookman Old Style" w:eastAsia="Times New Roman" w:hAnsi="Times New Roman" w:ascii="Times New Roman"/>
          <w:szCs w:val="20"/>
          <w:lang w:bidi="ar-SA" w:eastAsia="hr-HR" w:val="hr-HR"/>
        </w:rPr>
        <w:t>3. Potvrda Gradskog ureda za katastar i geodetske poslove Grada Zagreba</w:t>
      </w:r>
    </w:p>
    <w:p w:rsidRDefault="00152AF0" w:rsidR="00152AF0">
      <w:pPr>
        <w:widowControl/>
        <w:suppressAutoHyphens w:val="false"/>
        <w:jc w:val="both"/>
        <w:rPr>
          <w:rFonts w:hint="eastAsia"/>
        </w:rPr>
      </w:pPr>
      <w:r>
        <w:rPr>
          <w:rFonts w:cs="Bookman Old Style" w:eastAsia="Times New Roman" w:hAnsi="Times New Roman" w:ascii="Times New Roman"/>
          <w:szCs w:val="20"/>
          <w:lang w:bidi="ar-SA" w:eastAsia="hr-HR" w:val="hr-HR"/>
        </w:rPr>
        <w:t>4. Potvrda državne geodetske uprave, područni ured za katastar Pula-Pola</w:t>
      </w:r>
    </w:p>
    <w:p w:rsidRDefault="00152AF0" w:rsidR="00152AF0">
      <w:pPr>
        <w:widowControl/>
        <w:suppressAutoHyphens w:val="false"/>
        <w:jc w:val="both"/>
        <w:rPr>
          <w:rFonts w:hint="eastAsia"/>
        </w:rPr>
      </w:pPr>
      <w:r>
        <w:rPr>
          <w:rFonts w:cs="Bookman Old Style" w:eastAsia="Times New Roman" w:hAnsi="Times New Roman" w:ascii="Times New Roman"/>
          <w:szCs w:val="20"/>
          <w:lang w:bidi="ar-SA" w:eastAsia="hr-HR" w:val="hr-HR"/>
        </w:rPr>
        <w:t>5. Potvrda državne geodetske uprave, središnji ured</w:t>
      </w:r>
    </w:p>
    <w:p w:rsidRDefault="00152AF0" w:rsidR="00152AF0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jc w:val="both"/>
        <w:rPr>
          <w:rFonts w:hint="eastAsia"/>
        </w:rPr>
      </w:pPr>
      <w:r>
        <w:rPr>
          <w:rFonts w:cs="Bookman Old Style" w:hAnsi="Times New Roman" w:ascii="Times New Roman"/>
        </w:rPr>
        <w:t>6. Račun dobiti i gubitka za 2015.g. i 2016.g.</w:t>
      </w:r>
    </w:p>
    <w:p w:rsidRDefault="00152AF0" w:rsidR="00152AF0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jc w:val="both"/>
        <w:rPr>
          <w:rFonts w:hint="eastAsia"/>
        </w:rPr>
      </w:pPr>
      <w:r>
        <w:rPr>
          <w:rFonts w:cs="Bookman Old Style" w:hAnsi="Times New Roman" w:ascii="Times New Roman"/>
        </w:rPr>
        <w:t>7. Bilanca za 2015.g. i 2016.g.</w:t>
      </w:r>
    </w:p>
    <w:p w:rsidRDefault="00152AF0" w:rsidR="00152AF0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Bookman Old Style" w:hAnsi="Times New Roman" w:ascii="Times New Roman"/>
        </w:rPr>
        <w:t>8. Potvrda Hrvatskog zavoda za zdravstveno osiguranje</w:t>
      </w:r>
    </w:p>
    <w:p w:rsidRDefault="00152AF0" w:rsidR="00152AF0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Bookman Old Style" w:hAnsi="Times New Roman" w:ascii="Times New Roman"/>
        </w:rPr>
        <w:t xml:space="preserve">9. Neslužbeni povijesni izvadak za nekretninu koja je upisana u zk. ul. 1917 kod Općinskog suda u </w:t>
      </w:r>
    </w:p>
    <w:p w:rsidRDefault="00152AF0" w:rsidR="00152AF0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hint="eastAsia"/>
        </w:rPr>
      </w:pPr>
      <w:r>
        <w:rPr>
          <w:rFonts w:cs="Bookman Old Style" w:hAnsi="Times New Roman" w:ascii="Times New Roman"/>
        </w:rPr>
        <w:t xml:space="preserve">    Puli-Pola.</w:t>
      </w:r>
    </w:p>
    <w:sectPr w:rsidR="00152AF0">
      <w:headerReference w:type="default" r:id="rId9"/>
      <w:footerReference w:type="default" r:id="rId10"/>
      <w:headerReference w:type="first" r:id="rId11"/>
      <w:footerReference w:type="first" r:id="rId12"/>
      <w:pgSz w:h="15840" w:w="12240"/>
      <w:pgMar w:gutter="0" w:footer="720" w:header="720" w:left="1134" w:bottom="1843" w:right="1325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AF0" w:rsidR="00152AF0">
      <w:pPr>
        <w:rPr>
          <w:rFonts w:hint="eastAsia"/>
        </w:rPr>
      </w:pPr>
      <w:r>
        <w:separator/>
      </w:r>
    </w:p>
  </w:endnote>
  <w:endnote w:id="0" w:type="continuationSeparator">
    <w:p w:rsidRDefault="00152AF0" w:rsidR="00152AF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AF0" w:rsidR="00152AF0">
    <w:pPr>
      <w:widowControl/>
      <w:pBdr>
        <w:top w:space="1" w:sz="4" w:color="000000" w:val="single"/>
        <w:left w:space="0" w:sz="0" w:color="000000" w:val="none"/>
        <w:bottom w:space="0" w:sz="0" w:color="000000" w:val="none"/>
        <w:right w:space="0" w:sz="0" w:color="000000" w:val="none"/>
      </w:pBdr>
      <w:tabs>
        <w:tab w:pos="4153" w:val="center"/>
        <w:tab w:pos="8306" w:val="right"/>
      </w:tabs>
      <w:suppressAutoHyphens w:val="false"/>
      <w:ind w:right="360"/>
      <w:rPr>
        <w:rFonts w:hint="eastAsia"/>
      </w:rPr>
    </w:pPr>
    <w:r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>Zagreb, travanj 2018. godine</w:t>
    </w:r>
  </w:p>
  <w:p w:rsidRDefault="00152AF0" w:rsidR="00152AF0">
    <w:pPr>
      <w:pStyle w:val="Podnoje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4B49FD">
      <w:rPr>
        <w:rFonts w:hint="eastAsia"/>
        <w:noProof/>
      </w:rPr>
      <w:t>5</w:t>
    </w:r>
    <w:r>
      <w:fldChar w:fldCharType="end"/>
    </w:r>
  </w:p>
  <w:p w:rsidRDefault="00152AF0" w:rsidR="00152AF0">
    <w:pPr>
      <w:pStyle w:val="Podnoje"/>
      <w:rPr>
        <w:rFonts w:hint="eastAsia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AF0" w:rsidR="00152AF0">
    <w:pPr>
      <w:rPr>
        <w:rFonts w:hint="eastAsia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AF0" w:rsidR="00152AF0">
      <w:pPr>
        <w:rPr>
          <w:rFonts w:hint="eastAsia"/>
        </w:rPr>
      </w:pPr>
      <w:r>
        <w:separator/>
      </w:r>
    </w:p>
  </w:footnote>
  <w:footnote w:id="0" w:type="continuationSeparator">
    <w:p w:rsidRDefault="00152AF0" w:rsidR="00152AF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AF0" w:rsidR="00152AF0">
    <w:pPr>
      <w:pStyle w:val="Zaglavlje"/>
      <w:pBdr>
        <w:top w:space="0" w:sz="0" w:color="000000" w:val="none"/>
        <w:left w:space="0" w:sz="0" w:color="000000" w:val="none"/>
        <w:bottom w:space="1" w:sz="4" w:color="000000" w:val="single"/>
        <w:right w:space="0" w:sz="0" w:color="000000" w:val="none"/>
      </w:pBdr>
      <w:rPr>
        <w:rFonts w:hint="eastAsia"/>
      </w:rPr>
    </w:pPr>
    <w:r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>Izvješće o gospodarskom položaju stečajnog dužnika i njegovim uzrocima</w:t>
    </w:r>
  </w:p>
  <w:p w:rsidRDefault="00152AF0" w:rsidR="00152AF0">
    <w:pPr>
      <w:pStyle w:val="Zaglavlje"/>
      <w:rPr>
        <w:rFonts w:hint="eastAsia"/>
      </w:rPr>
    </w:pPr>
  </w:p>
  <w:p w:rsidRDefault="00152AF0" w:rsidR="00152AF0">
    <w:pPr>
      <w:pStyle w:val="Zaglavlje"/>
      <w:rPr>
        <w:rFonts w:hint="eastAsia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AF0" w:rsidR="00152AF0">
    <w:pPr>
      <w:rPr>
        <w:rFonts w:hint="eastAsia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cs="Bookman Old Style" w:hAnsi="Bookman Old Style" w:ascii="Bookman Old Style"/>
        <w:lang w:val="hr-HR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7C5"/>
    <w:rsid w:val="00104907"/>
    <w:rsid w:val="00152AF0"/>
    <w:rsid w:val="004B49FD"/>
    <w:rsid w:val="0070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Bookman Old Style" w:hAnsi="Times New Roman" w:ascii="Times New Roman"/>
      <w:color w:val="000000"/>
      <w:spacing w:val="10"/>
      <w:lang w:val="hr-HR"/>
    </w:rPr>
  </w:style>
  <w:style w:customStyle="true" w:styleId="WW8Num1z1" w:type="character">
    <w:name w:val="WW8Num1z1"/>
    <w:rPr>
      <w:rFonts w:cs="Courier New" w:hAnsi="Courier New" w:ascii="Courier New"/>
    </w:rPr>
  </w:style>
  <w:style w:customStyle="true" w:styleId="WW8Num1z2" w:type="character">
    <w:name w:val="WW8Num1z2"/>
    <w:rPr>
      <w:rFonts w:cs="Bookman Old Style" w:hAnsi="Wingdings" w:ascii="Wingdings"/>
      <w:color w:val="000000"/>
      <w:spacing w:val="10"/>
      <w:szCs w:val="24"/>
      <w:lang w:val="pl-PL"/>
    </w:rPr>
  </w:style>
  <w:style w:customStyle="true" w:styleId="WW8Num1z3" w:type="character">
    <w:name w:val="WW8Num1z3"/>
    <w:rPr>
      <w:rFonts w:cs="Symbol" w:hAnsi="Symbol" w:ascii="Symbol"/>
    </w:rPr>
  </w:style>
  <w:style w:customStyle="true" w:styleId="WW8Num2z0" w:type="character">
    <w:name w:val="WW8Num2z0"/>
    <w:rPr>
      <w:rFonts w:cs="Bookman Old Style" w:hAnsi="Bookman Old Style" w:ascii="Bookman Old Style"/>
      <w:shd w:fill="FFFF00" w:color="auto" w:val="clear"/>
      <w:lang w:val="hr-HR"/>
    </w:rPr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3z0" w:type="character">
    <w:name w:val="WW8Num3z0"/>
    <w:rPr>
      <w:rFonts w:cs="Bookman Old Style" w:hAnsi="Bookman Old Style" w:ascii="Bookman Old Style"/>
      <w:lang w:val="hr-HR"/>
    </w:rPr>
  </w:style>
  <w:style w:customStyle="true" w:styleId="WW8Num3z1" w:type="character">
    <w:name w:val="WW8Num3z1"/>
    <w:rPr>
      <w:rFonts w:cs="Courier New" w:hAnsi="Courier New" w:ascii="Courier New"/>
      <w:color w:val="000000"/>
      <w:spacing w:val="6"/>
      <w:szCs w:val="24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3" w:type="character">
    <w:name w:val="WW8Num3z3"/>
    <w:rPr>
      <w:rFonts w:cs="Symbol" w:hAnsi="Symbol" w:ascii="Symbol"/>
    </w:rPr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</w:style>
  <w:style w:customStyle="true" w:styleId="WW8Num4z1" w:type="character">
    <w:name w:val="WW8Num4z1"/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WW8Num6z0" w:type="character">
    <w:name w:val="WW8Num6z0"/>
  </w:style>
  <w:style w:customStyle="true" w:styleId="WW8Num6z1" w:type="character">
    <w:name w:val="WW8Num6z1"/>
    <w:rPr>
      <w:rFonts w:cs="Courier New" w:hAnsi="Courier New" w:ascii="Courier New"/>
      <w:color w:val="000000"/>
      <w:spacing w:val="6"/>
      <w:szCs w:val="24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</w:style>
  <w:style w:customStyle="true" w:styleId="WW8Num7z1" w:type="character">
    <w:name w:val="WW8Num7z1"/>
  </w:style>
  <w:style w:customStyle="true" w:styleId="WW8Num7z2" w:type="character">
    <w:name w:val="WW8Num7z2"/>
  </w:style>
  <w:style w:customStyle="true" w:styleId="WW8Num7z3" w:type="character">
    <w:name w:val="WW8Num7z3"/>
  </w:style>
  <w:style w:customStyle="true" w:styleId="WW8Num7z4" w:type="character">
    <w:name w:val="WW8Num7z4"/>
  </w:style>
  <w:style w:customStyle="true" w:styleId="WW8Num7z5" w:type="character">
    <w:name w:val="WW8Num7z5"/>
  </w:style>
  <w:style w:customStyle="true" w:styleId="WW8Num7z6" w:type="character">
    <w:name w:val="WW8Num7z6"/>
  </w:style>
  <w:style w:customStyle="true" w:styleId="WW8Num7z7" w:type="character">
    <w:name w:val="WW8Num7z7"/>
  </w:style>
  <w:style w:customStyle="true" w:styleId="WW8Num7z8" w:type="character">
    <w:name w:val="WW8Num7z8"/>
  </w:style>
  <w:style w:customStyle="true" w:styleId="WW8Num8z0" w:type="character">
    <w:name w:val="WW8Num8z0"/>
    <w:rPr>
      <w:rFonts w:cs="Bookman Old Style" w:hAnsi="Bookman Old Style" w:ascii="Bookman Old Style"/>
      <w:lang w:val="hr-HR"/>
    </w:rPr>
  </w:style>
  <w:style w:customStyle="true" w:styleId="WW8Num8z1" w:type="character">
    <w:name w:val="WW8Num8z1"/>
  </w:style>
  <w:style w:customStyle="true" w:styleId="WW8Num8z2" w:type="character">
    <w:name w:val="WW8Num8z2"/>
  </w:style>
  <w:style w:customStyle="true" w:styleId="WW8Num8z3" w:type="character">
    <w:name w:val="WW8Num8z3"/>
  </w:style>
  <w:style w:customStyle="true" w:styleId="WW8Num8z4" w:type="character">
    <w:name w:val="WW8Num8z4"/>
  </w:style>
  <w:style w:customStyle="true" w:styleId="WW8Num8z5" w:type="character">
    <w:name w:val="WW8Num8z5"/>
  </w:style>
  <w:style w:customStyle="true" w:styleId="WW8Num8z6" w:type="character">
    <w:name w:val="WW8Num8z6"/>
  </w:style>
  <w:style w:customStyle="true" w:styleId="WW8Num8z7" w:type="character">
    <w:name w:val="WW8Num8z7"/>
  </w:style>
  <w:style w:customStyle="true" w:styleId="WW8Num8z8" w:type="character">
    <w:name w:val="WW8Num8z8"/>
  </w:style>
  <w:style w:customStyle="true" w:styleId="Zadanifontodlomka1" w:type="character">
    <w:name w:val="Zadani font odlomka1"/>
  </w:style>
  <w:style w:customStyle="true" w:styleId="WW8Num9z0" w:type="character">
    <w:name w:val="WW8Num9z0"/>
  </w:style>
  <w:style w:customStyle="true" w:styleId="WW8Num9z1" w:type="character">
    <w:name w:val="WW8Num9z1"/>
  </w:style>
  <w:style w:customStyle="true" w:styleId="WW8Num9z2" w:type="character">
    <w:name w:val="WW8Num9z2"/>
  </w:style>
  <w:style w:customStyle="true" w:styleId="WW8Num9z3" w:type="character">
    <w:name w:val="WW8Num9z3"/>
  </w:style>
  <w:style w:customStyle="true" w:styleId="WW8Num9z4" w:type="character">
    <w:name w:val="WW8Num9z4"/>
  </w:style>
  <w:style w:customStyle="true" w:styleId="WW8Num9z5" w:type="character">
    <w:name w:val="WW8Num9z5"/>
  </w:style>
  <w:style w:customStyle="true" w:styleId="WW8Num9z6" w:type="character">
    <w:name w:val="WW8Num9z6"/>
  </w:style>
  <w:style w:customStyle="true" w:styleId="WW8Num9z7" w:type="character">
    <w:name w:val="WW8Num9z7"/>
  </w:style>
  <w:style w:customStyle="true" w:styleId="WW8Num9z8" w:type="character">
    <w:name w:val="WW8Num9z8"/>
  </w:style>
  <w:style w:customStyle="true" w:styleId="WW8Num10z0" w:type="character">
    <w:name w:val="WW8Num10z0"/>
    <w:rPr>
      <w:rFonts w:cs="Times New Roman" w:eastAsia="Times New Roman" w:hAnsi="Times New Roman" w:ascii="Times New Roman"/>
      <w:b/>
      <w:color w:val="000000"/>
      <w:spacing w:val="10"/>
      <w:sz w:val="28"/>
      <w:szCs w:val="24"/>
      <w:lang w:val="pl-PL"/>
    </w:rPr>
  </w:style>
  <w:style w:customStyle="true" w:styleId="WW8Num10z1" w:type="character">
    <w:name w:val="WW8Num10z1"/>
    <w:rPr>
      <w:rFonts w:cs="Courier New" w:hAnsi="Courier New" w:ascii="Courier New"/>
      <w:color w:val="000000"/>
      <w:spacing w:val="6"/>
      <w:szCs w:val="24"/>
    </w:rPr>
  </w:style>
  <w:style w:customStyle="true" w:styleId="WW8Num10z2" w:type="character">
    <w:name w:val="WW8Num10z2"/>
    <w:rPr>
      <w:rFonts w:cs="Wingdings" w:hAnsi="Wingdings" w:ascii="Wingdings"/>
    </w:rPr>
  </w:style>
  <w:style w:customStyle="true" w:styleId="WW8Num10z3" w:type="character">
    <w:name w:val="WW8Num10z3"/>
    <w:rPr>
      <w:rFonts w:cs="Symbol" w:hAnsi="Symbol" w:ascii="Symbol"/>
    </w:rPr>
  </w:style>
  <w:style w:customStyle="true" w:styleId="WW8Num10z4" w:type="character">
    <w:name w:val="WW8Num10z4"/>
  </w:style>
  <w:style w:customStyle="true" w:styleId="WW8Num10z5" w:type="character">
    <w:name w:val="WW8Num10z5"/>
  </w:style>
  <w:style w:customStyle="true" w:styleId="WW8Num10z6" w:type="character">
    <w:name w:val="WW8Num10z6"/>
  </w:style>
  <w:style w:customStyle="true" w:styleId="WW8Num10z7" w:type="character">
    <w:name w:val="WW8Num10z7"/>
  </w:style>
  <w:style w:customStyle="true" w:styleId="WW8Num10z8" w:type="character">
    <w:name w:val="WW8Num10z8"/>
  </w:style>
  <w:style w:customStyle="true" w:styleId="WW8Num11z0" w:type="character">
    <w:name w:val="WW8Num11z0"/>
    <w:rPr>
      <w:rFonts w:cs="Bookman Old Style" w:eastAsia="Bookman Old Style" w:hAnsi="Bookman Old Style" w:ascii="Bookman Old Style"/>
      <w:lang w:val="hr-HR"/>
    </w:rPr>
  </w:style>
  <w:style w:customStyle="true" w:styleId="WW8Num11z1" w:type="character">
    <w:name w:val="WW8Num11z1"/>
  </w:style>
  <w:style w:customStyle="true" w:styleId="WW8Num11z2" w:type="character">
    <w:name w:val="WW8Num11z2"/>
    <w:rPr>
      <w:rFonts w:cs="Bookman Old Style" w:hAnsi="Bookman Old Style" w:ascii="Bookman Old Style"/>
      <w:color w:val="000000"/>
      <w:spacing w:val="10"/>
      <w:szCs w:val="24"/>
      <w:lang w:val="pl-PL"/>
    </w:rPr>
  </w:style>
  <w:style w:customStyle="true" w:styleId="WW8Num11z3" w:type="character">
    <w:name w:val="WW8Num11z3"/>
  </w:style>
  <w:style w:customStyle="true" w:styleId="WW8Num11z4" w:type="character">
    <w:name w:val="WW8Num11z4"/>
  </w:style>
  <w:style w:customStyle="true" w:styleId="WW8Num11z5" w:type="character">
    <w:name w:val="WW8Num11z5"/>
  </w:style>
  <w:style w:customStyle="true" w:styleId="WW8Num11z6" w:type="character">
    <w:name w:val="WW8Num11z6"/>
  </w:style>
  <w:style w:customStyle="true" w:styleId="WW8Num11z7" w:type="character">
    <w:name w:val="WW8Num11z7"/>
  </w:style>
  <w:style w:customStyle="true" w:styleId="WW8Num11z8" w:type="character">
    <w:name w:val="WW8Num11z8"/>
  </w:style>
  <w:style w:customStyle="true" w:styleId="WW8Num12z0" w:type="character">
    <w:name w:val="WW8Num12z0"/>
  </w:style>
  <w:style w:customStyle="true" w:styleId="WW8Num12z1" w:type="character">
    <w:name w:val="WW8Num12z1"/>
  </w:style>
  <w:style w:customStyle="true" w:styleId="WW8Num12z2" w:type="character">
    <w:name w:val="WW8Num12z2"/>
  </w:style>
  <w:style w:customStyle="true" w:styleId="WW8Num12z3" w:type="character">
    <w:name w:val="WW8Num12z3"/>
  </w:style>
  <w:style w:customStyle="true" w:styleId="WW8Num12z4" w:type="character">
    <w:name w:val="WW8Num12z4"/>
  </w:style>
  <w:style w:customStyle="true" w:styleId="WW8Num12z5" w:type="character">
    <w:name w:val="WW8Num12z5"/>
  </w:style>
  <w:style w:customStyle="true" w:styleId="WW8Num12z6" w:type="character">
    <w:name w:val="WW8Num12z6"/>
  </w:style>
  <w:style w:customStyle="true" w:styleId="WW8Num12z7" w:type="character">
    <w:name w:val="WW8Num12z7"/>
  </w:style>
  <w:style w:customStyle="true" w:styleId="WW8Num12z8" w:type="character">
    <w:name w:val="WW8Num12z8"/>
  </w:style>
  <w:style w:customStyle="true" w:styleId="WW-DefaultParagraphFont" w:type="character">
    <w:name w:val="WW-Default Paragraph Font"/>
  </w:style>
  <w:style w:customStyle="true" w:styleId="WW8Num14z0" w:type="character">
    <w:name w:val="WW8Num14z0"/>
    <w:rPr>
      <w:rFonts w:cs="Bookman Old Style" w:hAnsi="Bookman Old Style" w:ascii="Bookman Old Style"/>
      <w:b/>
      <w:bCs/>
      <w:color w:val="000000"/>
      <w:spacing w:val="1"/>
      <w:szCs w:val="24"/>
    </w:rPr>
  </w:style>
  <w:style w:customStyle="true" w:styleId="WW8Num13z0" w:type="character">
    <w:name w:val="WW8Num13z0"/>
    <w:rPr>
      <w:rFonts w:cs="Bookman Old Style" w:hAnsi="Bookman Old Style" w:ascii="Bookman Old Style"/>
      <w:szCs w:val="24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FooterChar" w:type="character">
    <w:name w:val="Footer Char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customStyle="true" w:styleId="HeaderChar" w:type="character">
    <w:name w:val="Header Char"/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customStyle="true" w:styleId="BalloonTextChar" w:type="character">
    <w:name w:val="Balloon Text Char"/>
    <w:rPr>
      <w:rFonts w:cs="Mangal" w:eastAsia="SimSun" w:hAnsi="Tahoma" w:ascii="Tahoma"/>
      <w:kern w:val="1"/>
      <w:sz w:val="16"/>
      <w:szCs w:val="14"/>
      <w:lang w:bidi="hi-IN" w:eastAsia="zh-CN" w:val="en-US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4"/>
    </w:rPr>
  </w:style>
  <w:style w:customStyle="true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9FD"/>
    <w:rPr>
      <w:rFonts w:cs="Bookman Old Style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Bookman Old Style" w:hAnsi="Times New Roman"/>
      <w:color w:val="000000"/>
      <w:spacing w:val="10"/>
      <w:lang w:val="hr-HR"/>
    </w:rPr>
  </w:style>
  <w:style w:customStyle="1" w:styleId="WW8Num1z1" w:type="character">
    <w:name w:val="WW8Num1z1"/>
    <w:rPr>
      <w:rFonts w:ascii="Courier New" w:cs="Courier New" w:hAnsi="Courier New"/>
    </w:rPr>
  </w:style>
  <w:style w:customStyle="1" w:styleId="WW8Num1z2" w:type="character">
    <w:name w:val="WW8Num1z2"/>
    <w:rPr>
      <w:rFonts w:ascii="Wingdings" w:cs="Bookman Old Style" w:hAnsi="Wingdings"/>
      <w:color w:val="000000"/>
      <w:spacing w:val="10"/>
      <w:szCs w:val="24"/>
      <w:lang w:val="pl-PL"/>
    </w:rPr>
  </w:style>
  <w:style w:customStyle="1" w:styleId="WW8Num1z3" w:type="character">
    <w:name w:val="WW8Num1z3"/>
    <w:rPr>
      <w:rFonts w:ascii="Symbol" w:cs="Symbol" w:hAnsi="Symbol"/>
    </w:rPr>
  </w:style>
  <w:style w:customStyle="1" w:styleId="WW8Num2z0" w:type="character">
    <w:name w:val="WW8Num2z0"/>
    <w:rPr>
      <w:rFonts w:ascii="Bookman Old Style" w:cs="Bookman Old Style" w:hAnsi="Bookman Old Style"/>
      <w:shd w:color="auto" w:fill="FFFF00" w:val="clear"/>
      <w:lang w:val="hr-HR"/>
    </w:rPr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3z0" w:type="character">
    <w:name w:val="WW8Num3z0"/>
    <w:rPr>
      <w:rFonts w:ascii="Bookman Old Style" w:cs="Bookman Old Style" w:hAnsi="Bookman Old Style"/>
      <w:lang w:val="hr-HR"/>
    </w:rPr>
  </w:style>
  <w:style w:customStyle="1" w:styleId="WW8Num3z1" w:type="character">
    <w:name w:val="WW8Num3z1"/>
    <w:rPr>
      <w:rFonts w:ascii="Courier New" w:cs="Courier New" w:hAnsi="Courier New"/>
      <w:color w:val="000000"/>
      <w:spacing w:val="6"/>
      <w:szCs w:val="24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3" w:type="character">
    <w:name w:val="WW8Num3z3"/>
    <w:rPr>
      <w:rFonts w:ascii="Symbol" w:cs="Symbol" w:hAnsi="Symbol"/>
    </w:rPr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</w:style>
  <w:style w:customStyle="1" w:styleId="WW8Num4z1" w:type="character">
    <w:name w:val="WW8Num4z1"/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WW8Num6z0" w:type="character">
    <w:name w:val="WW8Num6z0"/>
  </w:style>
  <w:style w:customStyle="1" w:styleId="WW8Num6z1" w:type="character">
    <w:name w:val="WW8Num6z1"/>
    <w:rPr>
      <w:rFonts w:ascii="Courier New" w:cs="Courier New" w:hAnsi="Courier New"/>
      <w:color w:val="000000"/>
      <w:spacing w:val="6"/>
      <w:szCs w:val="24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</w:style>
  <w:style w:customStyle="1" w:styleId="WW8Num7z1" w:type="character">
    <w:name w:val="WW8Num7z1"/>
  </w:style>
  <w:style w:customStyle="1" w:styleId="WW8Num7z2" w:type="character">
    <w:name w:val="WW8Num7z2"/>
  </w:style>
  <w:style w:customStyle="1" w:styleId="WW8Num7z3" w:type="character">
    <w:name w:val="WW8Num7z3"/>
  </w:style>
  <w:style w:customStyle="1" w:styleId="WW8Num7z4" w:type="character">
    <w:name w:val="WW8Num7z4"/>
  </w:style>
  <w:style w:customStyle="1" w:styleId="WW8Num7z5" w:type="character">
    <w:name w:val="WW8Num7z5"/>
  </w:style>
  <w:style w:customStyle="1" w:styleId="WW8Num7z6" w:type="character">
    <w:name w:val="WW8Num7z6"/>
  </w:style>
  <w:style w:customStyle="1" w:styleId="WW8Num7z7" w:type="character">
    <w:name w:val="WW8Num7z7"/>
  </w:style>
  <w:style w:customStyle="1" w:styleId="WW8Num7z8" w:type="character">
    <w:name w:val="WW8Num7z8"/>
  </w:style>
  <w:style w:customStyle="1" w:styleId="WW8Num8z0" w:type="character">
    <w:name w:val="WW8Num8z0"/>
    <w:rPr>
      <w:rFonts w:ascii="Bookman Old Style" w:cs="Bookman Old Style" w:hAnsi="Bookman Old Style"/>
      <w:lang w:val="hr-HR"/>
    </w:rPr>
  </w:style>
  <w:style w:customStyle="1" w:styleId="WW8Num8z1" w:type="character">
    <w:name w:val="WW8Num8z1"/>
  </w:style>
  <w:style w:customStyle="1" w:styleId="WW8Num8z2" w:type="character">
    <w:name w:val="WW8Num8z2"/>
  </w:style>
  <w:style w:customStyle="1" w:styleId="WW8Num8z3" w:type="character">
    <w:name w:val="WW8Num8z3"/>
  </w:style>
  <w:style w:customStyle="1" w:styleId="WW8Num8z4" w:type="character">
    <w:name w:val="WW8Num8z4"/>
  </w:style>
  <w:style w:customStyle="1" w:styleId="WW8Num8z5" w:type="character">
    <w:name w:val="WW8Num8z5"/>
  </w:style>
  <w:style w:customStyle="1" w:styleId="WW8Num8z6" w:type="character">
    <w:name w:val="WW8Num8z6"/>
  </w:style>
  <w:style w:customStyle="1" w:styleId="WW8Num8z7" w:type="character">
    <w:name w:val="WW8Num8z7"/>
  </w:style>
  <w:style w:customStyle="1" w:styleId="WW8Num8z8" w:type="character">
    <w:name w:val="WW8Num8z8"/>
  </w:style>
  <w:style w:customStyle="1" w:styleId="Zadanifontodlomka1" w:type="character">
    <w:name w:val="Zadani font odlomka1"/>
  </w:style>
  <w:style w:customStyle="1" w:styleId="WW8Num9z0" w:type="character">
    <w:name w:val="WW8Num9z0"/>
  </w:style>
  <w:style w:customStyle="1" w:styleId="WW8Num9z1" w:type="character">
    <w:name w:val="WW8Num9z1"/>
  </w:style>
  <w:style w:customStyle="1" w:styleId="WW8Num9z2" w:type="character">
    <w:name w:val="WW8Num9z2"/>
  </w:style>
  <w:style w:customStyle="1" w:styleId="WW8Num9z3" w:type="character">
    <w:name w:val="WW8Num9z3"/>
  </w:style>
  <w:style w:customStyle="1" w:styleId="WW8Num9z4" w:type="character">
    <w:name w:val="WW8Num9z4"/>
  </w:style>
  <w:style w:customStyle="1" w:styleId="WW8Num9z5" w:type="character">
    <w:name w:val="WW8Num9z5"/>
  </w:style>
  <w:style w:customStyle="1" w:styleId="WW8Num9z6" w:type="character">
    <w:name w:val="WW8Num9z6"/>
  </w:style>
  <w:style w:customStyle="1" w:styleId="WW8Num9z7" w:type="character">
    <w:name w:val="WW8Num9z7"/>
  </w:style>
  <w:style w:customStyle="1" w:styleId="WW8Num9z8" w:type="character">
    <w:name w:val="WW8Num9z8"/>
  </w:style>
  <w:style w:customStyle="1" w:styleId="WW8Num10z0" w:type="character">
    <w:name w:val="WW8Num10z0"/>
    <w:rPr>
      <w:rFonts w:ascii="Times New Roman" w:cs="Times New Roman" w:eastAsia="Times New Roman" w:hAnsi="Times New Roman"/>
      <w:b/>
      <w:color w:val="000000"/>
      <w:spacing w:val="10"/>
      <w:sz w:val="28"/>
      <w:szCs w:val="24"/>
      <w:lang w:val="pl-PL"/>
    </w:rPr>
  </w:style>
  <w:style w:customStyle="1" w:styleId="WW8Num10z1" w:type="character">
    <w:name w:val="WW8Num10z1"/>
    <w:rPr>
      <w:rFonts w:ascii="Courier New" w:cs="Courier New" w:hAnsi="Courier New"/>
      <w:color w:val="000000"/>
      <w:spacing w:val="6"/>
      <w:szCs w:val="24"/>
    </w:rPr>
  </w:style>
  <w:style w:customStyle="1" w:styleId="WW8Num10z2" w:type="character">
    <w:name w:val="WW8Num10z2"/>
    <w:rPr>
      <w:rFonts w:ascii="Wingdings" w:cs="Wingdings" w:hAnsi="Wingdings"/>
    </w:rPr>
  </w:style>
  <w:style w:customStyle="1" w:styleId="WW8Num10z3" w:type="character">
    <w:name w:val="WW8Num10z3"/>
    <w:rPr>
      <w:rFonts w:ascii="Symbol" w:cs="Symbol" w:hAnsi="Symbol"/>
    </w:rPr>
  </w:style>
  <w:style w:customStyle="1" w:styleId="WW8Num10z4" w:type="character">
    <w:name w:val="WW8Num10z4"/>
  </w:style>
  <w:style w:customStyle="1" w:styleId="WW8Num10z5" w:type="character">
    <w:name w:val="WW8Num10z5"/>
  </w:style>
  <w:style w:customStyle="1" w:styleId="WW8Num10z6" w:type="character">
    <w:name w:val="WW8Num10z6"/>
  </w:style>
  <w:style w:customStyle="1" w:styleId="WW8Num10z7" w:type="character">
    <w:name w:val="WW8Num10z7"/>
  </w:style>
  <w:style w:customStyle="1" w:styleId="WW8Num10z8" w:type="character">
    <w:name w:val="WW8Num10z8"/>
  </w:style>
  <w:style w:customStyle="1" w:styleId="WW8Num11z0" w:type="character">
    <w:name w:val="WW8Num11z0"/>
    <w:rPr>
      <w:rFonts w:ascii="Bookman Old Style" w:cs="Bookman Old Style" w:eastAsia="Bookman Old Style" w:hAnsi="Bookman Old Style"/>
      <w:lang w:val="hr-HR"/>
    </w:rPr>
  </w:style>
  <w:style w:customStyle="1" w:styleId="WW8Num11z1" w:type="character">
    <w:name w:val="WW8Num11z1"/>
  </w:style>
  <w:style w:customStyle="1" w:styleId="WW8Num11z2" w:type="character">
    <w:name w:val="WW8Num11z2"/>
    <w:rPr>
      <w:rFonts w:ascii="Bookman Old Style" w:cs="Bookman Old Style" w:hAnsi="Bookman Old Style"/>
      <w:color w:val="000000"/>
      <w:spacing w:val="10"/>
      <w:szCs w:val="24"/>
      <w:lang w:val="pl-PL"/>
    </w:rPr>
  </w:style>
  <w:style w:customStyle="1" w:styleId="WW8Num11z3" w:type="character">
    <w:name w:val="WW8Num11z3"/>
  </w:style>
  <w:style w:customStyle="1" w:styleId="WW8Num11z4" w:type="character">
    <w:name w:val="WW8Num11z4"/>
  </w:style>
  <w:style w:customStyle="1" w:styleId="WW8Num11z5" w:type="character">
    <w:name w:val="WW8Num11z5"/>
  </w:style>
  <w:style w:customStyle="1" w:styleId="WW8Num11z6" w:type="character">
    <w:name w:val="WW8Num11z6"/>
  </w:style>
  <w:style w:customStyle="1" w:styleId="WW8Num11z7" w:type="character">
    <w:name w:val="WW8Num11z7"/>
  </w:style>
  <w:style w:customStyle="1" w:styleId="WW8Num11z8" w:type="character">
    <w:name w:val="WW8Num11z8"/>
  </w:style>
  <w:style w:customStyle="1" w:styleId="WW8Num12z0" w:type="character">
    <w:name w:val="WW8Num12z0"/>
  </w:style>
  <w:style w:customStyle="1" w:styleId="WW8Num12z1" w:type="character">
    <w:name w:val="WW8Num12z1"/>
  </w:style>
  <w:style w:customStyle="1" w:styleId="WW8Num12z2" w:type="character">
    <w:name w:val="WW8Num12z2"/>
  </w:style>
  <w:style w:customStyle="1" w:styleId="WW8Num12z3" w:type="character">
    <w:name w:val="WW8Num12z3"/>
  </w:style>
  <w:style w:customStyle="1" w:styleId="WW8Num12z4" w:type="character">
    <w:name w:val="WW8Num12z4"/>
  </w:style>
  <w:style w:customStyle="1" w:styleId="WW8Num12z5" w:type="character">
    <w:name w:val="WW8Num12z5"/>
  </w:style>
  <w:style w:customStyle="1" w:styleId="WW8Num12z6" w:type="character">
    <w:name w:val="WW8Num12z6"/>
  </w:style>
  <w:style w:customStyle="1" w:styleId="WW8Num12z7" w:type="character">
    <w:name w:val="WW8Num12z7"/>
  </w:style>
  <w:style w:customStyle="1" w:styleId="WW8Num12z8" w:type="character">
    <w:name w:val="WW8Num12z8"/>
  </w:style>
  <w:style w:customStyle="1" w:styleId="WW-DefaultParagraphFont" w:type="character">
    <w:name w:val="WW-Default Paragraph Font"/>
  </w:style>
  <w:style w:customStyle="1" w:styleId="WW8Num14z0" w:type="character">
    <w:name w:val="WW8Num14z0"/>
    <w:rPr>
      <w:rFonts w:ascii="Bookman Old Style" w:cs="Bookman Old Style" w:hAnsi="Bookman Old Style"/>
      <w:b/>
      <w:bCs/>
      <w:color w:val="000000"/>
      <w:spacing w:val="1"/>
      <w:szCs w:val="24"/>
    </w:rPr>
  </w:style>
  <w:style w:customStyle="1" w:styleId="WW8Num13z0" w:type="character">
    <w:name w:val="WW8Num13z0"/>
    <w:rPr>
      <w:rFonts w:ascii="Bookman Old Style" w:cs="Bookman Old Style" w:hAnsi="Bookman Old Style"/>
      <w:szCs w:val="24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FooterChar" w:type="character">
    <w:name w:val="Footer Char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customStyle="1" w:styleId="HeaderChar" w:type="character">
    <w:name w:val="Header Char"/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BalloonTextChar" w:type="character">
    <w:name w:val="Balloon Text Char"/>
    <w:rPr>
      <w:rFonts w:ascii="Tahoma" w:cs="Mangal" w:eastAsia="SimSun" w:hAnsi="Tahoma"/>
      <w:kern w:val="1"/>
      <w:sz w:val="16"/>
      <w:szCs w:val="14"/>
      <w:lang w:bidi="hi-IN" w:eastAsia="zh-CN" w:val="en-US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4"/>
    </w:rPr>
  </w:style>
  <w:style w:customStyle="1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9FD"/>
    <w:rPr>
      <w:rFonts w:ascii="Times New Roman" w:cs="Bookman Old Style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1099</properties:Words>
  <properties:Characters>6455</properties:Characters>
  <properties:Lines>258</properties:Lines>
  <properties:Paragraphs>130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2018-04-12T05:34:00Z</dcterms:created>
  <dc:creator>irena</dc:creator>
  <cp:lastModifiedBy>Matea Bizjak</cp:lastModifiedBy>
  <cp:lastPrinted>2018-04-10T10:32:00Z</cp:lastPrinted>
  <dcterms:modified xmlns:xsi="http://www.w3.org/2001/XMLSchema-instance" xsi:type="dcterms:W3CDTF">2018-04-12T05:34:00Z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St-3323/2016-16 / Podnesak - Izvješće o financijsko-gospodarskom stanju dužnika (Floris-izvješće o gospodarskom stanju.docx)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