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dfb4e" w14:paraId="97dfb4e" w:rsidRDefault="00D06C1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1577340</wp:posOffset>
            </wp:positionH>
            <wp:positionV relativeFrom="page">
              <wp:posOffset>723900</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AE649C" w:rsidP="004F27AE" w:rsidR="00AE649C" w:rsidRPr="00B76F3C">
      <w:pPr>
        <w:pStyle w:val="NormaleSPIS"/>
      </w:pPr>
    </w:p>
    <w:p w:rsidRDefault="00D06C10" w:rsidP="00D06C10" w:rsidR="00D06C10">
      <w:pPr>
        <w:spacing w:after="0"/>
        <w:jc w:val="both"/>
      </w:pPr>
      <w:r>
        <w:t xml:space="preserve">           Republika Hrvatska</w:t>
      </w:r>
    </w:p>
    <w:p w:rsidRDefault="00D06C10" w:rsidP="00D06C10" w:rsidR="00D06C10">
      <w:pPr>
        <w:tabs>
          <w:tab w:pos="3338" w:val="left"/>
        </w:tabs>
        <w:spacing w:after="0"/>
        <w:jc w:val="both"/>
      </w:pPr>
      <w:r>
        <w:t xml:space="preserve">     Trgovački sud u Bjelovaru</w:t>
      </w:r>
      <w:r>
        <w:tab/>
      </w:r>
    </w:p>
    <w:p w:rsidRDefault="00D06C10" w:rsidP="00D06C10" w:rsidR="00D06C10">
      <w:pPr>
        <w:spacing w:after="0"/>
        <w:jc w:val="both"/>
      </w:pPr>
      <w:r>
        <w:t xml:space="preserve">Bjelovar, Šetalište dr. I. </w:t>
      </w:r>
      <w:proofErr w:type="spellStart"/>
      <w:r>
        <w:t>Lebovića</w:t>
      </w:r>
      <w:proofErr w:type="spellEnd"/>
      <w:r>
        <w:t xml:space="preserve"> 42</w:t>
      </w:r>
    </w:p>
    <w:p w:rsidRDefault="00D06C10" w:rsidP="00D06C10" w:rsidR="00D06C10" w:rsidRPr="00D06C10">
      <w:pPr>
        <w:overflowPunct w:val="false"/>
        <w:autoSpaceDE w:val="false"/>
        <w:autoSpaceDN w:val="false"/>
        <w:adjustRightInd w:val="false"/>
        <w:spacing w:after="0"/>
        <w:jc w:val="right"/>
        <w:rPr>
          <w:rFonts w:cs="Times New Roman" w:eastAsia="Times New Roman"/>
          <w:noProof/>
          <w:szCs w:val="20"/>
          <w:lang w:eastAsia="hr-HR"/>
        </w:rPr>
      </w:pPr>
      <w:r w:rsidRPr="00D06C10">
        <w:rPr>
          <w:rFonts w:cs="Times New Roman" w:eastAsia="Times New Roman"/>
          <w:noProof/>
          <w:szCs w:val="20"/>
          <w:lang w:eastAsia="hr-HR"/>
        </w:rPr>
        <w:t>Poslovni broj: 5 St-72/2016-123</w:t>
      </w:r>
    </w:p>
    <w:p w:rsidRDefault="00D06C10" w:rsidP="00D06C10" w:rsidR="00D06C10" w:rsidRPr="00D06C10">
      <w:pPr>
        <w:overflowPunct w:val="false"/>
        <w:autoSpaceDE w:val="false"/>
        <w:autoSpaceDN w:val="false"/>
        <w:adjustRightInd w:val="false"/>
        <w:spacing w:after="0"/>
        <w:rPr>
          <w:rFonts w:cs="Times New Roman" w:eastAsia="Times New Roman"/>
          <w:szCs w:val="20"/>
          <w:lang w:eastAsia="hr-HR"/>
        </w:rPr>
      </w:pPr>
    </w:p>
    <w:p w:rsidRDefault="00D06C10" w:rsidP="00D06C10" w:rsidR="00D06C10" w:rsidRPr="00D06C10">
      <w:pPr>
        <w:overflowPunct w:val="false"/>
        <w:autoSpaceDE w:val="false"/>
        <w:autoSpaceDN w:val="false"/>
        <w:adjustRightInd w:val="false"/>
        <w:spacing w:after="0"/>
        <w:rPr>
          <w:rFonts w:cs="Times New Roman" w:eastAsia="Times New Roman"/>
          <w:szCs w:val="20"/>
          <w:lang w:eastAsia="hr-HR"/>
        </w:rPr>
      </w:pPr>
      <w:bookmarkStart w:name="_GoBack" w:id="0"/>
      <w:bookmarkEnd w:id="0"/>
    </w:p>
    <w:p w:rsidRDefault="00D06C10" w:rsidP="00D06C10" w:rsidR="00D06C10" w:rsidRPr="00D06C10">
      <w:pPr>
        <w:overflowPunct w:val="false"/>
        <w:autoSpaceDE w:val="false"/>
        <w:autoSpaceDN w:val="false"/>
        <w:adjustRightInd w:val="false"/>
        <w:spacing w:after="0"/>
        <w:jc w:val="center"/>
        <w:rPr>
          <w:rFonts w:cs="Times New Roman" w:eastAsia="Times New Roman"/>
          <w:szCs w:val="20"/>
          <w:lang w:eastAsia="hr-HR"/>
        </w:rPr>
      </w:pPr>
      <w:r w:rsidRPr="00D06C10">
        <w:rPr>
          <w:rFonts w:cs="Times New Roman" w:eastAsia="Times New Roman"/>
          <w:szCs w:val="20"/>
          <w:lang w:eastAsia="hr-HR"/>
        </w:rPr>
        <w:t>R E P U B L I K A   H R V A T S K A</w:t>
      </w:r>
    </w:p>
    <w:p w:rsidRDefault="00D06C10" w:rsidP="00D06C10" w:rsidR="00D06C10" w:rsidRPr="00D06C10">
      <w:pPr>
        <w:overflowPunct w:val="false"/>
        <w:autoSpaceDE w:val="false"/>
        <w:autoSpaceDN w:val="false"/>
        <w:adjustRightInd w:val="false"/>
        <w:spacing w:after="0"/>
        <w:jc w:val="center"/>
        <w:rPr>
          <w:rFonts w:cs="Times New Roman" w:eastAsia="Times New Roman"/>
          <w:szCs w:val="20"/>
          <w:lang w:eastAsia="hr-HR"/>
        </w:rPr>
      </w:pPr>
    </w:p>
    <w:p w:rsidRDefault="00D06C10" w:rsidP="00D06C10" w:rsidR="00D06C10" w:rsidRPr="00D06C10">
      <w:pPr>
        <w:overflowPunct w:val="false"/>
        <w:autoSpaceDE w:val="false"/>
        <w:autoSpaceDN w:val="false"/>
        <w:adjustRightInd w:val="false"/>
        <w:spacing w:after="0"/>
        <w:jc w:val="center"/>
        <w:rPr>
          <w:rFonts w:cs="Times New Roman" w:eastAsia="Times New Roman"/>
          <w:szCs w:val="20"/>
          <w:lang w:eastAsia="hr-HR"/>
        </w:rPr>
      </w:pPr>
      <w:r w:rsidRPr="00D06C10">
        <w:rPr>
          <w:rFonts w:cs="Times New Roman" w:eastAsia="Times New Roman"/>
          <w:szCs w:val="20"/>
          <w:lang w:eastAsia="hr-HR"/>
        </w:rPr>
        <w:t>R J E Š E N J E</w:t>
      </w:r>
    </w:p>
    <w:p w:rsidRDefault="00D06C10" w:rsidP="00D06C10" w:rsidR="00D06C10" w:rsidRPr="00D06C10">
      <w:pPr>
        <w:overflowPunct w:val="false"/>
        <w:autoSpaceDE w:val="false"/>
        <w:autoSpaceDN w:val="false"/>
        <w:adjustRightInd w:val="false"/>
        <w:spacing w:after="0"/>
        <w:jc w:val="center"/>
        <w:rPr>
          <w:rFonts w:cs="Times New Roman" w:eastAsia="Times New Roman"/>
          <w:szCs w:val="20"/>
          <w:lang w:eastAsia="hr-HR"/>
        </w:rPr>
      </w:pP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D06C10">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D06C10">
        <w:rPr>
          <w:rFonts w:cs="Times New Roman" w:eastAsia="Times New Roman"/>
          <w:szCs w:val="20"/>
          <w:lang w:eastAsia="hr-HR"/>
        </w:rPr>
        <w:t>bb</w:t>
      </w:r>
      <w:proofErr w:type="spellEnd"/>
      <w:r w:rsidRPr="00D06C10">
        <w:rPr>
          <w:rFonts w:cs="Times New Roman" w:eastAsia="Times New Roman"/>
          <w:szCs w:val="20"/>
          <w:lang w:eastAsia="hr-HR"/>
        </w:rPr>
        <w:t>, OIB: 97667432680, 12. prosinca 2018.</w:t>
      </w:r>
      <w:r w:rsidRPr="00D06C10">
        <w:rPr>
          <w:rFonts w:cs="Times New Roman" w:eastAsia="Times New Roman"/>
          <w:color w:val="000000"/>
          <w:szCs w:val="20"/>
          <w:lang w:eastAsia="hr-HR"/>
        </w:rPr>
        <w:t xml:space="preserve">  </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p>
    <w:p w:rsidRDefault="00D06C10" w:rsidP="00D06C10" w:rsidR="00D06C10" w:rsidRPr="00D06C10">
      <w:pPr>
        <w:overflowPunct w:val="false"/>
        <w:autoSpaceDE w:val="false"/>
        <w:autoSpaceDN w:val="false"/>
        <w:adjustRightInd w:val="false"/>
        <w:spacing w:after="0"/>
        <w:jc w:val="center"/>
        <w:rPr>
          <w:rFonts w:cs="Times New Roman" w:eastAsia="Times New Roman"/>
          <w:szCs w:val="20"/>
          <w:lang w:eastAsia="hr-HR"/>
        </w:rPr>
      </w:pPr>
      <w:r w:rsidRPr="00D06C10">
        <w:rPr>
          <w:rFonts w:cs="Times New Roman" w:eastAsia="Times New Roman"/>
          <w:szCs w:val="20"/>
          <w:lang w:eastAsia="hr-HR"/>
        </w:rPr>
        <w:t>r i j e š i o    j e</w:t>
      </w:r>
    </w:p>
    <w:p w:rsidRDefault="00D06C10" w:rsidP="00D06C10" w:rsidR="00D06C10" w:rsidRPr="00D06C10">
      <w:pPr>
        <w:overflowPunct w:val="false"/>
        <w:autoSpaceDE w:val="false"/>
        <w:autoSpaceDN w:val="false"/>
        <w:adjustRightInd w:val="false"/>
        <w:spacing w:after="0"/>
        <w:jc w:val="center"/>
        <w:rPr>
          <w:rFonts w:cs="Times New Roman" w:eastAsia="Times New Roman"/>
          <w:szCs w:val="20"/>
          <w:lang w:eastAsia="hr-HR"/>
        </w:rPr>
      </w:pP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D06C10">
        <w:rPr>
          <w:rFonts w:cs="Times New Roman" w:eastAsia="Times New Roman"/>
          <w:szCs w:val="20"/>
          <w:lang w:eastAsia="hr-HR"/>
        </w:rPr>
        <w:t xml:space="preserve">1. Dosuđuju se kupcu MAGIC-MONT d.o.o. Garešnica, Bana Jelačića 14, OIB: 67483547256, </w:t>
      </w:r>
      <w:r w:rsidRPr="00D06C10">
        <w:rPr>
          <w:rFonts w:cs="Times New Roman" w:eastAsia="Times New Roman"/>
          <w:color w:val="000000"/>
          <w:szCs w:val="20"/>
          <w:lang w:eastAsia="hr-HR"/>
        </w:rPr>
        <w:t xml:space="preserve">nekretnine stečajnog dužnika </w:t>
      </w:r>
      <w:r w:rsidRPr="00D06C10">
        <w:rPr>
          <w:rFonts w:cs="Times New Roman" w:eastAsia="Times New Roman"/>
          <w:szCs w:val="20"/>
          <w:lang w:eastAsia="hr-HR"/>
        </w:rPr>
        <w:t xml:space="preserve">FINAG d.d. Industrija građevnog materijala, Garešnica, Petra Svačića </w:t>
      </w:r>
      <w:proofErr w:type="spellStart"/>
      <w:r w:rsidRPr="00D06C10">
        <w:rPr>
          <w:rFonts w:cs="Times New Roman" w:eastAsia="Times New Roman"/>
          <w:szCs w:val="20"/>
          <w:lang w:eastAsia="hr-HR"/>
        </w:rPr>
        <w:t>bb</w:t>
      </w:r>
      <w:proofErr w:type="spellEnd"/>
      <w:r w:rsidRPr="00D06C10">
        <w:rPr>
          <w:rFonts w:cs="Times New Roman" w:eastAsia="Times New Roman"/>
          <w:szCs w:val="20"/>
          <w:lang w:eastAsia="hr-HR"/>
        </w:rPr>
        <w:t xml:space="preserve">, OIB: 97667432680, upisane u zemljišnim knjigama Općinskog suda u Bjelovaru, Zemljišnoknjižni odjel Garešnica, zk.ul.br. 1451 k.o. </w:t>
      </w:r>
      <w:r w:rsidRPr="00D06C10">
        <w:rPr>
          <w:rFonts w:cs="Times New Roman" w:eastAsia="Times New Roman"/>
          <w:noProof/>
          <w:szCs w:val="20"/>
          <w:lang w:eastAsia="hr-HR"/>
        </w:rPr>
        <w:t xml:space="preserve">309656, </w:t>
      </w:r>
      <w:r w:rsidRPr="00D06C10">
        <w:rPr>
          <w:rFonts w:cs="Times New Roman" w:eastAsia="Times New Roman"/>
          <w:szCs w:val="20"/>
          <w:lang w:eastAsia="hr-HR"/>
        </w:rPr>
        <w:t>Garešnica</w:t>
      </w:r>
      <w:r w:rsidRPr="00D06C10">
        <w:rPr>
          <w:rFonts w:cs="Times New Roman" w:eastAsia="Times New Roman"/>
          <w:color w:val="000000"/>
          <w:szCs w:val="20"/>
          <w:lang w:eastAsia="hr-HR"/>
        </w:rPr>
        <w:t xml:space="preserve"> </w:t>
      </w:r>
      <w:r w:rsidRPr="00D06C10">
        <w:rPr>
          <w:rFonts w:cs="Times New Roman" w:eastAsia="Times New Roman"/>
          <w:noProof/>
          <w:szCs w:val="20"/>
          <w:lang w:eastAsia="hr-HR"/>
        </w:rPr>
        <w:t>čk.br. 1527 pogon stolarije sa pripadajućim objektima i dvorište sa 11 jutara 1423 čhv, čk.br. 1530 put sa 144 čhv i čk.br. 1538/27 put i trafostanica sa 56 čhv.</w:t>
      </w:r>
    </w:p>
    <w:p w:rsidRDefault="00D06C10" w:rsidP="00D06C10" w:rsidR="00D06C10" w:rsidRPr="00D06C10">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r w:rsidRPr="00D06C10">
        <w:rPr>
          <w:rFonts w:cs="Times New Roman" w:eastAsia="Times New Roman"/>
          <w:szCs w:val="20"/>
          <w:lang w:eastAsia="hr-HR"/>
        </w:rPr>
        <w:t>2.</w:t>
      </w:r>
      <w:r w:rsidRPr="00D06C10">
        <w:rPr>
          <w:rFonts w:cs="Times New Roman" w:eastAsia="Times New Roman"/>
          <w:color w:val="000000"/>
          <w:szCs w:val="20"/>
          <w:lang w:eastAsia="hr-HR"/>
        </w:rPr>
        <w:t xml:space="preserve"> </w:t>
      </w:r>
      <w:r w:rsidRPr="00D06C10">
        <w:rPr>
          <w:rFonts w:cs="Times New Roman" w:eastAsia="Times New Roman"/>
          <w:szCs w:val="20"/>
          <w:lang w:eastAsia="hr-HR"/>
        </w:rPr>
        <w:t>MAGIC-MONT d.o.o. Garešnica, Bana Jelačića 14, OIB: 67483547256</w:t>
      </w:r>
      <w:r w:rsidRPr="00D06C10">
        <w:rPr>
          <w:rFonts w:cs="Times New Roman" w:eastAsia="Times New Roman"/>
          <w:color w:val="000000"/>
          <w:szCs w:val="20"/>
          <w:lang w:eastAsia="hr-HR"/>
        </w:rPr>
        <w:t xml:space="preserve">, OIB:88448651075, </w:t>
      </w:r>
      <w:r w:rsidRPr="00D06C10">
        <w:rPr>
          <w:rFonts w:cs="Times New Roman" w:eastAsia="Times New Roman"/>
          <w:szCs w:val="20"/>
          <w:lang w:eastAsia="hr-HR"/>
        </w:rPr>
        <w:t xml:space="preserve">dužan je u roku od 30 dana od pravomoćnosti ovog rješenja uplatiti razliku </w:t>
      </w:r>
      <w:proofErr w:type="spellStart"/>
      <w:r w:rsidRPr="00D06C10">
        <w:rPr>
          <w:rFonts w:cs="Times New Roman" w:eastAsia="Times New Roman"/>
          <w:szCs w:val="20"/>
          <w:lang w:eastAsia="hr-HR"/>
        </w:rPr>
        <w:t>kupovnine</w:t>
      </w:r>
      <w:proofErr w:type="spellEnd"/>
      <w:r w:rsidRPr="00D06C10">
        <w:rPr>
          <w:rFonts w:cs="Times New Roman" w:eastAsia="Times New Roman"/>
          <w:szCs w:val="20"/>
          <w:lang w:eastAsia="hr-HR"/>
        </w:rPr>
        <w:t xml:space="preserve"> preko iznosa uplaćene jamčevine (osiguranja), i to iznos od 826.000,00 kn, na poseban račun Financijske agencije br. HR1123900011300028787, Model: HR11. Pod poziv na broj (PNB) kao podatak prvi (P1) treba upisati broj 112720, a kao podatak drugi broj (P2*) treba upisati broj 55697. Podatak P1 i P2 nužno je odvojiti crticom. Prilikom uplate kupovine na račun Agencije IBAN HR1123900011300028787, potrebno je da uplatitelj u polje 71A na SWIFT-u ili na obrascu naloga za plaćanje u polje "Opcija troška" naznači opciju "OUR". </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r w:rsidRPr="00D06C10">
        <w:rPr>
          <w:rFonts w:cs="Times New Roman" w:eastAsia="Times New Roman"/>
          <w:szCs w:val="20"/>
          <w:lang w:eastAsia="hr-HR"/>
        </w:rPr>
        <w:t>3. Nakon što ovo rješenje postane pravomoćno i nakon što kupac MAGIC-MONT d.o.o. Garešnica, Bana Jelačića 14, OIB: 67483547256</w:t>
      </w:r>
      <w:r w:rsidRPr="00D06C10">
        <w:rPr>
          <w:rFonts w:cs="Times New Roman" w:eastAsia="Times New Roman"/>
          <w:color w:val="000000"/>
          <w:szCs w:val="20"/>
          <w:lang w:eastAsia="hr-HR"/>
        </w:rPr>
        <w:t xml:space="preserve">, </w:t>
      </w:r>
      <w:r w:rsidRPr="00D06C10">
        <w:rPr>
          <w:rFonts w:cs="Times New Roman" w:eastAsia="Times New Roman"/>
          <w:szCs w:val="20"/>
          <w:lang w:eastAsia="hr-HR"/>
        </w:rPr>
        <w:t>uplati iznos iz točke 2. ovog rješenja, upisat će se u zemljišnoj knjizi u njegovu korist pravo vlasništva na nekretninama iz točke 1. ovog rješenja te će se brisati:</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r w:rsidRPr="00D06C10">
        <w:rPr>
          <w:rFonts w:cs="Times New Roman" w:eastAsia="Times New Roman"/>
          <w:szCs w:val="20"/>
          <w:lang w:eastAsia="hr-HR"/>
        </w:rPr>
        <w:t xml:space="preserve">-zabilježba otvaranja stečajnog postupka, upisana temeljem rješenja Trgovačkog suda u Bjelovaru, </w:t>
      </w:r>
      <w:proofErr w:type="spellStart"/>
      <w:r w:rsidRPr="00D06C10">
        <w:rPr>
          <w:rFonts w:cs="Times New Roman" w:eastAsia="Times New Roman"/>
          <w:szCs w:val="20"/>
          <w:lang w:eastAsia="hr-HR"/>
        </w:rPr>
        <w:t>posl</w:t>
      </w:r>
      <w:proofErr w:type="spellEnd"/>
      <w:r w:rsidRPr="00D06C10">
        <w:rPr>
          <w:rFonts w:cs="Times New Roman" w:eastAsia="Times New Roman"/>
          <w:szCs w:val="20"/>
          <w:lang w:eastAsia="hr-HR"/>
        </w:rPr>
        <w:t>. broj 5 St-72/2016-11 od 24. ožujka 2016. (pod brojem Z-5654/2016),</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r w:rsidRPr="00D06C10">
        <w:rPr>
          <w:rFonts w:cs="Times New Roman" w:eastAsia="Times New Roman"/>
          <w:szCs w:val="20"/>
          <w:lang w:eastAsia="hr-HR"/>
        </w:rPr>
        <w:t xml:space="preserve">-zabilježba rješenja o prodaji nekretnina u stečajnom postupku, upisana temeljem rješenja Trgovačkog suda u Bjelovaru, </w:t>
      </w:r>
      <w:proofErr w:type="spellStart"/>
      <w:r w:rsidRPr="00D06C10">
        <w:rPr>
          <w:rFonts w:cs="Times New Roman" w:eastAsia="Times New Roman"/>
          <w:szCs w:val="20"/>
          <w:lang w:eastAsia="hr-HR"/>
        </w:rPr>
        <w:t>posl</w:t>
      </w:r>
      <w:proofErr w:type="spellEnd"/>
      <w:r w:rsidRPr="00D06C10">
        <w:rPr>
          <w:rFonts w:cs="Times New Roman" w:eastAsia="Times New Roman"/>
          <w:szCs w:val="20"/>
          <w:lang w:eastAsia="hr-HR"/>
        </w:rPr>
        <w:t>. broj St-72/2016-45 od 13. travnja 2017. (pod brojem Z-9102/2017)</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r w:rsidRPr="00D06C10">
        <w:rPr>
          <w:rFonts w:cs="Times New Roman" w:eastAsia="Times New Roman"/>
          <w:szCs w:val="20"/>
          <w:lang w:eastAsia="hr-HR"/>
        </w:rPr>
        <w:t xml:space="preserve">-zabilježba spora na temelju rješenja Općinskog suda u Garešnici broj P-2/07-2 od 4. siječnja 2007., na </w:t>
      </w:r>
      <w:proofErr w:type="spellStart"/>
      <w:r w:rsidRPr="00D06C10">
        <w:rPr>
          <w:rFonts w:cs="Times New Roman" w:eastAsia="Times New Roman"/>
          <w:szCs w:val="20"/>
          <w:lang w:eastAsia="hr-HR"/>
        </w:rPr>
        <w:t>čkbr</w:t>
      </w:r>
      <w:proofErr w:type="spellEnd"/>
      <w:r w:rsidRPr="00D06C10">
        <w:rPr>
          <w:rFonts w:cs="Times New Roman" w:eastAsia="Times New Roman"/>
          <w:szCs w:val="20"/>
          <w:lang w:eastAsia="hr-HR"/>
        </w:rPr>
        <w:t>. 1527, za korist Republike Hrvatske (pod brojem Z-155/07),</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r w:rsidRPr="00D06C10">
        <w:rPr>
          <w:rFonts w:cs="Times New Roman" w:eastAsia="Times New Roman"/>
          <w:szCs w:val="20"/>
          <w:lang w:eastAsia="hr-HR"/>
        </w:rPr>
        <w:t>-uknjižba založnog prava u korist ERSTE &amp; STEIERMARKISCHE BANK d.d. Zagreb, za iznos od 2.000.000,00 EUR (pod brojem Z-808/03),</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r w:rsidRPr="00D06C10">
        <w:rPr>
          <w:rFonts w:cs="Times New Roman" w:eastAsia="Times New Roman"/>
          <w:szCs w:val="20"/>
          <w:lang w:eastAsia="hr-HR"/>
        </w:rPr>
        <w:lastRenderedPageBreak/>
        <w:t>-uknjižba založnog prava za korist ERSTE &amp; STEIERMARKISCHE BANK d.d. Rijeka, Jadranski trg 3A, radi osiguranja novčane tražbine u iznosu od 700.000,00 EUR u kunskoj protuvrijednosti uvećano za kamate i troškove (pod brojem Z-435/05),</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r w:rsidRPr="00D06C10">
        <w:rPr>
          <w:rFonts w:cs="Times New Roman" w:eastAsia="Times New Roman"/>
          <w:szCs w:val="20"/>
          <w:lang w:eastAsia="hr-HR"/>
        </w:rPr>
        <w:t>-uknjižba založnog prava za korist ERSTE &amp; STEIERMARKISCHE BANK d.d. Rijeka, Jadranski trg 3A, radi osiguranja novčane tražbine u iznosu od 450.000,00 EUR u kunskoj protuvrijednosti uvećano za kamate i troškove (pod brojem Z-846/06),</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r w:rsidRPr="00D06C10">
        <w:rPr>
          <w:rFonts w:cs="Times New Roman" w:eastAsia="Times New Roman"/>
          <w:szCs w:val="20"/>
          <w:lang w:eastAsia="hr-HR"/>
        </w:rPr>
        <w:t>-uknjižba založnog prava za korist ZAGREBAČKE BANKE d.d. Zagreb Paromlinska 2, OIB: 92963223473, radi osiguranja novčane tražbine u iznosu od 2.500.000,00 kn, s kamatama i troškovima (pod brojem Z-189/11),</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r w:rsidRPr="00D06C10">
        <w:rPr>
          <w:rFonts w:cs="Times New Roman" w:eastAsia="Times New Roman"/>
          <w:szCs w:val="20"/>
          <w:lang w:eastAsia="hr-HR"/>
        </w:rPr>
        <w:t>-uknjižba ustupanja založnog prava, po trostranom ugovoru o ustupu i prijenosu tražbina 30.05.2017., radi osiguranja tražbine u iznosu od 2.500.000,00 kn, sa dosadašnjeg vjerovnika Zagrebačke banke d.d. Zagreb, pod brojem Z-189/11, za korist APS DELTA S.A. OIB: 45421012929, 1 RUE JEAN PIRET L-2350, LUKSEMBURG (pod brojem Z-14151/2017)</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r w:rsidRPr="00D06C10">
        <w:rPr>
          <w:rFonts w:cs="Times New Roman" w:eastAsia="Times New Roman"/>
          <w:szCs w:val="20"/>
          <w:lang w:eastAsia="hr-HR"/>
        </w:rPr>
        <w:t xml:space="preserve">-zabilježba otvaranja postupka </w:t>
      </w:r>
      <w:proofErr w:type="spellStart"/>
      <w:r w:rsidRPr="00D06C10">
        <w:rPr>
          <w:rFonts w:cs="Times New Roman" w:eastAsia="Times New Roman"/>
          <w:szCs w:val="20"/>
          <w:lang w:eastAsia="hr-HR"/>
        </w:rPr>
        <w:t>predstečajne</w:t>
      </w:r>
      <w:proofErr w:type="spellEnd"/>
      <w:r w:rsidRPr="00D06C10">
        <w:rPr>
          <w:rFonts w:cs="Times New Roman" w:eastAsia="Times New Roman"/>
          <w:szCs w:val="20"/>
          <w:lang w:eastAsia="hr-HR"/>
        </w:rPr>
        <w:t xml:space="preserve"> nagodbe, upisana temeljem rješenja Fine, Regionalni centar Zagreb, Klasa:UP-1/110/07/12-01/159, </w:t>
      </w:r>
      <w:proofErr w:type="spellStart"/>
      <w:r w:rsidRPr="00D06C10">
        <w:rPr>
          <w:rFonts w:cs="Times New Roman" w:eastAsia="Times New Roman"/>
          <w:szCs w:val="20"/>
          <w:lang w:eastAsia="hr-HR"/>
        </w:rPr>
        <w:t>Urbroj</w:t>
      </w:r>
      <w:proofErr w:type="spellEnd"/>
      <w:r w:rsidRPr="00D06C10">
        <w:rPr>
          <w:rFonts w:cs="Times New Roman" w:eastAsia="Times New Roman"/>
          <w:szCs w:val="20"/>
          <w:lang w:eastAsia="hr-HR"/>
        </w:rPr>
        <w:t>: 04-06-13-159-20 od 22. ožujka 2013. (pod brojem Z-489/13),</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r w:rsidRPr="00D06C10">
        <w:rPr>
          <w:rFonts w:cs="Times New Roman" w:eastAsia="Times New Roman"/>
          <w:szCs w:val="20"/>
          <w:lang w:eastAsia="hr-HR"/>
        </w:rPr>
        <w:t>-uknjižba založnog prava u korist REPUBLIKE HRVATSKE, OIB: 52634238587, radi osiguranja novčane tražbine u ukupnom iznosu od 2.698.594,89 kn sa zakonskim zateznim kamatama (pod brojem Z-5993/2014)</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r w:rsidRPr="00D06C10">
        <w:rPr>
          <w:rFonts w:cs="Times New Roman" w:eastAsia="Times New Roman"/>
          <w:szCs w:val="20"/>
          <w:lang w:eastAsia="hr-HR"/>
        </w:rPr>
        <w:t xml:space="preserve">-zabilježba, opravdanje predbilježbe, po pravomoćnom i ovršnom rješenju Općinskog suda u Daruvaru, Stalna služba u Garešnici, broj </w:t>
      </w:r>
      <w:proofErr w:type="spellStart"/>
      <w:r w:rsidRPr="00D06C10">
        <w:rPr>
          <w:rFonts w:cs="Times New Roman" w:eastAsia="Times New Roman"/>
          <w:szCs w:val="20"/>
          <w:lang w:eastAsia="hr-HR"/>
        </w:rPr>
        <w:t>Ovr</w:t>
      </w:r>
      <w:proofErr w:type="spellEnd"/>
      <w:r w:rsidRPr="00D06C10">
        <w:rPr>
          <w:rFonts w:cs="Times New Roman" w:eastAsia="Times New Roman"/>
          <w:szCs w:val="20"/>
          <w:lang w:eastAsia="hr-HR"/>
        </w:rPr>
        <w:t>-2052/14 od 31. listopada 2014. (pod brojem Z-111/2015),</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r w:rsidRPr="00D06C10">
        <w:rPr>
          <w:rFonts w:cs="Times New Roman" w:eastAsia="Times New Roman"/>
          <w:szCs w:val="20"/>
          <w:lang w:eastAsia="hr-HR"/>
        </w:rPr>
        <w:t xml:space="preserve">-zabilježba </w:t>
      </w:r>
      <w:proofErr w:type="spellStart"/>
      <w:r w:rsidRPr="00D06C10">
        <w:rPr>
          <w:rFonts w:cs="Times New Roman" w:eastAsia="Times New Roman"/>
          <w:szCs w:val="20"/>
          <w:lang w:eastAsia="hr-HR"/>
        </w:rPr>
        <w:t>ovršivosti</w:t>
      </w:r>
      <w:proofErr w:type="spellEnd"/>
      <w:r w:rsidRPr="00D06C10">
        <w:rPr>
          <w:rFonts w:cs="Times New Roman" w:eastAsia="Times New Roman"/>
          <w:szCs w:val="20"/>
          <w:lang w:eastAsia="hr-HR"/>
        </w:rPr>
        <w:t xml:space="preserve"> tražbine, radi čijeg je osiguranja uknjižba dopuštena (pod brojem Z-111/2015),</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r w:rsidRPr="00D06C10">
        <w:rPr>
          <w:rFonts w:cs="Times New Roman" w:eastAsia="Times New Roman"/>
          <w:szCs w:val="20"/>
          <w:lang w:eastAsia="hr-HR"/>
        </w:rPr>
        <w:t xml:space="preserve">-zabilježba ovrhe, po rješenju o ovrsi Općinskog suda u Bjelovaru, Stalna služba u Garešnici, broj </w:t>
      </w:r>
      <w:proofErr w:type="spellStart"/>
      <w:r w:rsidRPr="00D06C10">
        <w:rPr>
          <w:rFonts w:cs="Times New Roman" w:eastAsia="Times New Roman"/>
          <w:szCs w:val="20"/>
          <w:lang w:eastAsia="hr-HR"/>
        </w:rPr>
        <w:t>Ovr</w:t>
      </w:r>
      <w:proofErr w:type="spellEnd"/>
      <w:r w:rsidRPr="00D06C10">
        <w:rPr>
          <w:rFonts w:cs="Times New Roman" w:eastAsia="Times New Roman"/>
          <w:szCs w:val="20"/>
          <w:lang w:eastAsia="hr-HR"/>
        </w:rPr>
        <w:t>-2345/15 od 5. lipnja 2015., za korist ZAGREBAČKE BANKE d.d. Zagreb, OIB: 92963223473 (pod brojem Z-6005/2015).</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r w:rsidRPr="00D06C10">
        <w:rPr>
          <w:rFonts w:cs="Times New Roman" w:eastAsia="Times New Roman"/>
          <w:szCs w:val="20"/>
          <w:lang w:eastAsia="hr-HR"/>
        </w:rPr>
        <w:t xml:space="preserve">4. </w:t>
      </w:r>
      <w:r w:rsidRPr="00D06C10">
        <w:rPr>
          <w:rFonts w:cs="Times New Roman" w:eastAsia="Times New Roman"/>
          <w:color w:val="000000"/>
          <w:szCs w:val="20"/>
          <w:lang w:eastAsia="hr-HR"/>
        </w:rPr>
        <w:t xml:space="preserve">Nakon pravomoćnosti ovog rješenja i uplate iznosa </w:t>
      </w:r>
      <w:r w:rsidRPr="00D06C10">
        <w:rPr>
          <w:rFonts w:cs="Times New Roman" w:eastAsia="Times New Roman"/>
          <w:szCs w:val="20"/>
          <w:lang w:eastAsia="hr-HR"/>
        </w:rPr>
        <w:t xml:space="preserve">iz točke 2. ovog rješenja, </w:t>
      </w:r>
      <w:r w:rsidRPr="00D06C10">
        <w:rPr>
          <w:rFonts w:cs="Times New Roman" w:eastAsia="Times New Roman"/>
          <w:color w:val="000000"/>
          <w:szCs w:val="20"/>
          <w:lang w:eastAsia="hr-HR"/>
        </w:rPr>
        <w:t xml:space="preserve">sud će donijeti zaključak o predaji nekretnine kupcu </w:t>
      </w:r>
      <w:r w:rsidRPr="00D06C10">
        <w:rPr>
          <w:rFonts w:cs="Times New Roman" w:eastAsia="Times New Roman"/>
          <w:szCs w:val="20"/>
          <w:lang w:eastAsia="hr-HR"/>
        </w:rPr>
        <w:t>MAGIC-MONT d.o.o. Garešnica, Bana Jelačića 14.</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r w:rsidRPr="00D06C10">
        <w:rPr>
          <w:rFonts w:cs="Times New Roman" w:eastAsia="Times New Roman"/>
          <w:szCs w:val="20"/>
          <w:lang w:eastAsia="hr-HR"/>
        </w:rPr>
        <w:t xml:space="preserve">5. Ako </w:t>
      </w:r>
      <w:r w:rsidRPr="00D06C10">
        <w:rPr>
          <w:rFonts w:cs="Times New Roman" w:eastAsia="Times New Roman"/>
          <w:color w:val="000000"/>
          <w:szCs w:val="20"/>
          <w:lang w:eastAsia="hr-HR"/>
        </w:rPr>
        <w:t xml:space="preserve">kupac </w:t>
      </w:r>
      <w:r w:rsidRPr="00D06C10">
        <w:rPr>
          <w:rFonts w:cs="Times New Roman" w:eastAsia="Times New Roman"/>
          <w:szCs w:val="20"/>
          <w:lang w:eastAsia="hr-HR"/>
        </w:rPr>
        <w:t xml:space="preserve">MAGIC-MONT d.o.o. Garešnica, Bana Jelačića 14, ne položi </w:t>
      </w:r>
      <w:proofErr w:type="spellStart"/>
      <w:r w:rsidRPr="00D06C10">
        <w:rPr>
          <w:rFonts w:cs="Times New Roman" w:eastAsia="Times New Roman"/>
          <w:szCs w:val="20"/>
          <w:lang w:eastAsia="hr-HR"/>
        </w:rPr>
        <w:t>kupovninu</w:t>
      </w:r>
      <w:proofErr w:type="spellEnd"/>
      <w:r w:rsidRPr="00D06C10">
        <w:rPr>
          <w:rFonts w:cs="Times New Roman" w:eastAsia="Times New Roman"/>
          <w:szCs w:val="20"/>
          <w:lang w:eastAsia="hr-HR"/>
        </w:rPr>
        <w:t xml:space="preserve"> u roku iz točke 2. izreke ovog rješenja, sud će oglasiti nevažećom dosudu tom kupcu i nekretnine stečajnog dužnika iz točke 1. dosuditi kupcima koji su ponudili nižu cijenu, prema veličini cijene koju su ponudili. </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r w:rsidRPr="00D06C10">
        <w:rPr>
          <w:rFonts w:cs="Times New Roman" w:eastAsia="Times New Roman"/>
          <w:szCs w:val="20"/>
          <w:lang w:eastAsia="hr-HR"/>
        </w:rPr>
        <w:t xml:space="preserve">6. Ovo rješenje objavit će se na e-oglasnoj ploči suda i mrežnim stranicama Financijske agencije. Smatrat će se da je rješenje dostavljeno svim osobama kojima se dostavlja zaključak o prodaji te svim sudionicima u dražbi istekom trećeg dana od dana njegova isticanja na e-oglasnoj ploči suda, a te osobe imaju pravo tražiti da im se u sudskoj pisarnici neposredno preda </w:t>
      </w:r>
      <w:proofErr w:type="spellStart"/>
      <w:r w:rsidRPr="00D06C10">
        <w:rPr>
          <w:rFonts w:cs="Times New Roman" w:eastAsia="Times New Roman"/>
          <w:szCs w:val="20"/>
          <w:lang w:eastAsia="hr-HR"/>
        </w:rPr>
        <w:t>otpravak</w:t>
      </w:r>
      <w:proofErr w:type="spellEnd"/>
      <w:r w:rsidRPr="00D06C10">
        <w:rPr>
          <w:rFonts w:cs="Times New Roman" w:eastAsia="Times New Roman"/>
          <w:szCs w:val="20"/>
          <w:lang w:eastAsia="hr-HR"/>
        </w:rPr>
        <w:t xml:space="preserve"> ovog rješenja.</w:t>
      </w:r>
    </w:p>
    <w:p w:rsidRDefault="00D06C10" w:rsidP="00D06C10" w:rsidR="00D06C10" w:rsidRPr="00D06C10">
      <w:pPr>
        <w:overflowPunct w:val="false"/>
        <w:autoSpaceDE w:val="false"/>
        <w:autoSpaceDN w:val="false"/>
        <w:adjustRightInd w:val="false"/>
        <w:spacing w:after="0"/>
        <w:jc w:val="both"/>
        <w:rPr>
          <w:rFonts w:cs="Times New Roman" w:eastAsia="Times New Roman"/>
          <w:szCs w:val="20"/>
          <w:lang w:eastAsia="hr-HR"/>
        </w:rPr>
      </w:pPr>
    </w:p>
    <w:p w:rsidRDefault="00D06C10" w:rsidP="00D06C10" w:rsidR="00D06C10" w:rsidRPr="00D06C10">
      <w:pPr>
        <w:overflowPunct w:val="false"/>
        <w:autoSpaceDE w:val="false"/>
        <w:autoSpaceDN w:val="false"/>
        <w:adjustRightInd w:val="false"/>
        <w:spacing w:after="0"/>
        <w:jc w:val="center"/>
        <w:rPr>
          <w:rFonts w:cs="Times New Roman" w:eastAsia="Times New Roman"/>
          <w:szCs w:val="20"/>
          <w:lang w:eastAsia="hr-HR"/>
        </w:rPr>
      </w:pPr>
      <w:r w:rsidRPr="00D06C10">
        <w:rPr>
          <w:rFonts w:cs="Times New Roman" w:eastAsia="Times New Roman"/>
          <w:szCs w:val="20"/>
          <w:lang w:eastAsia="hr-HR"/>
        </w:rPr>
        <w:t>Obrazloženje</w:t>
      </w:r>
    </w:p>
    <w:p w:rsidRDefault="00D06C10" w:rsidP="00D06C10" w:rsidR="00D06C10" w:rsidRPr="00D06C10">
      <w:pPr>
        <w:overflowPunct w:val="false"/>
        <w:autoSpaceDE w:val="false"/>
        <w:autoSpaceDN w:val="false"/>
        <w:adjustRightInd w:val="false"/>
        <w:spacing w:after="0"/>
        <w:jc w:val="center"/>
        <w:rPr>
          <w:rFonts w:cs="Times New Roman" w:eastAsia="Times New Roman"/>
          <w:szCs w:val="20"/>
          <w:lang w:eastAsia="hr-HR"/>
        </w:rPr>
      </w:pP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D06C10">
        <w:rPr>
          <w:rFonts w:cs="Times New Roman" w:eastAsia="Times New Roman"/>
          <w:szCs w:val="20"/>
          <w:lang w:eastAsia="hr-HR"/>
        </w:rPr>
        <w:t>Zaključkom od 25. svibnja 2017. određena je p</w:t>
      </w:r>
      <w:r w:rsidRPr="00D06C10">
        <w:rPr>
          <w:rFonts w:cs="Times New Roman" w:eastAsia="Times New Roman"/>
          <w:color w:val="000000"/>
          <w:szCs w:val="20"/>
          <w:lang w:eastAsia="hr-HR"/>
        </w:rPr>
        <w:t xml:space="preserve">rodaja nekretnina stečajnog dužnika upisanih </w:t>
      </w:r>
      <w:r w:rsidRPr="00D06C10">
        <w:rPr>
          <w:rFonts w:cs="Times New Roman" w:eastAsia="Times New Roman"/>
          <w:szCs w:val="20"/>
          <w:lang w:eastAsia="hr-HR"/>
        </w:rPr>
        <w:t xml:space="preserve">u zemljišnim knjigama Općinskog suda u Bjelovaru, Zemljišnoknjižni odjel </w:t>
      </w:r>
      <w:r w:rsidRPr="00D06C10">
        <w:rPr>
          <w:rFonts w:cs="Times New Roman" w:eastAsia="Times New Roman"/>
          <w:szCs w:val="20"/>
          <w:lang w:eastAsia="hr-HR"/>
        </w:rPr>
        <w:lastRenderedPageBreak/>
        <w:t xml:space="preserve">Garešnica, zk.ul.br. 1451 k.o. </w:t>
      </w:r>
      <w:r w:rsidRPr="00D06C10">
        <w:rPr>
          <w:rFonts w:cs="Times New Roman" w:eastAsia="Times New Roman"/>
          <w:noProof/>
          <w:szCs w:val="20"/>
          <w:lang w:eastAsia="hr-HR"/>
        </w:rPr>
        <w:t xml:space="preserve">309656, </w:t>
      </w:r>
      <w:r w:rsidRPr="00D06C10">
        <w:rPr>
          <w:rFonts w:cs="Times New Roman" w:eastAsia="Times New Roman"/>
          <w:szCs w:val="20"/>
          <w:lang w:eastAsia="hr-HR"/>
        </w:rPr>
        <w:t>Garešnica</w:t>
      </w:r>
      <w:r w:rsidRPr="00D06C10">
        <w:rPr>
          <w:rFonts w:cs="Times New Roman" w:eastAsia="Times New Roman"/>
          <w:color w:val="000000"/>
          <w:szCs w:val="20"/>
          <w:lang w:eastAsia="hr-HR"/>
        </w:rPr>
        <w:t xml:space="preserve"> </w:t>
      </w:r>
      <w:r w:rsidRPr="00D06C10">
        <w:rPr>
          <w:rFonts w:cs="Times New Roman" w:eastAsia="Times New Roman"/>
          <w:noProof/>
          <w:szCs w:val="20"/>
          <w:lang w:eastAsia="hr-HR"/>
        </w:rPr>
        <w:t>čk.br. 1527 pogon stolarije sa pripadajućim objektima i dvorište sa 11 jutara 1423 čhv, čk.br. 1530 put sa 144 čhv i čk.br. 1538/27 put i trafostanica sa 56 čhv.</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D06C10">
        <w:rPr>
          <w:rFonts w:cs="Times New Roman" w:eastAsia="Times New Roman"/>
          <w:noProof/>
          <w:szCs w:val="20"/>
          <w:lang w:eastAsia="hr-HR"/>
        </w:rPr>
        <w:t>Određeno je da će p</w:t>
      </w:r>
      <w:proofErr w:type="spellStart"/>
      <w:r w:rsidRPr="00D06C10">
        <w:rPr>
          <w:rFonts w:cs="Times New Roman" w:eastAsia="Times New Roman"/>
          <w:szCs w:val="20"/>
          <w:lang w:eastAsia="hr-HR"/>
        </w:rPr>
        <w:t>rodaju</w:t>
      </w:r>
      <w:proofErr w:type="spellEnd"/>
      <w:r w:rsidRPr="00D06C10">
        <w:rPr>
          <w:rFonts w:cs="Times New Roman" w:eastAsia="Times New Roman"/>
          <w:szCs w:val="20"/>
          <w:lang w:eastAsia="hr-HR"/>
        </w:rPr>
        <w:t xml:space="preserve"> </w:t>
      </w:r>
      <w:r w:rsidRPr="00D06C10">
        <w:rPr>
          <w:rFonts w:cs="Times New Roman" w:eastAsia="Times New Roman"/>
          <w:color w:val="000000"/>
          <w:szCs w:val="20"/>
          <w:lang w:eastAsia="hr-HR"/>
        </w:rPr>
        <w:t>provesti Financijska agencija elektroničkom javnom dražbom, temeljem odredbe čl.247. st.2. Stečajnog zakona ("Narodne novine" broj 75/15 i 104/17, dalje: SZ).</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r w:rsidRPr="00D06C10">
        <w:rPr>
          <w:rFonts w:cs="Times New Roman" w:eastAsia="Times New Roman"/>
          <w:szCs w:val="20"/>
          <w:lang w:eastAsia="hr-HR"/>
        </w:rPr>
        <w:t>Nakon završetka elektroničke javne dražbe Financijska agencija je 3. prosinca 2018. dostavila sudu izvještaj o provedenoj elektroničkoj javnoj dražbi (identifikator nadmetanja: 11272).</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r w:rsidRPr="00D06C10">
        <w:rPr>
          <w:rFonts w:cs="Times New Roman" w:eastAsia="Times New Roman"/>
          <w:szCs w:val="20"/>
          <w:lang w:eastAsia="hr-HR"/>
        </w:rPr>
        <w:t>Iz izvještaja proizlazi da je ponuditelj</w:t>
      </w:r>
      <w:r w:rsidRPr="00D06C10">
        <w:rPr>
          <w:rFonts w:cs="Times New Roman" w:eastAsia="Times New Roman"/>
          <w:color w:val="000000"/>
          <w:szCs w:val="20"/>
          <w:lang w:eastAsia="hr-HR"/>
        </w:rPr>
        <w:t xml:space="preserve"> </w:t>
      </w:r>
      <w:r w:rsidRPr="00D06C10">
        <w:rPr>
          <w:rFonts w:cs="Times New Roman" w:eastAsia="Times New Roman"/>
          <w:szCs w:val="20"/>
          <w:lang w:eastAsia="hr-HR"/>
        </w:rPr>
        <w:t xml:space="preserve">MAGIC-MONT d.o.o. Garešnica, Bana Jelačića 14, OIB: 67483547256, dao najveću važeću ponudu u iznosu od 1.370.000,00 kn, te da su ispunjene pretpostavke da mu se dosudi nekretnina (čl.103. st.3. Ovršnog zakona, Narodne novine </w:t>
      </w:r>
      <w:r w:rsidRPr="00D06C10">
        <w:rPr>
          <w:rFonts w:cs="Times New Roman" w:eastAsia="Times New Roman"/>
          <w:noProof/>
          <w:szCs w:val="20"/>
          <w:lang w:eastAsia="hr-HR"/>
        </w:rPr>
        <w:t>broj 112/12., 25/13., 93/14., 55/16. i 73/17., dalje: OZ</w:t>
      </w:r>
      <w:r w:rsidRPr="00D06C10">
        <w:rPr>
          <w:rFonts w:cs="Times New Roman" w:eastAsia="Times New Roman"/>
          <w:szCs w:val="20"/>
          <w:lang w:eastAsia="hr-HR"/>
        </w:rPr>
        <w:t xml:space="preserve">, vezano uz čl.247. st.1. SZ-a). </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r w:rsidRPr="00D06C10">
        <w:rPr>
          <w:rFonts w:cs="Times New Roman" w:eastAsia="Times New Roman"/>
          <w:szCs w:val="20"/>
          <w:lang w:eastAsia="hr-HR"/>
        </w:rPr>
        <w:t xml:space="preserve">Kako je taj ponuditelj </w:t>
      </w:r>
      <w:r w:rsidRPr="00D06C10">
        <w:rPr>
          <w:rFonts w:cs="Times New Roman" w:eastAsia="Times New Roman"/>
          <w:color w:val="000000"/>
          <w:szCs w:val="20"/>
          <w:lang w:eastAsia="hr-HR"/>
        </w:rPr>
        <w:t>uplatio jamčevinu za sudjelovanje na predmetnoj javnoj dražbi u iznosu od 544.000,00 kn,</w:t>
      </w:r>
      <w:r w:rsidRPr="00D06C10">
        <w:rPr>
          <w:rFonts w:cs="Times New Roman" w:eastAsia="Times New Roman"/>
          <w:szCs w:val="20"/>
          <w:lang w:eastAsia="hr-HR"/>
        </w:rPr>
        <w:t xml:space="preserve"> dužan je uplatiti razliku </w:t>
      </w:r>
      <w:proofErr w:type="spellStart"/>
      <w:r w:rsidRPr="00D06C10">
        <w:rPr>
          <w:rFonts w:cs="Times New Roman" w:eastAsia="Times New Roman"/>
          <w:szCs w:val="20"/>
          <w:lang w:eastAsia="hr-HR"/>
        </w:rPr>
        <w:t>kupovnine</w:t>
      </w:r>
      <w:proofErr w:type="spellEnd"/>
      <w:r w:rsidRPr="00D06C10">
        <w:rPr>
          <w:rFonts w:cs="Times New Roman" w:eastAsia="Times New Roman"/>
          <w:szCs w:val="20"/>
          <w:lang w:eastAsia="hr-HR"/>
        </w:rPr>
        <w:t xml:space="preserve"> u iznosu od 826.000,00 kn.</w:t>
      </w: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p>
    <w:p w:rsidRDefault="00D06C10" w:rsidP="00D06C10" w:rsidR="00D06C10" w:rsidRPr="00D06C10">
      <w:pPr>
        <w:overflowPunct w:val="false"/>
        <w:autoSpaceDE w:val="false"/>
        <w:autoSpaceDN w:val="false"/>
        <w:adjustRightInd w:val="false"/>
        <w:spacing w:after="0"/>
        <w:ind w:firstLine="851"/>
        <w:jc w:val="both"/>
        <w:rPr>
          <w:rFonts w:cs="Times New Roman" w:eastAsia="Times New Roman"/>
          <w:szCs w:val="20"/>
          <w:lang w:eastAsia="hr-HR"/>
        </w:rPr>
      </w:pPr>
      <w:r w:rsidRPr="00D06C10">
        <w:rPr>
          <w:rFonts w:cs="Times New Roman" w:eastAsia="Times New Roman"/>
          <w:szCs w:val="20"/>
          <w:lang w:eastAsia="hr-HR"/>
        </w:rPr>
        <w:t>Slijedom navedenog, temeljem čl.103. st.3.-6., čl.106. i čl.108. OZ-a u vezi sa čl.247. SZ-a, odlučeno je kao u izreci.</w:t>
      </w:r>
    </w:p>
    <w:p w:rsidRDefault="00D06C10" w:rsidP="00D06C10" w:rsidR="00D06C10" w:rsidRPr="00D06C10">
      <w:pPr>
        <w:overflowPunct w:val="false"/>
        <w:autoSpaceDE w:val="false"/>
        <w:autoSpaceDN w:val="false"/>
        <w:adjustRightInd w:val="false"/>
        <w:spacing w:after="0"/>
        <w:jc w:val="both"/>
        <w:rPr>
          <w:rFonts w:cs="Times New Roman" w:eastAsia="Times New Roman"/>
          <w:szCs w:val="20"/>
          <w:lang w:eastAsia="hr-HR"/>
        </w:rPr>
      </w:pPr>
    </w:p>
    <w:p w:rsidRDefault="00D06C10" w:rsidP="00D06C10" w:rsidR="00D06C10" w:rsidRPr="00D06C10">
      <w:pPr>
        <w:overflowPunct w:val="false"/>
        <w:autoSpaceDE w:val="false"/>
        <w:autoSpaceDN w:val="false"/>
        <w:adjustRightInd w:val="false"/>
        <w:spacing w:after="0"/>
        <w:jc w:val="center"/>
        <w:rPr>
          <w:rFonts w:cs="Times New Roman" w:eastAsia="Times New Roman"/>
          <w:szCs w:val="20"/>
          <w:lang w:eastAsia="hr-HR"/>
        </w:rPr>
      </w:pPr>
      <w:r w:rsidRPr="00D06C10">
        <w:rPr>
          <w:rFonts w:cs="Times New Roman" w:eastAsia="Times New Roman"/>
          <w:szCs w:val="20"/>
          <w:lang w:eastAsia="hr-HR"/>
        </w:rPr>
        <w:t>U Bjelovaru 12. prosinca 2018.</w:t>
      </w:r>
    </w:p>
    <w:p w:rsidRDefault="00D06C10" w:rsidP="00D06C10" w:rsidR="00D06C10" w:rsidRPr="00D06C10">
      <w:pPr>
        <w:overflowPunct w:val="false"/>
        <w:autoSpaceDE w:val="false"/>
        <w:autoSpaceDN w:val="false"/>
        <w:adjustRightInd w:val="false"/>
        <w:spacing w:after="0"/>
        <w:jc w:val="both"/>
        <w:rPr>
          <w:rFonts w:cs="Times New Roman" w:eastAsia="Times New Roman"/>
          <w:szCs w:val="20"/>
          <w:lang w:eastAsia="hr-HR"/>
        </w:rPr>
      </w:pPr>
    </w:p>
    <w:p w:rsidRDefault="00D06C10" w:rsidP="00D06C10" w:rsidR="00D06C10" w:rsidRPr="00D06C10">
      <w:pPr>
        <w:overflowPunct w:val="false"/>
        <w:autoSpaceDE w:val="false"/>
        <w:autoSpaceDN w:val="false"/>
        <w:adjustRightInd w:val="false"/>
        <w:spacing w:after="0"/>
        <w:jc w:val="both"/>
        <w:rPr>
          <w:rFonts w:cs="Times New Roman" w:eastAsia="Times New Roman"/>
          <w:szCs w:val="20"/>
          <w:lang w:eastAsia="hr-HR"/>
        </w:rPr>
      </w:pPr>
      <w:r w:rsidRPr="00D06C10">
        <w:rPr>
          <w:rFonts w:cs="Times New Roman" w:eastAsia="Times New Roman"/>
          <w:szCs w:val="20"/>
          <w:lang w:eastAsia="hr-HR"/>
        </w:rPr>
        <w:tab/>
      </w:r>
      <w:r w:rsidRPr="00D06C10">
        <w:rPr>
          <w:rFonts w:cs="Times New Roman" w:eastAsia="Times New Roman"/>
          <w:szCs w:val="20"/>
          <w:lang w:eastAsia="hr-HR"/>
        </w:rPr>
        <w:tab/>
      </w:r>
      <w:r w:rsidRPr="00D06C10">
        <w:rPr>
          <w:rFonts w:cs="Times New Roman" w:eastAsia="Times New Roman"/>
          <w:szCs w:val="20"/>
          <w:lang w:eastAsia="hr-HR"/>
        </w:rPr>
        <w:tab/>
      </w:r>
      <w:r w:rsidRPr="00D06C10">
        <w:rPr>
          <w:rFonts w:cs="Times New Roman" w:eastAsia="Times New Roman"/>
          <w:szCs w:val="20"/>
          <w:lang w:eastAsia="hr-HR"/>
        </w:rPr>
        <w:tab/>
      </w:r>
      <w:r w:rsidRPr="00D06C10">
        <w:rPr>
          <w:rFonts w:cs="Times New Roman" w:eastAsia="Times New Roman"/>
          <w:szCs w:val="20"/>
          <w:lang w:eastAsia="hr-HR"/>
        </w:rPr>
        <w:tab/>
      </w:r>
      <w:r w:rsidRPr="00D06C10">
        <w:rPr>
          <w:rFonts w:cs="Times New Roman" w:eastAsia="Times New Roman"/>
          <w:szCs w:val="20"/>
          <w:lang w:eastAsia="hr-HR"/>
        </w:rPr>
        <w:tab/>
      </w:r>
      <w:r w:rsidRPr="00D06C10">
        <w:rPr>
          <w:rFonts w:cs="Times New Roman" w:eastAsia="Times New Roman"/>
          <w:szCs w:val="20"/>
          <w:lang w:eastAsia="hr-HR"/>
        </w:rPr>
        <w:tab/>
        <w:t xml:space="preserve">                       Sutkinja</w:t>
      </w:r>
    </w:p>
    <w:p w:rsidRDefault="00D06C10" w:rsidP="00D06C10" w:rsidR="00D06C10" w:rsidRPr="00D06C10">
      <w:pPr>
        <w:overflowPunct w:val="false"/>
        <w:autoSpaceDE w:val="false"/>
        <w:autoSpaceDN w:val="false"/>
        <w:adjustRightInd w:val="false"/>
        <w:spacing w:after="0"/>
        <w:ind w:firstLine="5245"/>
        <w:jc w:val="both"/>
        <w:rPr>
          <w:rFonts w:cs="Times New Roman" w:eastAsia="Times New Roman"/>
          <w:szCs w:val="20"/>
          <w:lang w:eastAsia="hr-HR"/>
        </w:rPr>
      </w:pPr>
      <w:r w:rsidRPr="00D06C10">
        <w:rPr>
          <w:rFonts w:cs="Times New Roman" w:eastAsia="Times New Roman"/>
          <w:szCs w:val="20"/>
          <w:lang w:eastAsia="hr-HR"/>
        </w:rPr>
        <w:t xml:space="preserve">          Marija Petrina Kubica v.r.</w:t>
      </w:r>
    </w:p>
    <w:p w:rsidRDefault="00D06C10" w:rsidP="00D06C10" w:rsidR="00D06C10" w:rsidRPr="00D06C10">
      <w:pPr>
        <w:overflowPunct w:val="false"/>
        <w:autoSpaceDE w:val="false"/>
        <w:autoSpaceDN w:val="false"/>
        <w:adjustRightInd w:val="false"/>
        <w:spacing w:after="0"/>
        <w:ind w:firstLine="5245"/>
        <w:jc w:val="both"/>
        <w:rPr>
          <w:rFonts w:cs="Times New Roman" w:eastAsia="Times New Roman"/>
          <w:szCs w:val="20"/>
          <w:lang w:eastAsia="hr-HR"/>
        </w:rPr>
      </w:pPr>
    </w:p>
    <w:p w:rsidRDefault="00D06C10" w:rsidP="00D06C10" w:rsidR="00D06C10" w:rsidRPr="00D06C10">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D06C10">
        <w:rPr>
          <w:rFonts w:cs="Times New Roman" w:eastAsia="Times New Roman"/>
          <w:noProof/>
          <w:szCs w:val="20"/>
          <w:lang w:eastAsia="hr-HR"/>
        </w:rPr>
        <w:t>Za točnost otpravka - ovlašteni službenik</w:t>
      </w:r>
    </w:p>
    <w:p w:rsidRDefault="00D06C10" w:rsidP="00D06C10" w:rsidR="00D06C10" w:rsidRPr="00D06C10">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D06C10">
        <w:rPr>
          <w:rFonts w:cs="Times New Roman" w:eastAsia="Times New Roman"/>
          <w:noProof/>
          <w:szCs w:val="20"/>
          <w:lang w:eastAsia="hr-HR"/>
        </w:rPr>
        <w:t xml:space="preserve">                  Željka Vitez</w:t>
      </w:r>
    </w:p>
    <w:p w:rsidRDefault="00D06C10" w:rsidP="00D06C10" w:rsidR="00D06C10" w:rsidRPr="00D06C10">
      <w:pPr>
        <w:overflowPunct w:val="false"/>
        <w:autoSpaceDE w:val="false"/>
        <w:autoSpaceDN w:val="false"/>
        <w:adjustRightInd w:val="false"/>
        <w:spacing w:after="0"/>
        <w:ind w:firstLine="5245"/>
        <w:jc w:val="both"/>
        <w:rPr>
          <w:rFonts w:cs="Times New Roman" w:eastAsia="Times New Roman"/>
          <w:szCs w:val="20"/>
          <w:lang w:eastAsia="hr-HR"/>
        </w:rPr>
      </w:pPr>
    </w:p>
    <w:p w:rsidRDefault="00D06C10" w:rsidP="00D06C10" w:rsidR="00D06C10" w:rsidRPr="00D06C10">
      <w:pPr>
        <w:overflowPunct w:val="false"/>
        <w:autoSpaceDE w:val="false"/>
        <w:autoSpaceDN w:val="false"/>
        <w:adjustRightInd w:val="false"/>
        <w:spacing w:after="0"/>
        <w:jc w:val="both"/>
        <w:rPr>
          <w:rFonts w:cs="Times New Roman" w:eastAsia="Times New Roman"/>
          <w:szCs w:val="20"/>
          <w:lang w:eastAsia="hr-HR"/>
        </w:rPr>
      </w:pPr>
      <w:r w:rsidRPr="00D06C10">
        <w:rPr>
          <w:rFonts w:cs="Times New Roman" w:eastAsia="Times New Roman"/>
          <w:szCs w:val="20"/>
          <w:lang w:eastAsia="hr-HR"/>
        </w:rPr>
        <w:tab/>
      </w:r>
      <w:r w:rsidRPr="00D06C10">
        <w:rPr>
          <w:rFonts w:cs="Times New Roman" w:eastAsia="Times New Roman"/>
          <w:szCs w:val="20"/>
          <w:lang w:eastAsia="hr-HR"/>
        </w:rPr>
        <w:tab/>
      </w:r>
      <w:r w:rsidRPr="00D06C10">
        <w:rPr>
          <w:rFonts w:cs="Times New Roman" w:eastAsia="Times New Roman"/>
          <w:szCs w:val="20"/>
          <w:lang w:eastAsia="hr-HR"/>
        </w:rPr>
        <w:tab/>
      </w:r>
      <w:r w:rsidRPr="00D06C10">
        <w:rPr>
          <w:rFonts w:cs="Times New Roman" w:eastAsia="Times New Roman"/>
          <w:szCs w:val="20"/>
          <w:lang w:eastAsia="hr-HR"/>
        </w:rPr>
        <w:tab/>
      </w:r>
      <w:r w:rsidRPr="00D06C10">
        <w:rPr>
          <w:rFonts w:cs="Times New Roman" w:eastAsia="Times New Roman"/>
          <w:szCs w:val="20"/>
          <w:lang w:eastAsia="hr-HR"/>
        </w:rPr>
        <w:tab/>
      </w:r>
      <w:r w:rsidRPr="00D06C10">
        <w:rPr>
          <w:rFonts w:cs="Times New Roman" w:eastAsia="Times New Roman"/>
          <w:szCs w:val="20"/>
          <w:lang w:eastAsia="hr-HR"/>
        </w:rPr>
        <w:tab/>
      </w:r>
    </w:p>
    <w:p w:rsidRDefault="00D06C10" w:rsidP="00D06C10" w:rsidR="00D06C10" w:rsidRPr="00D06C10">
      <w:pPr>
        <w:overflowPunct w:val="false"/>
        <w:autoSpaceDE w:val="false"/>
        <w:autoSpaceDN w:val="false"/>
        <w:adjustRightInd w:val="false"/>
        <w:spacing w:after="0"/>
        <w:jc w:val="both"/>
        <w:rPr>
          <w:rFonts w:cs="Times New Roman" w:eastAsia="Times New Roman"/>
          <w:szCs w:val="20"/>
          <w:lang w:eastAsia="hr-HR"/>
        </w:rPr>
      </w:pPr>
      <w:r w:rsidRPr="00D06C10">
        <w:rPr>
          <w:rFonts w:cs="Times New Roman" w:eastAsia="Times New Roman"/>
          <w:szCs w:val="20"/>
          <w:lang w:eastAsia="hr-HR"/>
        </w:rPr>
        <w:tab/>
        <w:t xml:space="preserve">       </w:t>
      </w:r>
    </w:p>
    <w:p w:rsidRDefault="00D06C10" w:rsidP="00D06C10" w:rsidR="00D06C10" w:rsidRPr="00D06C10">
      <w:pPr>
        <w:overflowPunct w:val="false"/>
        <w:autoSpaceDE w:val="false"/>
        <w:autoSpaceDN w:val="false"/>
        <w:adjustRightInd w:val="false"/>
        <w:spacing w:after="0"/>
        <w:rPr>
          <w:rFonts w:cs="Times New Roman" w:eastAsia="Times New Roman"/>
          <w:color w:val="548DD4"/>
          <w:szCs w:val="20"/>
          <w:lang w:eastAsia="hr-HR"/>
        </w:rPr>
      </w:pPr>
    </w:p>
    <w:p w:rsidRDefault="00D06C10" w:rsidP="00D06C10" w:rsidR="00D06C10" w:rsidRPr="00D06C10">
      <w:pPr>
        <w:overflowPunct w:val="false"/>
        <w:autoSpaceDE w:val="false"/>
        <w:autoSpaceDN w:val="false"/>
        <w:adjustRightInd w:val="false"/>
        <w:spacing w:after="0"/>
        <w:jc w:val="both"/>
        <w:rPr>
          <w:rFonts w:cs="Times New Roman" w:eastAsia="Times New Roman"/>
          <w:szCs w:val="20"/>
          <w:lang w:eastAsia="hr-HR"/>
        </w:rPr>
      </w:pPr>
      <w:r w:rsidRPr="00D06C10">
        <w:rPr>
          <w:rFonts w:cs="Times New Roman" w:eastAsia="Times New Roman"/>
          <w:szCs w:val="20"/>
          <w:lang w:eastAsia="hr-HR"/>
        </w:rPr>
        <w:t>Uputa o pravnom lijeku:Protiv ovog rješenja žalba može se podnijeti u roku od 8 dana od dana dostave, a dostava se smatra obavljenom istekom trećeg dana od dana objave pismena na mrežnoj stranici e-Oglasna ploča sudova (čl.103. st.5. OZ-a u svezi s čl.247. st.1. SZ-a). Protiv rješenja o dosudi nekretnina koje su prodane na dražbi, pravo na žalbu imaju i osobe koje su sudjelovale na dražbi kao ponuditelji (čl.105. st.2. OZ-a). Žalba se podnosi putem ovog suda u tri istovjetna primjerka, a o žalbi odlučuje Visoki trgovački sud Republike Hrvatske.</w:t>
      </w:r>
    </w:p>
    <w:p w:rsidRDefault="00D06C10" w:rsidP="00D06C10" w:rsidR="00D06C10" w:rsidRPr="00D06C10">
      <w:pPr>
        <w:overflowPunct w:val="false"/>
        <w:autoSpaceDE w:val="false"/>
        <w:autoSpaceDN w:val="false"/>
        <w:adjustRightInd w:val="false"/>
        <w:spacing w:after="0"/>
        <w:jc w:val="both"/>
        <w:rPr>
          <w:rFonts w:cs="Times New Roman" w:eastAsia="Times New Roman"/>
          <w:szCs w:val="20"/>
          <w:lang w:eastAsia="hr-HR"/>
        </w:rPr>
      </w:pPr>
    </w:p>
    <w:p w:rsidRDefault="00D06C10" w:rsidP="00D06C10" w:rsidR="00D06C10" w:rsidRPr="00D06C10">
      <w:pPr>
        <w:overflowPunct w:val="false"/>
        <w:autoSpaceDE w:val="false"/>
        <w:autoSpaceDN w:val="false"/>
        <w:adjustRightInd w:val="false"/>
        <w:spacing w:after="0"/>
        <w:jc w:val="both"/>
        <w:rPr>
          <w:rFonts w:cs="Times New Roman" w:eastAsia="Times New Roman"/>
          <w:szCs w:val="20"/>
          <w:lang w:eastAsia="hr-HR"/>
        </w:rPr>
      </w:pPr>
    </w:p>
    <w:p w:rsidRDefault="00D06C10" w:rsidP="00D06C10" w:rsidR="00D06C10" w:rsidRPr="00D06C10">
      <w:pPr>
        <w:overflowPunct w:val="false"/>
        <w:autoSpaceDE w:val="false"/>
        <w:autoSpaceDN w:val="false"/>
        <w:adjustRightInd w:val="false"/>
        <w:spacing w:after="0"/>
        <w:jc w:val="both"/>
        <w:rPr>
          <w:rFonts w:cs="Times New Roman" w:eastAsia="Times New Roman"/>
          <w:szCs w:val="20"/>
          <w:lang w:eastAsia="hr-HR"/>
        </w:rPr>
      </w:pPr>
    </w:p>
    <w:p w:rsidRDefault="00D06C10" w:rsidP="00D06C10" w:rsidR="00D06C10" w:rsidRPr="00D06C10">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D06C1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85724506"/>
      <w:docPartObj>
        <w:docPartGallery w:val="Page Numbers (Top of Page)"/>
        <w:docPartUnique/>
      </w:docPartObj>
    </w:sdtPr>
    <w:sdtContent>
      <w:p w:rsidRDefault="00D06C10" w:rsidP="00D06C10" w:rsidR="00D06C10">
        <w:pPr>
          <w:pStyle w:val="Zaglavlje"/>
          <w:spacing w:after="0"/>
          <w:jc w:val="center"/>
        </w:pPr>
        <w:r>
          <w:fldChar w:fldCharType="begin"/>
        </w:r>
        <w:r>
          <w:instrText>PAGE   \* MERGEFORMAT</w:instrText>
        </w:r>
        <w:r>
          <w:fldChar w:fldCharType="separate"/>
        </w:r>
        <w:r>
          <w:t>3</w:t>
        </w:r>
        <w:r>
          <w:fldChar w:fldCharType="end"/>
        </w:r>
      </w:p>
    </w:sdtContent>
  </w:sdt>
  <w:p w:rsidRDefault="00D06C10" w:rsidR="008333A9">
    <w:pPr>
      <w:pStyle w:val="Zaglavlje"/>
    </w:pPr>
    <w:r w:rsidRPr="00D06C10">
      <w:rPr>
        <w:rFonts w:cs="Times New Roman" w:eastAsia="Times New Roman"/>
        <w:szCs w:val="20"/>
        <w:lang w:eastAsia="hr-HR"/>
      </w:rPr>
      <w:t>Poslovni broj: 5 St-72/2016-123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6C10"/>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94915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003403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2018.</izvorni_sadrzaj>
    <derivirana_varijabla naziv="DomainObject.DatumDonosenjaOdluke_1">12.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St-72/2016-123</izvorni_sadrzaj>
    <derivirana_varijabla naziv="DomainObject.Oznaka_1">St-72/2016-123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St-72/2016-123</izvorni_sadrzaj>
    <derivirana_varijabla naziv="DomainObject.PoslovniBrojDokumenta_1">St-72/2016-123</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ADA5E3-B07C-4144-96BE-099BC7D9C4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1103</properties:Words>
  <properties:Characters>6313</properties:Characters>
  <properties:Lines>142</properties:Lines>
  <properties:Paragraphs>40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2018-12-12T13:15:00Z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St-72/2016-123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