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customUI/customUI.xml" Type="http://schemas.microsoft.com/office/2006/relationships/ui/extensibility" Id="cuID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0492" w:rsidP="00E67D40" w:rsidRDefault="00170492" w14:paraId="1cb8b20" w14:textId="1cb8b20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x="523411" cy="698960"/>
            <wp:effectExtent l="0" t="0" r="0" b="635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411" cy="69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60ED" w:rsidP="00E67D40" w:rsidRDefault="004C60ED">
      <w:pPr>
        <w:pStyle w:val="SudNaziv"/>
        <w:rPr>
          <w:rStyle w:val="PozadinaSvijetloZelena"/>
          <w:b w:val="false"/>
        </w:rPr>
      </w:pPr>
    </w:p>
    <w:p w:rsidR="004C60ED" w:rsidP="00E67D40" w:rsidRDefault="004C60ED">
      <w:pPr>
        <w:pStyle w:val="SudNaziv"/>
        <w:rPr>
          <w:rStyle w:val="PozadinaSvijetloZelena"/>
          <w:b w:val="false"/>
        </w:rPr>
      </w:pPr>
    </w:p>
    <w:p w:rsidRPr="00AD32DA" w:rsidR="004C60ED" w:rsidP="00E67D40" w:rsidRDefault="004C60ED">
      <w:pPr>
        <w:pStyle w:val="SudNaziv"/>
        <w:rPr>
          <w:rStyle w:val="PozadinaSvijetloZelena"/>
          <w:b w:val="false"/>
        </w:rPr>
      </w:pPr>
    </w:p>
    <w:p w:rsidR="00170492" w:rsidP="00AD32DA" w:rsidRDefault="006D09FC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Pr="006D09FC" w:rsidR="0017049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AD32DA" w:rsidR="00AE649C" w:rsidP="00E67D40" w:rsidRDefault="006D09FC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6D09FC" w:rsidR="00D35714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="00170492" w:rsidP="005E2148" w:rsidRDefault="006D09FC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D09FC" w:rsidR="00D35714">
            <w:rPr>
              <w:rStyle w:val="eSPISCCParagraphDefaultFont"/>
            </w:rPr>
            <w:t>Berislavićeva 11</w:t>
          </w:r>
        </w:sdtContent>
      </w:sdt>
      <w:r w:rsidRPr="005E2148" w:rsidR="0022360E">
        <w:rPr>
          <w:rStyle w:val="PozadinaSvijetloZelena"/>
          <w:shd w:val="clear" w:color="auto" w:fill="FFFFFF" w:themeFill="background1"/>
        </w:rPr>
        <w:t>,</w:t>
      </w:r>
      <w:r w:rsidRPr="006C43C5" w:rsidR="00170492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D09FC" w:rsidR="00D35714">
            <w:rPr>
              <w:rStyle w:val="eSPISCCParagraphDefaultFont"/>
            </w:rPr>
            <w:t>Zagreb</w:t>
          </w:r>
        </w:sdtContent>
      </w:sdt>
    </w:p>
    <w:p w:rsidR="0020453E" w:rsidP="004C60ED" w:rsidRDefault="00AD32DA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</w:t>
      </w:r>
      <w:r w:rsidR="006805A7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D09FC" w:rsidR="00D35714">
            <w:rPr>
              <w:rStyle w:val="eSPISCCParagraphDefaultFont"/>
            </w:rPr>
            <w:t>52</w:t>
          </w:r>
        </w:sdtContent>
      </w:sdt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D09FC" w:rsidR="00D35714">
            <w:rPr>
              <w:rStyle w:val="eSPISCCParagraphDefaultFont"/>
            </w:rPr>
            <w:t>Pž-2277/2019-4</w:t>
          </w:r>
        </w:sdtContent>
      </w:sdt>
    </w:p>
    <w:p w:rsidR="004C60ED" w:rsidP="00D35714" w:rsidRDefault="004C60ED">
      <w:pPr>
        <w:spacing w:after="0"/>
      </w:pPr>
    </w:p>
    <w:p w:rsidR="00D35714" w:rsidP="00D35714" w:rsidRDefault="00514BBD">
      <w:pPr>
        <w:spacing w:after="0"/>
      </w:pPr>
      <w:r>
        <w:t xml:space="preserve"> </w:t>
      </w: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center"/>
        <w:rPr>
          <w:rFonts w:eastAsia="Calibri" w:cs="Times New Roman"/>
          <w:szCs w:val="20"/>
          <w:lang w:eastAsia="hr-HR"/>
        </w:rPr>
      </w:pPr>
      <w:r w:rsidRPr="00D35714">
        <w:rPr>
          <w:rFonts w:eastAsia="Calibri" w:cs="Times New Roman"/>
          <w:szCs w:val="20"/>
          <w:lang w:eastAsia="hr-HR"/>
        </w:rPr>
        <w:t>R E P U B L I K A   H R V A T S K A</w:t>
      </w: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center"/>
        <w:rPr>
          <w:rFonts w:eastAsia="Calibri" w:cs="Times New Roman"/>
          <w:szCs w:val="20"/>
          <w:lang w:eastAsia="hr-HR"/>
        </w:rPr>
      </w:pP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center"/>
        <w:rPr>
          <w:rFonts w:eastAsia="Calibri" w:cs="Times New Roman"/>
          <w:szCs w:val="20"/>
          <w:lang w:eastAsia="hr-HR"/>
        </w:rPr>
      </w:pPr>
      <w:r w:rsidRPr="00D35714">
        <w:rPr>
          <w:rFonts w:eastAsia="Calibri" w:cs="Times New Roman"/>
          <w:szCs w:val="20"/>
          <w:lang w:eastAsia="hr-HR"/>
        </w:rPr>
        <w:t xml:space="preserve">R J E Š E NJ E </w:t>
      </w: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center"/>
        <w:rPr>
          <w:rFonts w:eastAsia="Calibri" w:cs="Times New Roman"/>
          <w:szCs w:val="20"/>
          <w:lang w:eastAsia="hr-HR"/>
        </w:rPr>
      </w:pPr>
    </w:p>
    <w:p w:rsidRPr="00D35714" w:rsidR="00D35714" w:rsidP="00D35714" w:rsidRDefault="00D35714">
      <w:pPr>
        <w:spacing w:after="0"/>
        <w:jc w:val="center"/>
        <w:rPr>
          <w:rFonts w:eastAsia="Calibri" w:cs="Times New Roman"/>
          <w:szCs w:val="20"/>
          <w:lang w:eastAsia="hr-HR"/>
        </w:rPr>
      </w:pP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both"/>
        <w:rPr>
          <w:rFonts w:eastAsia="Calibri" w:cs="Times New Roman"/>
          <w:szCs w:val="20"/>
          <w:lang w:eastAsia="hr-HR"/>
        </w:rPr>
      </w:pPr>
      <w:r>
        <w:rPr>
          <w:rFonts w:eastAsia="Calibri" w:cs="Times New Roman"/>
          <w:lang w:eastAsia="hr-HR"/>
        </w:rPr>
        <w:tab/>
      </w:r>
      <w:r w:rsidRPr="00D35714">
        <w:rPr>
          <w:rFonts w:eastAsia="Calibri" w:cs="Times New Roman"/>
          <w:lang w:eastAsia="hr-HR"/>
        </w:rPr>
        <w:t>Visoki trgovački sud Republike Hrvatske, u vijeću sastavljenom od sudaca Draženke Deladio, predsjednika vijeća, te Raoula Dubravca, suca izvjestitelja i Mirne Maržić,</w:t>
      </w:r>
      <w:r w:rsidR="00217D32">
        <w:rPr>
          <w:rFonts w:eastAsia="Calibri" w:cs="Times New Roman"/>
          <w:lang w:eastAsia="hr-HR"/>
        </w:rPr>
        <w:t xml:space="preserve"> člana vijeća,</w:t>
      </w:r>
      <w:r w:rsidRPr="00D35714">
        <w:rPr>
          <w:rFonts w:eastAsia="Calibri" w:cs="Times New Roman"/>
          <w:lang w:eastAsia="hr-HR"/>
        </w:rPr>
        <w:t xml:space="preserve"> u stečajnom postupku nad stečajnim dužnikom BESTIOL</w:t>
      </w:r>
      <w:r>
        <w:rPr>
          <w:rFonts w:eastAsia="Calibri" w:cs="Times New Roman"/>
          <w:lang w:eastAsia="hr-HR"/>
        </w:rPr>
        <w:t>A</w:t>
      </w:r>
      <w:r w:rsidRPr="00D35714">
        <w:rPr>
          <w:rFonts w:eastAsia="Calibri" w:cs="Times New Roman"/>
          <w:lang w:eastAsia="hr-HR"/>
        </w:rPr>
        <w:t xml:space="preserve"> d.o.o. u stečaju</w:t>
      </w:r>
      <w:r>
        <w:rPr>
          <w:rFonts w:eastAsia="Calibri" w:cs="Times New Roman"/>
          <w:lang w:eastAsia="hr-HR"/>
        </w:rPr>
        <w:t>, Gata, Put Pocelja 1</w:t>
      </w:r>
      <w:r w:rsidR="00514BBD">
        <w:rPr>
          <w:rFonts w:eastAsia="Calibri" w:cs="Times New Roman"/>
          <w:lang w:eastAsia="hr-HR"/>
        </w:rPr>
        <w:t>,</w:t>
      </w:r>
      <w:r>
        <w:rPr>
          <w:rFonts w:eastAsia="Calibri" w:cs="Times New Roman"/>
          <w:lang w:eastAsia="hr-HR"/>
        </w:rPr>
        <w:t xml:space="preserve"> OIB</w:t>
      </w:r>
      <w:r w:rsidRPr="00D35714">
        <w:rPr>
          <w:rFonts w:eastAsia="Calibri" w:cs="Times New Roman"/>
          <w:lang w:eastAsia="hr-HR"/>
        </w:rPr>
        <w:t xml:space="preserve"> 52618402674</w:t>
      </w:r>
      <w:r>
        <w:rPr>
          <w:rFonts w:eastAsia="Calibri" w:cs="Times New Roman"/>
          <w:lang w:eastAsia="hr-HR"/>
        </w:rPr>
        <w:t>,</w:t>
      </w:r>
      <w:r w:rsidRPr="00D35714">
        <w:rPr>
          <w:rFonts w:eastAsia="Calibri" w:cs="Times New Roman"/>
          <w:lang w:eastAsia="hr-HR"/>
        </w:rPr>
        <w:t xml:space="preserve"> </w:t>
      </w:r>
      <w:r w:rsidRPr="00D35714">
        <w:rPr>
          <w:rFonts w:eastAsia="Calibri" w:cs="Times New Roman"/>
          <w:szCs w:val="20"/>
          <w:lang w:eastAsia="hr-HR"/>
        </w:rPr>
        <w:t xml:space="preserve">odlučujući o žalbi dužnikovog zastupnika po zakonu NEDILJKA BEOVIĆA </w:t>
      </w:r>
      <w:r>
        <w:rPr>
          <w:rFonts w:eastAsia="Calibri" w:cs="Times New Roman"/>
          <w:szCs w:val="20"/>
          <w:lang w:eastAsia="hr-HR"/>
        </w:rPr>
        <w:t>iz Gata, Put Pocelja 1, OIB</w:t>
      </w:r>
      <w:r w:rsidRPr="00D35714">
        <w:rPr>
          <w:rFonts w:eastAsia="Calibri" w:cs="Times New Roman"/>
          <w:szCs w:val="20"/>
          <w:lang w:eastAsia="hr-HR"/>
        </w:rPr>
        <w:t xml:space="preserve"> 46801352398, koje zastupa punomoćnik Edvard Sušac, odvjetnik u Splitu</w:t>
      </w:r>
      <w:r>
        <w:rPr>
          <w:rFonts w:eastAsia="Calibri" w:cs="Times New Roman"/>
          <w:szCs w:val="20"/>
          <w:lang w:eastAsia="hr-HR"/>
        </w:rPr>
        <w:t>,</w:t>
      </w:r>
      <w:r w:rsidRPr="00D35714">
        <w:rPr>
          <w:rFonts w:eastAsia="Calibri" w:cs="Times New Roman"/>
          <w:szCs w:val="20"/>
          <w:lang w:eastAsia="hr-HR"/>
        </w:rPr>
        <w:t xml:space="preserve"> protiv rješenja Trgovačkog suda u Splitu poslovni broj </w:t>
      </w:r>
      <w:r>
        <w:rPr>
          <w:rFonts w:eastAsia="Calibri" w:cs="Times New Roman"/>
          <w:szCs w:val="20"/>
          <w:lang w:eastAsia="hr-HR"/>
        </w:rPr>
        <w:br/>
      </w:r>
      <w:r w:rsidRPr="00D35714">
        <w:rPr>
          <w:rFonts w:eastAsia="Calibri" w:cs="Times New Roman"/>
          <w:lang w:eastAsia="hr-HR"/>
        </w:rPr>
        <w:t>St-998/</w:t>
      </w:r>
      <w:r>
        <w:rPr>
          <w:rFonts w:eastAsia="Calibri" w:cs="Times New Roman"/>
          <w:lang w:eastAsia="hr-HR"/>
        </w:rPr>
        <w:t>20</w:t>
      </w:r>
      <w:r w:rsidRPr="00D35714">
        <w:rPr>
          <w:rFonts w:eastAsia="Calibri" w:cs="Times New Roman"/>
          <w:lang w:eastAsia="hr-HR"/>
        </w:rPr>
        <w:t>17-13 od 1. ožujka 2019.</w:t>
      </w:r>
      <w:r w:rsidRPr="00D35714">
        <w:rPr>
          <w:rFonts w:eastAsia="Calibri" w:cs="Times New Roman"/>
          <w:szCs w:val="20"/>
          <w:lang w:eastAsia="hr-HR"/>
        </w:rPr>
        <w:t>, u sjednici vijeća</w:t>
      </w:r>
      <w:r>
        <w:rPr>
          <w:rFonts w:eastAsia="Calibri" w:cs="Times New Roman"/>
          <w:szCs w:val="20"/>
          <w:lang w:eastAsia="hr-HR"/>
        </w:rPr>
        <w:t xml:space="preserve"> održanoj</w:t>
      </w:r>
      <w:r w:rsidRPr="00D35714">
        <w:rPr>
          <w:rFonts w:eastAsia="Calibri" w:cs="Times New Roman"/>
          <w:szCs w:val="20"/>
          <w:lang w:eastAsia="hr-HR"/>
        </w:rPr>
        <w:t xml:space="preserve"> 16. srpnja 2019. </w:t>
      </w: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both"/>
        <w:rPr>
          <w:rFonts w:eastAsia="Calibri" w:cs="Times New Roman"/>
          <w:szCs w:val="20"/>
          <w:lang w:eastAsia="hr-HR"/>
        </w:rPr>
      </w:pP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center"/>
        <w:rPr>
          <w:rFonts w:eastAsia="Calibri" w:cs="Times New Roman"/>
          <w:szCs w:val="20"/>
          <w:lang w:eastAsia="hr-HR"/>
        </w:rPr>
      </w:pPr>
      <w:r w:rsidRPr="00D35714">
        <w:rPr>
          <w:rFonts w:eastAsia="Calibri" w:cs="Times New Roman"/>
          <w:szCs w:val="20"/>
          <w:lang w:eastAsia="hr-HR"/>
        </w:rPr>
        <w:t>r i j e š i o   j e</w:t>
      </w: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center"/>
        <w:rPr>
          <w:rFonts w:eastAsia="Calibri" w:cs="Times New Roman"/>
          <w:szCs w:val="20"/>
          <w:lang w:eastAsia="hr-HR"/>
        </w:rPr>
      </w:pP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both"/>
        <w:rPr>
          <w:rFonts w:eastAsia="Calibri" w:cs="Times New Roman"/>
          <w:lang w:eastAsia="hr-HR"/>
        </w:rPr>
      </w:pPr>
      <w:r w:rsidRPr="00D35714">
        <w:rPr>
          <w:rFonts w:eastAsia="Calibri" w:cs="Times New Roman"/>
          <w:szCs w:val="20"/>
          <w:lang w:eastAsia="hr-HR"/>
        </w:rPr>
        <w:tab/>
      </w:r>
      <w:r w:rsidRPr="00D35714">
        <w:rPr>
          <w:rFonts w:eastAsia="Calibri" w:cs="Times New Roman"/>
          <w:lang w:eastAsia="hr-HR"/>
        </w:rPr>
        <w:t xml:space="preserve">Odbija se žalba </w:t>
      </w:r>
      <w:r w:rsidRPr="00D35714">
        <w:rPr>
          <w:rFonts w:eastAsia="Calibri" w:cs="Times New Roman"/>
          <w:szCs w:val="20"/>
          <w:lang w:eastAsia="hr-HR"/>
        </w:rPr>
        <w:t xml:space="preserve">Nediljka Beovića iz Gata, Put Pocelja 1, </w:t>
      </w:r>
      <w:r w:rsidRPr="00D35714">
        <w:rPr>
          <w:rFonts w:eastAsia="Calibri" w:cs="Times New Roman"/>
          <w:lang w:eastAsia="hr-HR"/>
        </w:rPr>
        <w:t xml:space="preserve">dosadašnjeg dužnikovog zastupnika po zakonu kao neosnovana i potvrđuje rješenje Trgovačkog suda </w:t>
      </w:r>
      <w:r w:rsidRPr="00D35714">
        <w:rPr>
          <w:rFonts w:eastAsia="Calibri" w:cs="Times New Roman"/>
          <w:szCs w:val="20"/>
          <w:lang w:eastAsia="hr-HR"/>
        </w:rPr>
        <w:t xml:space="preserve">u Splitu poslovni broj </w:t>
      </w:r>
      <w:r w:rsidRPr="00D35714">
        <w:rPr>
          <w:rFonts w:eastAsia="Calibri" w:cs="Times New Roman"/>
          <w:lang w:eastAsia="hr-HR"/>
        </w:rPr>
        <w:t>St-998/</w:t>
      </w:r>
      <w:r>
        <w:rPr>
          <w:rFonts w:eastAsia="Calibri" w:cs="Times New Roman"/>
          <w:lang w:eastAsia="hr-HR"/>
        </w:rPr>
        <w:t>20</w:t>
      </w:r>
      <w:r w:rsidRPr="00D35714">
        <w:rPr>
          <w:rFonts w:eastAsia="Calibri" w:cs="Times New Roman"/>
          <w:lang w:eastAsia="hr-HR"/>
        </w:rPr>
        <w:t>17-13 od 1. ožujka 2019.</w:t>
      </w: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both"/>
        <w:rPr>
          <w:rFonts w:eastAsia="Calibri" w:cs="Times New Roman"/>
          <w:szCs w:val="20"/>
          <w:lang w:eastAsia="hr-HR"/>
        </w:rPr>
      </w:pP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center"/>
        <w:rPr>
          <w:rFonts w:eastAsia="Calibri" w:cs="Times New Roman"/>
          <w:szCs w:val="20"/>
          <w:lang w:eastAsia="hr-HR"/>
        </w:rPr>
      </w:pPr>
      <w:r w:rsidRPr="00D35714">
        <w:rPr>
          <w:rFonts w:eastAsia="Calibri" w:cs="Times New Roman"/>
          <w:szCs w:val="20"/>
          <w:lang w:eastAsia="hr-HR"/>
        </w:rPr>
        <w:t>Obrazloženje</w:t>
      </w: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center"/>
        <w:rPr>
          <w:rFonts w:eastAsia="Calibri" w:cs="Times New Roman"/>
          <w:szCs w:val="20"/>
          <w:lang w:eastAsia="hr-HR"/>
        </w:rPr>
      </w:pP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both"/>
        <w:rPr>
          <w:rFonts w:eastAsia="Calibri" w:cs="Times New Roman"/>
          <w:szCs w:val="20"/>
          <w:lang w:eastAsia="hr-HR"/>
        </w:rPr>
      </w:pPr>
      <w:r w:rsidRPr="00D35714">
        <w:rPr>
          <w:rFonts w:eastAsia="Calibri" w:cs="Times New Roman"/>
          <w:szCs w:val="20"/>
          <w:lang w:eastAsia="hr-HR"/>
        </w:rPr>
        <w:tab/>
        <w:t>Prvostupanjskim rješenjem u točki I. do IX. izreke otvara se stečajni postupak nad dužnikom, imenuje stečajni upravitelj, pozivaju vjerovnici podnijeti prijavu tražbina odnosno obavijestiti stečajnog upravitelja  o postojanju svojeg prava, a dužnikovi dužnici bez odgode ispunjavati svoje obveze stečajnom upravitelju za stečajnog dužnika, zakazuje ispitno i izvještajno ročište.</w:t>
      </w: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both"/>
        <w:rPr>
          <w:rFonts w:eastAsia="Calibri" w:cs="Times New Roman"/>
          <w:szCs w:val="20"/>
          <w:lang w:eastAsia="hr-HR"/>
        </w:rPr>
      </w:pP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both"/>
        <w:rPr>
          <w:rFonts w:eastAsia="Calibri" w:cs="Times New Roman"/>
          <w:szCs w:val="20"/>
          <w:lang w:eastAsia="hr-HR"/>
        </w:rPr>
      </w:pPr>
      <w:r w:rsidRPr="00D35714">
        <w:rPr>
          <w:rFonts w:eastAsia="Calibri" w:cs="Times New Roman"/>
          <w:szCs w:val="20"/>
          <w:lang w:eastAsia="hr-HR"/>
        </w:rPr>
        <w:tab/>
        <w:t>Prema obrazloženju pobijanog rješenja prvostupanjski sud je pokrenuo prethodni postupak nakon što je prethodno utvrdio da nisu ispunjene pretpostavke za otvaranje skraćenog stečajnog postupka i tijekom kojeg utvrdio je postojanje stečajnog razloga nesposobnosti za plaćanje s obzirom na stanje Očevidnika neizvršenih osnova za plaćanje u neprekidnom trajanju od 750 dan i blokadu računa u iznosu od 132.564,93 kn. Otvorio je stečajni postupak u skladu s odredb</w:t>
      </w:r>
      <w:r w:rsidR="00514BBD">
        <w:rPr>
          <w:rFonts w:eastAsia="Calibri" w:cs="Times New Roman"/>
          <w:szCs w:val="20"/>
          <w:lang w:eastAsia="hr-HR"/>
        </w:rPr>
        <w:t>ama</w:t>
      </w:r>
      <w:r w:rsidRPr="00D35714">
        <w:rPr>
          <w:rFonts w:eastAsia="Calibri" w:cs="Times New Roman"/>
          <w:szCs w:val="20"/>
          <w:lang w:eastAsia="hr-HR"/>
        </w:rPr>
        <w:t xml:space="preserve"> čl. 5., čl. 6. st. 1., 2. i 4., čl. 84. st. 1. i čl. 85. st. 1., čl. 128., čl. 129., čl. 130., čl. 131., čl. 257. i čl. 258. Stečajnog zakona (</w:t>
      </w:r>
      <w:r>
        <w:rPr>
          <w:rFonts w:eastAsia="Calibri" w:cs="Times New Roman"/>
          <w:szCs w:val="20"/>
          <w:lang w:eastAsia="hr-HR"/>
        </w:rPr>
        <w:t>„</w:t>
      </w:r>
      <w:r w:rsidRPr="00D35714">
        <w:rPr>
          <w:rFonts w:eastAsia="Calibri" w:cs="Times New Roman"/>
          <w:szCs w:val="20"/>
          <w:lang w:eastAsia="hr-HR"/>
        </w:rPr>
        <w:t>Narodne novine</w:t>
      </w:r>
      <w:r>
        <w:rPr>
          <w:rFonts w:eastAsia="Calibri" w:cs="Times New Roman"/>
          <w:szCs w:val="20"/>
          <w:lang w:eastAsia="hr-HR"/>
        </w:rPr>
        <w:t>“ broj</w:t>
      </w:r>
      <w:r w:rsidRPr="00D35714">
        <w:rPr>
          <w:rFonts w:eastAsia="Calibri" w:cs="Times New Roman"/>
          <w:szCs w:val="20"/>
          <w:lang w:eastAsia="hr-HR"/>
        </w:rPr>
        <w:t xml:space="preserve"> 71/15</w:t>
      </w:r>
      <w:r>
        <w:rPr>
          <w:rFonts w:eastAsia="Calibri" w:cs="Times New Roman"/>
          <w:szCs w:val="20"/>
          <w:lang w:eastAsia="hr-HR"/>
        </w:rPr>
        <w:t xml:space="preserve"> i</w:t>
      </w:r>
      <w:r w:rsidRPr="00D35714">
        <w:rPr>
          <w:rFonts w:eastAsia="Calibri" w:cs="Times New Roman"/>
          <w:szCs w:val="20"/>
          <w:lang w:eastAsia="hr-HR"/>
        </w:rPr>
        <w:t xml:space="preserve"> 104/17</w:t>
      </w:r>
      <w:r>
        <w:rPr>
          <w:rFonts w:eastAsia="Calibri" w:cs="Times New Roman"/>
          <w:szCs w:val="20"/>
          <w:lang w:eastAsia="hr-HR"/>
        </w:rPr>
        <w:t>;</w:t>
      </w:r>
      <w:r w:rsidRPr="00D35714">
        <w:rPr>
          <w:rFonts w:eastAsia="Calibri" w:cs="Times New Roman"/>
          <w:szCs w:val="20"/>
          <w:lang w:eastAsia="hr-HR"/>
        </w:rPr>
        <w:t xml:space="preserve"> dalje: SZ).</w:t>
      </w: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both"/>
        <w:rPr>
          <w:rFonts w:eastAsia="Calibri" w:cs="Times New Roman"/>
          <w:szCs w:val="20"/>
          <w:lang w:eastAsia="hr-HR"/>
        </w:rPr>
      </w:pP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both"/>
        <w:rPr>
          <w:rFonts w:eastAsia="Calibri" w:cs="Times New Roman"/>
          <w:szCs w:val="20"/>
          <w:lang w:eastAsia="hr-HR"/>
        </w:rPr>
      </w:pPr>
      <w:r w:rsidRPr="00D35714">
        <w:rPr>
          <w:rFonts w:eastAsia="Calibri" w:cs="Times New Roman"/>
          <w:szCs w:val="20"/>
          <w:lang w:eastAsia="hr-HR"/>
        </w:rPr>
        <w:tab/>
        <w:t xml:space="preserve">Rješenje žalbom pobija zastupnik po zakonu stečajnog dužnika zbog žalbenih razloga bitne povrede odredaba parničnog postupka, pogrešno i nepotpuno utvrđenog činjeničnog stanja i pogrešne primjene materijalnog prava. U žalbi u bitnom ponavlja da je tijekom prethodnog postupka naveo da ima građevinsku dozvolu za gradnju zgrade u Splitu i da će po </w:t>
      </w:r>
      <w:r w:rsidRPr="00D35714">
        <w:rPr>
          <w:rFonts w:eastAsia="Calibri" w:cs="Times New Roman"/>
          <w:szCs w:val="20"/>
          <w:lang w:eastAsia="hr-HR"/>
        </w:rPr>
        <w:lastRenderedPageBreak/>
        <w:t xml:space="preserve">završetku građenja imati dovoljnu imovinu iz koje će moći podmiriti svoje obveze. Predlaže ukinuti pobijano rješenje.  </w:t>
      </w: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both"/>
        <w:rPr>
          <w:rFonts w:eastAsia="Calibri" w:cs="Times New Roman"/>
          <w:szCs w:val="20"/>
          <w:lang w:eastAsia="hr-HR"/>
        </w:rPr>
      </w:pP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both"/>
        <w:rPr>
          <w:rFonts w:eastAsia="Calibri" w:cs="Times New Roman"/>
          <w:szCs w:val="20"/>
          <w:lang w:eastAsia="hr-HR"/>
        </w:rPr>
      </w:pPr>
      <w:r>
        <w:rPr>
          <w:rFonts w:eastAsia="Calibri" w:cs="Times New Roman"/>
          <w:szCs w:val="20"/>
          <w:lang w:eastAsia="hr-HR"/>
        </w:rPr>
        <w:tab/>
      </w:r>
      <w:r w:rsidRPr="00D35714">
        <w:rPr>
          <w:rFonts w:eastAsia="Calibri" w:cs="Times New Roman"/>
          <w:szCs w:val="20"/>
          <w:lang w:eastAsia="hr-HR"/>
        </w:rPr>
        <w:t>Žalba nije osnovana.</w:t>
      </w: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both"/>
        <w:rPr>
          <w:rFonts w:eastAsia="Calibri" w:cs="Times New Roman"/>
          <w:szCs w:val="20"/>
          <w:lang w:eastAsia="hr-HR"/>
        </w:rPr>
      </w:pPr>
    </w:p>
    <w:p w:rsidRPr="00D35714" w:rsidR="00D35714" w:rsidP="00D35714" w:rsidRDefault="00D35714">
      <w:pPr>
        <w:spacing w:after="0"/>
        <w:ind w:firstLine="708"/>
        <w:jc w:val="both"/>
        <w:rPr>
          <w:rFonts w:eastAsia="Calibri" w:cs="Times New Roman"/>
          <w:szCs w:val="20"/>
          <w:lang w:eastAsia="hr-HR"/>
        </w:rPr>
      </w:pPr>
      <w:r w:rsidRPr="00D35714">
        <w:rPr>
          <w:rFonts w:eastAsia="Calibri" w:cs="Times New Roman"/>
          <w:szCs w:val="20"/>
          <w:lang w:eastAsia="hr-HR"/>
        </w:rPr>
        <w:t>Pobijano je rješenje ispitano na temelju odredbe čl. 365. u vezi s čl. 381. Zakona o parničnom postupku („Narodne novine“ broj 148</w:t>
      </w:r>
      <w:r>
        <w:rPr>
          <w:rFonts w:eastAsia="Calibri" w:cs="Times New Roman"/>
          <w:szCs w:val="20"/>
          <w:lang w:eastAsia="hr-HR"/>
        </w:rPr>
        <w:t>/</w:t>
      </w:r>
      <w:r w:rsidRPr="00D35714">
        <w:rPr>
          <w:rFonts w:eastAsia="Calibri" w:cs="Times New Roman"/>
          <w:szCs w:val="20"/>
          <w:lang w:eastAsia="hr-HR"/>
        </w:rPr>
        <w:t xml:space="preserve">11 – pročišćeni tekst i 25/13; dalje: ZPP), u vezi s odredbom čl. 10. SZ-a. </w:t>
      </w:r>
    </w:p>
    <w:p w:rsidRPr="00D35714" w:rsidR="00D35714" w:rsidP="00D35714" w:rsidRDefault="00D35714">
      <w:pPr>
        <w:spacing w:after="0"/>
        <w:ind w:firstLine="708"/>
        <w:jc w:val="both"/>
        <w:rPr>
          <w:rFonts w:eastAsia="Calibri" w:cs="Times New Roman"/>
          <w:szCs w:val="20"/>
          <w:lang w:eastAsia="hr-HR"/>
        </w:rPr>
      </w:pPr>
    </w:p>
    <w:p w:rsidRPr="00D35714" w:rsidR="00D35714" w:rsidP="00D35714" w:rsidRDefault="00D35714">
      <w:pPr>
        <w:spacing w:after="0"/>
        <w:ind w:firstLine="720"/>
        <w:jc w:val="both"/>
        <w:rPr>
          <w:rFonts w:eastAsia="Calibri" w:cs="Times New Roman"/>
          <w:szCs w:val="20"/>
          <w:lang w:eastAsia="hr-HR"/>
        </w:rPr>
      </w:pPr>
      <w:r w:rsidRPr="00D35714">
        <w:rPr>
          <w:rFonts w:eastAsia="Calibri" w:cs="Times New Roman"/>
          <w:szCs w:val="20"/>
          <w:lang w:eastAsia="hr-HR"/>
        </w:rPr>
        <w:t>Prvostupanjski je sud na temelju utvrđenog činjeničnog stanja pravilno utvrdio da su ispunjene pretpostavke propisane odredbom čl. 128. SZ-a za otvaranje stečajnog postupka i rješenje sadrži sve propisano prema odredbi čl. 129. SZ-a. Sud je u prijašnjem tijeku postupka pokrenuo prethodni postupak tijekom kojeg je utvrdio postojanje stečajnog razloga i imovine dostatne za namirenje troškova postupka, a na ročištu</w:t>
      </w:r>
      <w:r w:rsidR="00514BBD">
        <w:rPr>
          <w:rFonts w:eastAsia="Calibri" w:cs="Times New Roman"/>
          <w:szCs w:val="20"/>
          <w:lang w:eastAsia="hr-HR"/>
        </w:rPr>
        <w:t xml:space="preserve"> radi izjašnjenja o prijedlogu da ž</w:t>
      </w:r>
      <w:r w:rsidRPr="00D35714">
        <w:rPr>
          <w:rFonts w:eastAsia="Calibri" w:cs="Times New Roman"/>
          <w:szCs w:val="20"/>
          <w:lang w:eastAsia="hr-HR"/>
        </w:rPr>
        <w:t xml:space="preserve">alitelj nije osporio postojanje stečajnog razloga nesposobnosti za plaćanje te je sud nakon održanog ročišta donio pobijano rješenje. </w:t>
      </w:r>
    </w:p>
    <w:p w:rsidRPr="00D35714" w:rsidR="00D35714" w:rsidP="00D35714" w:rsidRDefault="00D35714">
      <w:pPr>
        <w:spacing w:after="0"/>
        <w:ind w:firstLine="720"/>
        <w:jc w:val="both"/>
        <w:rPr>
          <w:rFonts w:eastAsia="Calibri" w:cs="Times New Roman"/>
          <w:szCs w:val="20"/>
          <w:lang w:eastAsia="hr-HR"/>
        </w:rPr>
      </w:pPr>
    </w:p>
    <w:p w:rsidRPr="00D35714" w:rsidR="00D35714" w:rsidP="00D35714" w:rsidRDefault="00D35714">
      <w:pPr>
        <w:spacing w:after="0"/>
        <w:ind w:firstLine="720"/>
        <w:jc w:val="both"/>
        <w:rPr>
          <w:rFonts w:eastAsia="Calibri" w:cs="Times New Roman"/>
          <w:szCs w:val="20"/>
          <w:lang w:eastAsia="hr-HR"/>
        </w:rPr>
      </w:pPr>
      <w:r w:rsidRPr="00D35714">
        <w:rPr>
          <w:rFonts w:eastAsia="Calibri" w:cs="Times New Roman"/>
          <w:szCs w:val="20"/>
          <w:lang w:eastAsia="hr-HR"/>
        </w:rPr>
        <w:t xml:space="preserve">Neosnovano žalitelj ponavlja tvrdnje o mogućnosti podmirenja svojih obveza nakon izgradnje građevine za koju ima građevinsku dozvolu. Upravo iz građevinske dozvole proizlazi da je dužnik opunomoćenik osoba koje su suvlasnici nekretnine, a dužnik je investitor. Međutim, postoji prijepor između vlasnika zemljišta i dužnika pa je neizvjesna realizacija projekta. Osim svega dužnik je nesposoban za plaćanje te realizacija nije izvjesna, a tako ni otklanjanje stečajnog razloga kao jedne od pretpostavki za otvaranje stečajnog postupka koja je u konkretnoj situaciji ispunjena. </w:t>
      </w:r>
    </w:p>
    <w:p w:rsidRPr="00D35714" w:rsidR="00D35714" w:rsidP="00D35714" w:rsidRDefault="00D35714">
      <w:pPr>
        <w:spacing w:after="0"/>
        <w:ind w:firstLine="720"/>
        <w:jc w:val="both"/>
        <w:rPr>
          <w:rFonts w:eastAsia="Calibri" w:cs="Times New Roman"/>
          <w:szCs w:val="20"/>
          <w:lang w:eastAsia="hr-HR"/>
        </w:rPr>
      </w:pPr>
    </w:p>
    <w:p w:rsidRPr="00D35714" w:rsidR="00D35714" w:rsidP="00D35714" w:rsidRDefault="00D35714">
      <w:pPr>
        <w:spacing w:after="0"/>
        <w:ind w:firstLine="708"/>
        <w:jc w:val="both"/>
        <w:rPr>
          <w:rFonts w:eastAsia="Calibri" w:cs="Times New Roman"/>
          <w:szCs w:val="20"/>
          <w:lang w:eastAsia="hr-HR"/>
        </w:rPr>
      </w:pPr>
      <w:r w:rsidRPr="00D35714">
        <w:rPr>
          <w:rFonts w:eastAsia="Calibri" w:cs="Times New Roman"/>
          <w:szCs w:val="20"/>
          <w:lang w:eastAsia="hr-HR"/>
        </w:rPr>
        <w:t>Slijedom navedenog, valjalo je na temelju čl. 380. t. 2. ZPP-a, u vezi s čl. 10. SZ-a, odbiti žalbu kao neosnovanu  i potvrditi pobijano rješenje</w:t>
      </w:r>
    </w:p>
    <w:p w:rsidRPr="00D35714" w:rsidR="00D35714" w:rsidP="00D35714" w:rsidRDefault="00D35714">
      <w:pPr>
        <w:tabs>
          <w:tab w:val="left" w:pos="720"/>
          <w:tab w:val="left" w:pos="993"/>
        </w:tabs>
        <w:spacing w:after="0"/>
        <w:jc w:val="both"/>
        <w:rPr>
          <w:rFonts w:eastAsia="Calibri" w:cs="Times New Roman"/>
          <w:szCs w:val="20"/>
          <w:lang w:eastAsia="hr-HR"/>
        </w:rPr>
      </w:pPr>
      <w:r w:rsidRPr="00D35714">
        <w:rPr>
          <w:rFonts w:eastAsia="Calibri" w:cs="Times New Roman"/>
          <w:szCs w:val="20"/>
          <w:lang w:eastAsia="hr-HR"/>
        </w:rPr>
        <w:tab/>
      </w:r>
    </w:p>
    <w:p w:rsidRPr="00D35714" w:rsidR="00D35714" w:rsidP="00D35714" w:rsidRDefault="00D35714">
      <w:pPr>
        <w:spacing w:after="0"/>
        <w:jc w:val="center"/>
        <w:rPr>
          <w:rFonts w:eastAsia="Times New Roman" w:cs="Times New Roman"/>
          <w:szCs w:val="20"/>
        </w:rPr>
      </w:pPr>
      <w:r w:rsidRPr="00D35714">
        <w:rPr>
          <w:rFonts w:eastAsia="Times New Roman" w:cs="Times New Roman"/>
          <w:szCs w:val="20"/>
        </w:rPr>
        <w:t>Zagreb, 16. srpnja 2019.</w:t>
      </w:r>
    </w:p>
    <w:p w:rsidRPr="00D35714" w:rsidR="00D35714" w:rsidP="00D35714" w:rsidRDefault="00D35714">
      <w:pPr>
        <w:spacing w:after="0"/>
        <w:jc w:val="both"/>
        <w:rPr>
          <w:rFonts w:eastAsia="Times New Roman" w:cs="Times New Roman"/>
          <w:szCs w:val="20"/>
        </w:rPr>
      </w:pPr>
    </w:p>
    <w:p w:rsidR="00E62E30" w:rsidP="006F07E2" w:rsidRDefault="00E62E30">
      <w:pPr>
        <w:pStyle w:val="Bezproreda"/>
        <w:ind w:left="4536"/>
        <w:jc w:val="center"/>
      </w:pPr>
      <w:r>
        <w:t>Predsjednik vijeća</w:t>
      </w:r>
    </w:p>
    <w:p w:rsidR="00E62E30" w:rsidP="006F07E2" w:rsidRDefault="00E62E30">
      <w:pPr>
        <w:pStyle w:val="Bezproreda"/>
        <w:ind w:left="4536"/>
        <w:jc w:val="center"/>
      </w:pPr>
      <w:r>
        <w:t>Draženka Deladio, v. r.</w:t>
      </w:r>
    </w:p>
    <w:p w:rsidR="00E62E30" w:rsidP="00450CBF" w:rsidRDefault="00E62E30">
      <w:pPr>
        <w:pStyle w:val="Bezproreda"/>
      </w:pPr>
    </w:p>
    <w:p w:rsidR="00E62E30" w:rsidP="00E62E30" w:rsidRDefault="00E62E30">
      <w:pPr>
        <w:pStyle w:val="Bezproreda"/>
        <w:ind w:left="4536"/>
        <w:jc w:val="center"/>
      </w:pPr>
      <w:r>
        <w:t>Za točnost otpravka – ovlašteni službenik</w:t>
      </w:r>
    </w:p>
    <w:p w:rsidRPr="00E62E30" w:rsidR="00D35714" w:rsidP="00E62E30" w:rsidRDefault="00E62E30">
      <w:pPr>
        <w:pStyle w:val="Bezproreda"/>
        <w:ind w:left="4536"/>
        <w:jc w:val="center"/>
      </w:pPr>
      <w:r>
        <w:t>Brankica Curman</w:t>
      </w:r>
    </w:p>
    <w:p w:rsidRPr="00D35714" w:rsidR="00D35714" w:rsidP="00D35714" w:rsidRDefault="00D35714">
      <w:pPr>
        <w:spacing w:after="0"/>
        <w:jc w:val="both"/>
        <w:rPr>
          <w:rFonts w:eastAsia="Calibri" w:cs="Times New Roman"/>
          <w:szCs w:val="20"/>
          <w:lang w:eastAsia="hr-HR"/>
        </w:rPr>
      </w:pPr>
    </w:p>
    <w:p w:rsidRPr="0020453E" w:rsidR="00D35714" w:rsidP="00D35714" w:rsidRDefault="00D35714">
      <w:pPr>
        <w:spacing w:after="0"/>
      </w:pPr>
    </w:p>
    <w:sectPr w:rsidRPr="0020453E" w:rsidR="00D35714" w:rsidSect="003717A6">
      <w:headerReference w:type="default" r:id="rId11"/>
      <w:footerReference w:type="default" r:id="rId12"/>
      <w:pgSz w:w="11907" w:h="16839" w:code="9"/>
      <w:pgMar w:top="1418" w:right="1418" w:bottom="1080" w:left="1418" w:header="1436" w:footer="719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518D4" w:rsidP="00537B78" w:rsidRDefault="00C518D4">
      <w:r>
        <w:separator/>
      </w:r>
    </w:p>
  </w:endnote>
  <w:endnote w:type="continuationSeparator" w:id="0">
    <w:p w:rsidR="00C518D4" w:rsidP="00537B78" w:rsidRDefault="00C518D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170492" w:rsidRDefault="006C43C5">
    <w:pPr>
      <w:pStyle w:val="Stranica"/>
      <w:jc w:val="left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518D4" w:rsidP="00537B78" w:rsidRDefault="00C518D4">
      <w:r>
        <w:separator/>
      </w:r>
    </w:p>
  </w:footnote>
  <w:footnote w:type="continuationSeparator" w:id="0">
    <w:p w:rsidR="00C518D4" w:rsidP="00537B78" w:rsidRDefault="00C518D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="00170492" w:rsidP="004C60ED" w:rsidRDefault="00170492">
        <w:pPr>
          <w:pStyle w:val="HeadereSPIS"/>
        </w:pPr>
        <w:r w:rsidRPr="00C92375">
          <w:rPr>
            <w:rStyle w:val="PozadinaSvijetloCrvena"/>
            <w:noProof w:val="false"/>
            <w:shd w:val="clear" w:color="auto" w:fill="auto"/>
          </w:rPr>
          <w:t>Poslovni</w:t>
        </w:r>
        <w:r w:rsidRPr="001C4583">
          <w:rPr>
            <w:rStyle w:val="PozadinaSvijetloCrvena"/>
            <w:shd w:val="clear" w:color="auto" w:fill="auto"/>
          </w:rPr>
          <w:t xml:space="preserve"> broj:</w:t>
        </w:r>
        <w:r w:rsidR="006805A7"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xpath="/icms/DomainObject.Predmet.Referada.Oznaka/derivirana_varijabla[@naziv='DomainObject.Predmet.Referada.Oznaka_1']" w:storeItemID="{100293BC-3C9C-4740-99C7-73F5E9006100}"/>
            <w:text/>
          </w:sdtPr>
          <w:sdtEndPr>
            <w:rPr>
              <w:rStyle w:val="eSPISCCParagraphDefaultFont"/>
            </w:rPr>
          </w:sdtEndPr>
          <w:sdtContent>
            <w:r w:rsidRPr="006D09FC" w:rsidR="00D35714">
              <w:rPr>
                <w:rStyle w:val="eSPISCCParagraphDefaultFont"/>
              </w:rPr>
              <w:t>52</w:t>
            </w:r>
          </w:sdtContent>
        </w:sdt>
        <w:r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xpath="/icms/DomainObject.PoslovniBrojDokumenta/derivirana_varijabla[@naziv='DomainObject.PoslovniBrojDokumenta_1']" w:storeItemID="{100293BC-3C9C-4740-99C7-73F5E9006100}"/>
            <w:text/>
          </w:sdtPr>
          <w:sdtEndPr>
            <w:rPr>
              <w:rStyle w:val="eSPISCCParagraphDefaultFont"/>
            </w:rPr>
          </w:sdtEndPr>
          <w:sdtContent>
            <w:r w:rsidRPr="006D09FC" w:rsidR="00D35714">
              <w:rPr>
                <w:rStyle w:val="eSPISCCParagraphDefaultFont"/>
              </w:rPr>
              <w:t>Pž-2277/2019-4</w:t>
            </w:r>
          </w:sdtContent>
        </w:sdt>
      </w:p>
      <w:p w:rsidR="00170492" w:rsidP="00170492" w:rsidRDefault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9FC">
          <w:t>2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dit="readOnly" w:enforcement="false"/>
  <w:defaultTabStop w:val="709"/>
  <w:hyphenationZone w:val="425"/>
  <w:doNotHyphenateCaps/>
  <w:characterSpacingControl w:val="doNotCompress"/>
  <w:savePreviewPicture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17D32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4BBD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09FC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39D9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B767C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5714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2E30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type="character" w:styleId="Stil1" w:customStyle="true">
    <w:name w:val="Stil1"/>
    <w:basedOn w:val="Zadanifontodlomka"/>
    <w:uiPriority w:val="1"/>
    <w:rsid w:val="00683B51"/>
    <w:rPr>
      <w:bdr w:val="none" w:color="auto" w:sz="0" w:space="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842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013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="00F71AFA" w:rsidP="000714FB" w:rsidRDefault="000714FB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="00F71AFA" w:rsidP="00C4409E" w:rsidRDefault="00C4409E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="00F71AFA" w:rsidP="000714FB" w:rsidRDefault="000714FB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="00F71AFA" w:rsidP="000714FB" w:rsidRDefault="000714FB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="00F71AFA" w:rsidP="000714FB" w:rsidRDefault="000714FB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="00F71AFA" w:rsidP="000714FB" w:rsidRDefault="000714FB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855D0C"/>
    <w:rsid w:val="0085783F"/>
    <w:rsid w:val="008B1279"/>
    <w:rsid w:val="008C5622"/>
    <w:rsid w:val="008E597B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714FB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B0CD4C336F954CDDB99272B08CB277BE" w:customStyle="true">
    <w:name w:val="B0CD4C336F954CDDB99272B08CB277BE"/>
  </w:style>
  <w:style w:type="paragraph" w:styleId="B10D299FF6B04F2980CA59984DD52830" w:customStyle="true">
    <w:name w:val="B10D299FF6B04F2980CA59984DD52830"/>
  </w:style>
  <w:style w:type="paragraph" w:styleId="070491135C7343F8B899B1E5528B5496" w:customStyle="true">
    <w:name w:val="070491135C7343F8B899B1E5528B5496"/>
  </w:style>
  <w:style w:type="paragraph" w:styleId="A2D3AB132FE44C9A804CB0BCE27CB1E8" w:customStyle="true">
    <w:name w:val="A2D3AB132FE44C9A804CB0BCE27CB1E8"/>
  </w:style>
  <w:style w:type="paragraph" w:styleId="67A439E68AF14DC6B7801868564B8225" w:customStyle="true">
    <w:name w:val="67A439E68AF14DC6B7801868564B8225"/>
  </w:style>
  <w:style w:type="paragraph" w:styleId="3893AC13EACA41EDB7C01A448C02A806" w:customStyle="true">
    <w:name w:val="3893AC13EACA41EDB7C01A448C02A806"/>
  </w:style>
  <w:style w:type="paragraph" w:styleId="E9711A8715A34F56AC129391156FDBFB" w:customStyle="true">
    <w:name w:val="E9711A8715A34F56AC129391156FDBFB"/>
  </w:style>
  <w:style w:type="paragraph" w:styleId="74CF45AFD5914477BC863F90DDE40AD1" w:customStyle="true">
    <w:name w:val="74CF45AFD5914477BC863F90DDE40AD1"/>
  </w:style>
  <w:style w:type="paragraph" w:styleId="AD1EE1A2E499453BA7117B7D7B2A6EDB" w:customStyle="true">
    <w:name w:val="AD1EE1A2E499453BA7117B7D7B2A6EDB"/>
  </w:style>
  <w:style w:type="paragraph" w:styleId="BB78A3202184471A856E1C1148D0FE39" w:customStyle="true">
    <w:name w:val="BB78A3202184471A856E1C1148D0FE39"/>
  </w:style>
  <w:style w:type="paragraph" w:styleId="BA562036727348ADAF95C3E6F1785AAD" w:customStyle="true">
    <w:name w:val="BA562036727348ADAF95C3E6F1785AAD"/>
  </w:style>
  <w:style w:type="paragraph" w:styleId="7327DC5479084347B4A62AC2797ECBDD" w:customStyle="true">
    <w:name w:val="7327DC5479084347B4A62AC2797ECBDD"/>
  </w:style>
  <w:style w:type="paragraph" w:styleId="BE633DF1719A4F7F9FC93FF7AC0B8AB8" w:customStyle="true">
    <w:name w:val="BE633DF1719A4F7F9FC93FF7AC0B8AB8"/>
    <w:rsid w:val="00C4409E"/>
  </w:style>
  <w:style w:type="paragraph" w:styleId="28EBA36691C148D6A5A2E6A907A2C366" w:customStyle="true">
    <w:name w:val="28EBA36691C148D6A5A2E6A907A2C366"/>
    <w:rsid w:val="00C4409E"/>
  </w:style>
  <w:style w:type="paragraph" w:styleId="0A3BF5C17DE948178EF6D64909A97797" w:customStyle="true">
    <w:name w:val="0A3BF5C17DE948178EF6D64909A97797"/>
    <w:rsid w:val="00C4409E"/>
  </w:style>
  <w:style w:type="paragraph" w:styleId="A5EDB863C2F640369A45094957B356D9" w:customStyle="true">
    <w:name w:val="A5EDB863C2F640369A45094957B356D9"/>
    <w:rsid w:val="00C4409E"/>
  </w:style>
  <w:style w:type="paragraph" w:styleId="797F028671094211A6375963200B3D17" w:customStyle="true">
    <w:name w:val="797F028671094211A6375963200B3D17"/>
    <w:rsid w:val="00C4409E"/>
  </w:style>
  <w:style w:type="paragraph" w:styleId="01AED7AAFE7A4DD7B63BD3291BC8DE21" w:customStyle="true">
    <w:name w:val="01AED7AAFE7A4DD7B63BD3291BC8DE21"/>
    <w:rsid w:val="00C4409E"/>
  </w:style>
  <w:style w:type="paragraph" w:styleId="8E889B82CA684C09A4EBEE999BCF3BD4" w:customStyle="true">
    <w:name w:val="8E889B82CA684C09A4EBEE999BCF3BD4"/>
    <w:rsid w:val="00C4409E"/>
  </w:style>
  <w:style w:type="paragraph" w:styleId="B10D299FF6B04F2980CA59984DD528301" w:customStyle="true">
    <w:name w:val="B10D299FF6B04F2980CA59984DD528301"/>
    <w:rsid w:val="00201BA8"/>
    <w:pPr>
      <w:spacing w:after="0" w:line="240" w:lineRule="auto"/>
    </w:pPr>
    <w:rPr>
      <w:rFonts w:ascii="Times New Roman" w:hAnsi="Times New Roman" w:eastAsiaTheme="minorHAnsi"/>
      <w:b/>
      <w:noProof/>
      <w:sz w:val="24"/>
      <w:szCs w:val="24"/>
      <w:lang w:eastAsia="en-US"/>
    </w:rPr>
  </w:style>
  <w:style w:type="paragraph" w:styleId="A5EDB863C2F640369A45094957B356D91" w:customStyle="true">
    <w:name w:val="A5EDB863C2F640369A45094957B356D9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797F028671094211A6375963200B3D171" w:customStyle="true">
    <w:name w:val="797F028671094211A6375963200B3D17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01AED7AAFE7A4DD7B63BD3291BC8DE211" w:customStyle="true">
    <w:name w:val="01AED7AAFE7A4DD7B63BD3291BC8DE211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8E889B82CA684C09A4EBEE999BCF3BD41" w:customStyle="true">
    <w:name w:val="8E889B82CA684C09A4EBEE999BCF3BD41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7F40C0097BA249BC9A5FE9CB01777649" w:customStyle="true">
    <w:name w:val="7F40C0097BA249BC9A5FE9CB01777649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55D09C916B014103813FC3AEB1980F99" w:customStyle="true">
    <w:name w:val="55D09C916B014103813FC3AEB1980F99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B10D299FF6B04F2980CA59984DD528302" w:customStyle="true">
    <w:name w:val="B10D299FF6B04F2980CA59984DD528302"/>
    <w:rsid w:val="000714FB"/>
    <w:pPr>
      <w:spacing w:after="0" w:line="240" w:lineRule="auto"/>
    </w:pPr>
    <w:rPr>
      <w:rFonts w:ascii="Times New Roman" w:hAnsi="Times New Roman" w:eastAsiaTheme="minorHAnsi"/>
      <w:b/>
      <w:noProof/>
      <w:sz w:val="24"/>
      <w:szCs w:val="24"/>
      <w:lang w:eastAsia="en-US"/>
    </w:rPr>
  </w:style>
  <w:style w:type="paragraph" w:styleId="A5EDB863C2F640369A45094957B356D92" w:customStyle="true">
    <w:name w:val="A5EDB863C2F640369A45094957B356D9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797F028671094211A6375963200B3D172" w:customStyle="true">
    <w:name w:val="797F028671094211A6375963200B3D17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01AED7AAFE7A4DD7B63BD3291BC8DE212" w:customStyle="true">
    <w:name w:val="01AED7AAFE7A4DD7B63BD3291BC8DE21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8E889B82CA684C09A4EBEE999BCF3BD42" w:customStyle="true">
    <w:name w:val="8E889B82CA684C09A4EBEE999BCF3BD4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50E210BC598946C59CC45DC66EE147E1" w:customStyle="true">
    <w:name w:val="50E210BC598946C59CC45DC66EE147E1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E100744690C94E8496AF6717CFF0F122" w:customStyle="true">
    <w:name w:val="E100744690C94E8496AF6717CFF0F12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Pž-2277/2019-4</izvorni_sadrzaj>
    <derivirana_varijabla naziv="DomainObject.Oznaka_1">Pž-2277/2019-4</derivirana_varijabla>
  </DomainObject.Oznaka>
  <DomainObject.DonositeljOdluke.Ime>
    <izvorni_sadrzaj>Raoul</izvorni_sadrzaj>
    <derivirana_varijabla naziv="DomainObject.DonositeljOdluke.Ime_1">Raoul</derivirana_varijabla>
  </DomainObject.DonositeljOdluke.Ime>
  <DomainObject.DonositeljOdluke.Prezime>
    <izvorni_sadrzaj>Dubravec</izvorni_sadrzaj>
    <derivirana_varijabla naziv="DomainObject.DonositeljOdluke.Prezime_1">Dubravec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2277</izvorni_sadrzaj>
    <derivirana_varijabla naziv="DomainObject.Predmet.Broj_1">2277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2019.</izvorni_sadrzaj>
    <derivirana_varijabla naziv="DomainObject.Predmet.DatumOsnivanja_1">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2019.</izvorni_sadrzaj>
    <derivirana_varijabla naziv="DomainObject.Predmet.DatumRjesavanja_1">18.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Pž-2277/2019</izvorni_sadrzaj>
    <derivirana_varijabla naziv="DomainObject.Predmet.OznakaBroj_1">Pž-2277/2019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Raoul</izvorni_sadrzaj>
    <derivirana_varijabla naziv="DomainObject.Predmet.PredmetRijesio.Ime_1">Raoul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Dubravec</izvorni_sadrzaj>
    <derivirana_varijabla naziv="DomainObject.Predmet.PredmetRijesio.Prezime_1">Dubravec</derivirana_varijabla>
  </DomainObject.Predmet.PredmetRijesio.Prezime>
  <DomainObject.Predmet.PrimjedbaSuca>
    <izvorni_sadrzaj>roč. na I. stupnju: 31.5.19.
rem.dop., ev. 17.5.19. Šimić</izvorni_sadrzaj>
    <derivirana_varijabla naziv="DomainObject.Predmet.PrimjedbaSuca_1">roč. na I. stupnju: 31.5.19.
rem.dop., ev. 17.5.19. Šimić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BESTIOLA d.o.o. za usluge u stečaju</izvorni_sadrzaj>
    <derivirana_varijabla naziv="DomainObject.Predmet.ProtustrankaFormated_1">  BESTIOLA d.o.o. za usluge u stečaju</derivirana_varijabla>
  </DomainObject.Predmet.ProtustrankaFormated>
  <DomainObject.Predmet.ProtustrankaFormatedOIB>
    <izvorni_sadrzaj>  BESTIOLA d.o.o. za usluge u stečaju, OIB 52618402674</izvorni_sadrzaj>
    <derivirana_varijabla naziv="DomainObject.Predmet.ProtustrankaFormatedOIB_1">  BESTIOLA d.o.o. za usluge u stečaju, OIB 52618402674</derivirana_varijabla>
  </DomainObject.Predmet.ProtustrankaFormatedOIB>
  <DomainObject.Predmet.ProtustrankaFormatedWithAdress>
    <izvorni_sadrzaj> BESTIOLA d.o.o. za usluge u stečaju, Put Pocelja 1, 21253 Gata</izvorni_sadrzaj>
    <derivirana_varijabla naziv="DomainObject.Predmet.ProtustrankaFormatedWithAdress_1"> BESTIOLA d.o.o. za usluge u stečaju, Put Pocelja 1, 21253 Gata</derivirana_varijabla>
  </DomainObject.Predmet.ProtustrankaFormatedWithAdress>
  <DomainObject.Predmet.ProtustrankaFormatedWithAdressOIB>
    <izvorni_sadrzaj> BESTIOLA d.o.o. za usluge u stečaju, OIB 52618402674, Put Pocelja 1, 21253 Gata</izvorni_sadrzaj>
    <derivirana_varijabla naziv="DomainObject.Predmet.ProtustrankaFormatedWithAdressOIB_1"> BESTIOLA d.o.o. za usluge u stečaju, OIB 52618402674, Put Pocelja 1, 21253 Gata</derivirana_varijabla>
  </DomainObject.Predmet.ProtustrankaFormatedWithAdressOIB>
  <DomainObject.Predmet.ProtustrankaWithAdress>
    <izvorni_sadrzaj>BESTIOLA d.o.o. za usluge u stečaju Put Pocelja 1, 21253 Gata</izvorni_sadrzaj>
    <derivirana_varijabla naziv="DomainObject.Predmet.ProtustrankaWithAdress_1">BESTIOLA d.o.o. za usluge u stečaju Put Pocelja 1, 21253 Gata</derivirana_varijabla>
  </DomainObject.Predmet.ProtustrankaWithAdress>
  <DomainObject.Predmet.ProtustrankaWithAdressOIB>
    <izvorni_sadrzaj>BESTIOLA d.o.o. za usluge u stečaju, OIB 52618402674, Put Pocelja 1, 21253 Gata</izvorni_sadrzaj>
    <derivirana_varijabla naziv="DomainObject.Predmet.ProtustrankaWithAdressOIB_1">BESTIOLA d.o.o. za usluge u stečaju, OIB 52618402674, Put Pocelja 1, 21253 Gata</derivirana_varijabla>
  </DomainObject.Predmet.ProtustrankaWithAdressOIB>
  <DomainObject.Predmet.ProtustrankaNazivFormated>
    <izvorni_sadrzaj>BESTIOLA d.o.o. za usluge u stečaju</izvorni_sadrzaj>
    <derivirana_varijabla naziv="DomainObject.Predmet.ProtustrankaNazivFormated_1">BESTIOLA d.o.o. za usluge u stečaju</derivirana_varijabla>
    <derivirana_varijabla naziv="Padez">BESTIOLA d.o.o. za usluge u stečaju</derivirana_varijabla>
  </DomainObject.Predmet.ProtustrankaNazivFormated>
  <DomainObject.Predmet.ProtustrankaNazivFormatedOIB>
    <izvorni_sadrzaj>BESTIOLA d.o.o. za usluge u stečaju, OIB 52618402674</izvorni_sadrzaj>
    <derivirana_varijabla naziv="DomainObject.Predmet.ProtustrankaNazivFormatedOIB_1">BESTIOLA d.o.o. za usluge u stečaju, OIB 52618402674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52 - Dubravec</izvorni_sadrzaj>
    <derivirana_varijabla naziv="DomainObject.Predmet.Referada.Naziv_1">Ref. 52 - Dubravec</derivirana_varijabla>
  </DomainObject.Predmet.Referada.Naziv>
  <DomainObject.Predmet.Referada.Oznaka>
    <izvorni_sadrzaj>52</izvorni_sadrzaj>
    <derivirana_varijabla naziv="DomainObject.Predmet.Referada.Oznaka_1">52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Raoul Dubravec</izvorni_sadrzaj>
    <derivirana_varijabla naziv="DomainObject.Predmet.Referada.Sudac_1">Raoul Dubravec</derivirana_varijabla>
    <derivirana_varijabla naziv="Dativ">Raoul Dubravec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Darinka Čusak</izvorni_sadrzaj>
    <derivirana_varijabla naziv="DomainObject.Predmet.Zapisnicar_1">Darinka Čusak</derivirana_varijabla>
    <derivirana_varijabla naziv="Padez">Darinka Čusak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BESTIOLA d.o.o. za usluge u stečaju</item>
    </izvorni_sadrzaj>
    <derivirana_varijabla naziv="DomainObject.Predmet.ProtuStrankaListFormated_1">
      <item>BESTIOLA d.o.o. za usluge u stečaju</item>
    </derivirana_varijabla>
  </DomainObject.Predmet.ProtuStrankaListFormated>
  <DomainObject.Predmet.ProtuStrankaListFormatedOIB>
    <izvorni_sadrzaj>
      <item>BESTIOLA d.o.o. za usluge u stečaju, OIB 52618402674</item>
    </izvorni_sadrzaj>
    <derivirana_varijabla naziv="DomainObject.Predmet.ProtuStrankaListFormatedOIB_1">
      <item>BESTIOLA d.o.o. za usluge u stečaju, OIB 52618402674</item>
    </derivirana_varijabla>
  </DomainObject.Predmet.ProtuStrankaListFormatedOIB>
  <DomainObject.Predmet.ProtuStrankaListFormatedWithAdress>
    <izvorni_sadrzaj>
      <item>BESTIOLA d.o.o. za usluge u stečaju, Put Pocelja 1, 21253 Gata</item>
    </izvorni_sadrzaj>
    <derivirana_varijabla naziv="DomainObject.Predmet.ProtuStrankaListFormatedWithAdress_1">
      <item>BESTIOLA d.o.o. za usluge u stečaju, Put Pocelja 1, 21253 Gata</item>
    </derivirana_varijabla>
  </DomainObject.Predmet.ProtuStrankaListFormatedWithAdress>
  <DomainObject.Predmet.ProtuStrankaListFormatedWithAdressOIB>
    <izvorni_sadrzaj>
      <item>BESTIOLA d.o.o. za usluge u stečaju, OIB 52618402674, Put Pocelja 1, 21253 Gata</item>
    </izvorni_sadrzaj>
    <derivirana_varijabla naziv="DomainObject.Predmet.ProtuStrankaListFormatedWithAdressOIB_1">
      <item>BESTIOLA d.o.o. za usluge u stečaju, OIB 52618402674, Put Pocelja 1, 21253 Gata</item>
    </derivirana_varijabla>
  </DomainObject.Predmet.ProtuStrankaListFormatedWithAdressOIB>
  <DomainObject.Predmet.ProtuStrankaListNazivFormated>
    <izvorni_sadrzaj>
      <item>BESTIOLA d.o.o. za usluge u stečaju</item>
    </izvorni_sadrzaj>
    <derivirana_varijabla naziv="DomainObject.Predmet.ProtuStrankaListNazivFormated_1">
      <item>BESTIOLA d.o.o. za usluge u stečaju</item>
    </derivirana_varijabla>
  </DomainObject.Predmet.ProtuStrankaListNazivFormated>
  <DomainObject.Predmet.ProtuStrankaListNazivFormatedOIB>
    <izvorni_sadrzaj>
      <item>BESTIOLA d.o.o. za usluge u stečaju, OIB 52618402674</item>
    </izvorni_sadrzaj>
    <derivirana_varijabla naziv="DomainObject.Predmet.ProtuStrankaListNazivFormatedOIB_1">
      <item>BESTIOLA d.o.o. za usluge u stečaju, OIB 52618402674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>Pž-2277/2019-4</izvorni_sadrzaj>
    <derivirana_varijabla naziv="DomainObject.PoslovniBrojDokumenta_1">Pž-2277/2019-4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BESTIOLA d.o.o. za usluge u stečaju</izvorni_sadrzaj>
    <derivirana_varijabla naziv="DomainObject.Predmet.ProtustrankaIDrugi_1">BESTIOLA d.o.o. za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BESTIOLA d.o.o. za usluge u stečaju, OIB 52618402674, Put Pocelja 1, 21253 Gata</izvorni_sadrzaj>
    <derivirana_varijabla naziv="DomainObject.Predmet.ProtustrankaIDrugiAdressOIB_1">BESTIOLA d.o.o. za usluge u stečaju, OIB 52618402674, Put Pocelja 1, 21253 Gata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srpnja 2019.</izvorni_sadrzaj>
    <derivirana_varijabla naziv="DomainObject.Predmet.OdlukaRjesenje.DatumDonosenjaOdluke_1">16. srpnja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Pž-2277/2019-4</izvorni_sadrzaj>
    <derivirana_varijabla naziv="DomainObject.Predmet.OdlukaRjesenje.Oznaka_1">Pž-2277/2019-4</derivirana_varijabla>
  </DomainObject.Predmet.OdlukaRjesenje.Oznaka>
  <DomainObject.Predmet.SudioniciListNaziv>
    <izvorni_sadrzaj>
      <item>BESTIOLA d.o.o. za usluge u stečaju</item>
    </izvorni_sadrzaj>
    <derivirana_varijabla naziv="DomainObject.Predmet.SudioniciListNaziv_1">
      <item>BESTIOLA d.o.o. za usluge u stečaju</item>
    </derivirana_varijabla>
    <derivirana_varijabla naziv="OstaliSudionici">
      <item>BESTIOLA d.o.o. za usluge u stečaju</item>
    </derivirana_varijabla>
  </DomainObject.Predmet.SudioniciListNaziv>
  <DomainObject.Predmet.SudioniciListAdressOIB>
    <izvorni_sadrzaj>
      <item>BESTIOLA d.o.o. za usluge u stečaju, OIB 52618402674, Put Pocelja 1,21253 Gata</item>
    </izvorni_sadrzaj>
    <derivirana_varijabla naziv="DomainObject.Predmet.SudioniciListAdressOIB_1">
      <item>BESTIOLA d.o.o. za usluge u stečaju, OIB 52618402674, Put Pocelja 1,21253 Gata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52618402674</item>
    </izvorni_sadrzaj>
    <derivirana_varijabla naziv="DomainObject.Predmet.SudioniciListNazivOIB_1">
      <item>, OIB 52618402674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St-998/2017</izvorni_sadrzaj>
    <derivirana_varijabla naziv="DomainObject.Predmet.OznakaNizestupanjskogPredmeta_1">St-998/2017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52845-213A-4DE4-8607-D494308E9A4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626</properties:Words>
  <properties:Characters>3530</properties:Characters>
  <properties:Lines>86</properties:Lines>
  <properties:Paragraphs>23</properties:Paragraphs>
  <properties:TotalTime>178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4157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Marija Omazić</cp:lastModifiedBy>
  <cp:lastPrinted>2019-07-19T06:44:00Z</cp:lastPrinted>
  <dcterms:modified xmlns:xsi="http://www.w3.org/2001/XMLSchema-instance" xsi:type="dcterms:W3CDTF">2019-07-31T09:52:00Z</dcterms:modified>
  <cp:revision>28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Podnesak - Rješenje - odbijena žalba kao neosnovana - potvrđeno rješenje 1.st. (2277_19_stečaj_otvara+.docx)</vt:lpwstr>
  </prop:property>
  <prop:property fmtid="{D5CDD505-2E9C-101B-9397-08002B2CF9AE}" pid="6" name="Predlozak_id">
    <vt:lpwstr>1000000655</vt:lpwstr>
  </prop:property>
  <prop:property fmtid="{D5CDD505-2E9C-101B-9397-08002B2CF9AE}" pid="7" name="Predlozak_oznaka">
    <vt:lpwstr>VTSRH-memorandum2018</vt:lpwstr>
  </prop:property>
  <prop:property fmtid="{D5CDD505-2E9C-101B-9397-08002B2CF9AE}" pid="8" name="Predlozak_naziv">
    <vt:lpwstr>VTSRH - memorandum 2018 s grbom, dopis, presuda, rješenje s poslovnim brojem </vt:lpwstr>
  </prop:property>
</prop:Properties>
</file>