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6b19d" w14:paraId="1a6b19d" w:rsidRDefault="00AC0D0C" w:rsidP="00AC0D0C" w:rsidR="00AC0D0C">
      <w:pPr>
        <w15:collapsed w:val="false"/>
        <w:rPr>
          <w:sz w:val="20"/>
        </w:rPr>
      </w:pPr>
      <w:bookmarkStart w:name="_GoBack" w:id="0"/>
      <w:bookmarkEnd w:id="0"/>
      <w:r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margin">
              <wp:posOffset>960755</wp:posOffset>
            </wp:positionH>
            <wp:positionV relativeFrom="margin">
              <wp:posOffset>-412115</wp:posOffset>
            </wp:positionV>
            <wp:extent cy="600075" cx="476250"/>
            <wp:effectExtent b="9525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0075" cx="476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pPr w:tblpY="315" w:horzAnchor="margin" w:rightFromText="180" w:leftFromText="180"/>
        <w:tblW w:type="auto" w:w="0"/>
        <w:tblLook w:val="04A0" w:noVBand="1" w:noHBand="0" w:lastColumn="0" w:firstColumn="1" w:lastRow="0" w:firstRow="1"/>
      </w:tblPr>
      <w:tblGrid>
        <w:gridCol w:w="4077"/>
      </w:tblGrid>
      <w:tr w:rsidTr="00AC0D0C" w:rsidR="00AC0D0C">
        <w:tc>
          <w:tcPr>
            <w:tcW w:type="dxa" w:w="4077"/>
            <w:hideMark/>
          </w:tcPr>
          <w:p w:rsidRDefault="00AC0D0C" w:rsidR="00AC0D0C">
            <w:pPr>
              <w:spacing w:before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REPUBLIKA HRVATSKA</w:t>
            </w:r>
          </w:p>
          <w:p w:rsidRDefault="00AC0D0C" w:rsidR="00AC0D0C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VRHOVNI SUD REPUBLIKE HRVATSKE</w:t>
            </w:r>
          </w:p>
          <w:p w:rsidRDefault="00AC0D0C" w:rsidR="00AC0D0C">
            <w:pPr>
              <w:jc w:val="center"/>
            </w:pPr>
            <w:r>
              <w:rPr>
                <w:b/>
                <w:sz w:val="20"/>
              </w:rPr>
              <w:t>Z A G R E B</w:t>
            </w:r>
          </w:p>
        </w:tc>
      </w:tr>
    </w:tbl>
    <w:p w:rsidRDefault="00AC0D0C" w:rsidP="00AC0D0C" w:rsidR="00AC0D0C">
      <w:pPr>
        <w:rPr>
          <w:sz w:val="20"/>
        </w:rPr>
      </w:pPr>
    </w:p>
    <w:p w:rsidRDefault="00AC0D0C" w:rsidP="00AC0D0C" w:rsidR="00AC0D0C">
      <w:pPr>
        <w:rPr>
          <w:sz w:val="20"/>
        </w:rPr>
      </w:pPr>
    </w:p>
    <w:p w:rsidRDefault="00AC0D0C" w:rsidP="00AC0D0C" w:rsidR="00AC0D0C">
      <w:pPr>
        <w:rPr>
          <w:sz w:val="20"/>
        </w:rPr>
      </w:pPr>
    </w:p>
    <w:p w:rsidRDefault="00AC0D0C" w:rsidP="00AC0D0C" w:rsidR="00AC0D0C">
      <w:pPr>
        <w:rPr>
          <w:sz w:val="20"/>
        </w:rPr>
      </w:pPr>
    </w:p>
    <w:p w:rsidRDefault="00AC0D0C" w:rsidP="00AC0D0C" w:rsidR="00AC0D0C">
      <w:pPr>
        <w:rPr>
          <w:sz w:val="20"/>
        </w:rPr>
      </w:pPr>
    </w:p>
    <w:p w:rsidRDefault="00AC0D0C" w:rsidP="00AC0D0C" w:rsidR="00AC0D0C">
      <w:pPr>
        <w:jc w:val="right"/>
      </w:pPr>
      <w:r>
        <w:t xml:space="preserve">Broj: </w:t>
      </w:r>
      <w:bookmarkStart w:name="Broj" w:id="1"/>
      <w:bookmarkEnd w:id="1"/>
      <w:r>
        <w:t>Rev 1455/2019-2</w:t>
      </w:r>
    </w:p>
    <w:p w:rsidRDefault="00AC0D0C" w:rsidP="00AC0D0C" w:rsidR="00AC0D0C">
      <w:pPr>
        <w:jc w:val="right"/>
      </w:pPr>
    </w:p>
    <w:p w:rsidRDefault="00AC0D0C" w:rsidP="00AC0D0C" w:rsidR="00AC0D0C">
      <w:pPr>
        <w:jc w:val="right"/>
      </w:pPr>
    </w:p>
    <w:p w:rsidRDefault="00AC0D0C" w:rsidP="00AC0D0C" w:rsidR="00AC0D0C">
      <w:pPr>
        <w:jc w:val="right"/>
      </w:pPr>
    </w:p>
    <w:p w:rsidRDefault="00AC0D0C" w:rsidP="00AC0D0C" w:rsidR="00AC0D0C">
      <w:pPr>
        <w:spacing w:lineRule="auto" w:line="360"/>
        <w:jc w:val="center"/>
      </w:pPr>
      <w:bookmarkStart w:name="Naslov" w:id="2"/>
      <w:bookmarkEnd w:id="2"/>
      <w:r>
        <w:t>U   I M E   R E P U B L I K E   H R V A T S K E</w:t>
      </w:r>
    </w:p>
    <w:p w:rsidRDefault="00AC0D0C" w:rsidP="00AC0D0C" w:rsidR="00AC0D0C">
      <w:pPr>
        <w:spacing w:lineRule="auto" w:line="360"/>
        <w:jc w:val="center"/>
      </w:pPr>
      <w:r>
        <w:t>R J E Š E N J E</w:t>
      </w:r>
    </w:p>
    <w:p w:rsidRDefault="00AC0D0C" w:rsidP="00AC0D0C" w:rsidR="00AC0D0C">
      <w:pPr>
        <w:spacing w:lineRule="auto" w:line="360"/>
        <w:jc w:val="center"/>
      </w:pPr>
    </w:p>
    <w:p w:rsidRDefault="00AC0D0C" w:rsidP="00AC0D0C" w:rsidR="00AC0D0C">
      <w:pPr>
        <w:ind w:firstLine="720"/>
      </w:pPr>
      <w:bookmarkStart w:name="Pocetak" w:id="3"/>
      <w:bookmarkEnd w:id="3"/>
      <w:r>
        <w:t>Vrhovni sud Republike Hrvatske u vijeću sastavljenom od sudaca Gordane Jalšovečki predsjednice vijeća, dr. sc. Jadranka Juga člana vijeća i suca izvjestitelja, Damira Kontreca člana vijeća, Ivana Mikšića člana vijeća i Goranke Barać-Ručević članice vijeća, u stečajnom postupku nad dužnikom HANNAH&amp;SAMUEL d.o.o. za trgovinu i usluge, Turistička agencija Zagreb, Tkalčićeva 7/II, OIB: 89690016660, odlučujući o reviziji zastupnika po zakonu stečajnog dužnika do dana nastupanja pravnih posljedica otvaranja stečajnog postupka, JI WON CHOI iz Zagreba, Kalinovica 8, OIB: 91901733344, zastupanog po punomoćniku Krešimiru Loboji, odvjetniku u Zagrebu, odlučujući o reviziji zastupnika po zakonu stečajnog dužnika protiv rješenja Visokog trgovačkog suda Republike Hrvatske broj Pž-5797/2018-4 od 23. siječnja 2019., kojim je potvrđeno rješenje Trgovačkog suda u Bjelovaru broj St-213/2018-7 od 13. srpnja 2018., u sjednici održanoj 16. travnja 2019.,</w:t>
      </w:r>
    </w:p>
    <w:p w:rsidRDefault="00AC0D0C" w:rsidP="00AC0D0C" w:rsidR="00AC0D0C"/>
    <w:p w:rsidRDefault="00AC0D0C" w:rsidP="00AC0D0C" w:rsidR="00AC0D0C"/>
    <w:p w:rsidRDefault="00AC0D0C" w:rsidP="00AC0D0C" w:rsidR="00AC0D0C">
      <w:pPr>
        <w:jc w:val="center"/>
      </w:pPr>
      <w:r>
        <w:t>r i j e š i o   j e:</w:t>
      </w:r>
    </w:p>
    <w:p w:rsidRDefault="00AC0D0C" w:rsidP="00AC0D0C" w:rsidR="00AC0D0C"/>
    <w:p w:rsidRDefault="00AC0D0C" w:rsidP="00AC0D0C" w:rsidR="00AC0D0C">
      <w:pPr>
        <w:ind w:firstLine="720"/>
      </w:pPr>
      <w:r>
        <w:t>Revizija zastupnika po zakonu stečajnog dužnika JI WON CHOI odbacuje se kao nedopuštena.</w:t>
      </w:r>
    </w:p>
    <w:p w:rsidRDefault="00AC0D0C" w:rsidP="00AC0D0C" w:rsidR="00AC0D0C"/>
    <w:p w:rsidRDefault="00AC0D0C" w:rsidP="00AC0D0C" w:rsidR="00AC0D0C"/>
    <w:p w:rsidRDefault="00AC0D0C" w:rsidP="00AC0D0C" w:rsidR="00AC0D0C">
      <w:pPr>
        <w:jc w:val="center"/>
      </w:pPr>
      <w:r>
        <w:t>Obrazloženje</w:t>
      </w:r>
    </w:p>
    <w:p w:rsidRDefault="00AC0D0C" w:rsidP="00AC0D0C" w:rsidR="00AC0D0C"/>
    <w:p w:rsidRDefault="00AC0D0C" w:rsidP="00AC0D0C" w:rsidR="00AC0D0C">
      <w:pPr>
        <w:ind w:firstLine="720"/>
      </w:pPr>
      <w:r>
        <w:t>Prvostupanjskim rješenjem otvoren je stečajni postupak nad dužnikom HANNAH&amp;SAMUEL d.o.o. za trgovinu i usluge, za stečajnog upravitelja imenovana je Lidija Balog iz Bilja, zaključen je stečajni postupak nad dužnikom te je odlučeno da je stečajni postupak otvoren i zaključen s danom 13. srpnja 2018. u 9,20 sati kada je rješenje objavljeno na e-oglasnoj ploči suda. Također je odlučeno da će stečajni upravitelj nakon zaključenja stečajnog postupka u ime i za račun stečajne mase unovčiti imovinu dužnika i prikupljenim sredstvima podmiriti nastale troškove stečajnog postupka, a neiskorišteni ostatak uplatiti u Fond za namirenje troškova stečajnog postupka, te da će se nakon pravomoćnosti rješenja stečajni dužnik brisati iz sudskog registra.</w:t>
      </w:r>
    </w:p>
    <w:p w:rsidRDefault="00AC0D0C" w:rsidP="00AC0D0C" w:rsidR="00AC0D0C"/>
    <w:p w:rsidRDefault="00AC0D0C" w:rsidP="00AC0D0C" w:rsidR="00AC0D0C">
      <w:pPr>
        <w:ind w:firstLine="720"/>
      </w:pPr>
      <w:r>
        <w:t>Drugostupanjskim rješenjem odbijena je žalba zastupnika po zakonu stečajnog dužnika JI WON CHOI kao neosnovana te je potvrđeno prvostupanjsko rješenje.</w:t>
      </w:r>
    </w:p>
    <w:p w:rsidRDefault="00AC0D0C" w:rsidP="00AC0D0C" w:rsidR="00AC0D0C"/>
    <w:p w:rsidRDefault="00AC0D0C" w:rsidP="00AC0D0C" w:rsidR="00AC0D0C">
      <w:pPr>
        <w:ind w:firstLine="720"/>
      </w:pPr>
      <w:r>
        <w:t xml:space="preserve">Protiv drugostupanjskog rješenja zastupnik po zakonu stečajnog dužnika izjavio je reviziju iz čl. 382. st. 2. Zakona o parničnom postupku ("Narodne novine", broj 53/91, 91/92, 112/99, 88/01, 117/03, 88/05, 2/07, 84/08, 96/08, 123/08, 57/11, 148/11, 25/13, 28/13 i 89/14 </w:t>
      </w:r>
      <w:r>
        <w:lastRenderedPageBreak/>
        <w:t>– dalje: ZPP), predlažući da ovaj sud prihvati reviziju te ukine nižestupanjska rješenja i donese odluku sukladno navodima u reviziji.</w:t>
      </w:r>
    </w:p>
    <w:p w:rsidRDefault="00AC0D0C" w:rsidP="00AC0D0C" w:rsidR="00AC0D0C"/>
    <w:p w:rsidRDefault="00AC0D0C" w:rsidP="00AC0D0C" w:rsidR="00AC0D0C">
      <w:pPr>
        <w:ind w:firstLine="720"/>
      </w:pPr>
      <w:r>
        <w:t>Revizija nije dopuštena.</w:t>
      </w:r>
    </w:p>
    <w:p w:rsidRDefault="00AC0D0C" w:rsidP="00AC0D0C" w:rsidR="00AC0D0C"/>
    <w:p w:rsidRDefault="00AC0D0C" w:rsidP="00AC0D0C" w:rsidR="00AC0D0C">
      <w:pPr>
        <w:ind w:firstLine="720"/>
      </w:pPr>
      <w:r>
        <w:t>Prema odredbi čl. 19. st. 8. Stečajnog zakona ("Narodne novine", broj 71/15 i 104/17 – dalje: SZ) u stečajnom postupku može se izjaviti revizija samo ako odluka drugostupanjskog suda ovisi o rješenju nekog materijalnopravnog ili postupovnopravnog pitanja važnog za osiguranje jedinstvene primjene zakona i ravnopravnosti građana, odnosno revizija iz čl. 382. st. 2. ZPP.</w:t>
      </w:r>
    </w:p>
    <w:p w:rsidRDefault="00AC0D0C" w:rsidP="00AC0D0C" w:rsidR="00AC0D0C"/>
    <w:p w:rsidRDefault="00AC0D0C" w:rsidP="00AC0D0C" w:rsidR="00AC0D0C">
      <w:pPr>
        <w:ind w:firstLine="720"/>
      </w:pPr>
      <w:r>
        <w:t>U smislu odredbe čl. 382. st. 2. ZPP u slučajevima u kojima stranke ne mogu podnijeti reviziju prema odredbi čl. 382. st. 1. ZPP, one mogu podnijeti reviziju protiv drugostupanjske presude ako odluka u sporu ovisi o rješenju nekog materijalnopravnog ili postupovnopravnog pitanja važnog za osiguranje jedinstvene primjene prava i ravnopravnosti svih u njegovoj primjeni. U smislu odredbe čl. 382. st. 3. ZPP u reviziji iz čl. 382. st. 2. ZPP stranka treba određeno naznačiti pravno pitanje zbog kojeg ju je podnijela uz određeno navođenje propisa i drugih važećih izvora prava koji se na njega odnose te izložiti razloge zbog kojih smatra da je ono važno za osiguranje jedinstvene primjene prava i ravnopravnosti svih u njegovoj primjeni.</w:t>
      </w:r>
    </w:p>
    <w:p w:rsidRDefault="00AC0D0C" w:rsidP="00AC0D0C" w:rsidR="00AC0D0C"/>
    <w:p w:rsidRDefault="00AC0D0C" w:rsidP="00AC0D0C" w:rsidR="00AC0D0C">
      <w:pPr>
        <w:ind w:firstLine="720"/>
      </w:pPr>
      <w:r>
        <w:t>Revident je u ovoj pravnoj stvari naveo četiri pravna pitanja:</w:t>
      </w:r>
    </w:p>
    <w:p w:rsidRDefault="00AC0D0C" w:rsidP="00AC0D0C" w:rsidR="00AC0D0C"/>
    <w:p w:rsidRDefault="00AC0D0C" w:rsidP="00AC0D0C" w:rsidR="00AC0D0C">
      <w:pPr>
        <w:ind w:firstLine="720"/>
      </w:pPr>
      <w:r>
        <w:t>1. Da li je drugostupanjski sud prilikom odlučivanja o žalbi o otvaranju i zaključenju stečajnog postupka nad stečajnim dužnikom ovlašten potvrditi rješenje o otvaranju i zaključenju stečajnog postupka nad društvom koje tada nije u stečaju i aktivno je u sudskom registru bez naznake vođenja stečajnog postupka te u odnosu na isto ne postoje stečajni razlozi jer računi društva nisu blokirani niti je društvo prezaduženo?</w:t>
      </w:r>
    </w:p>
    <w:p w:rsidRDefault="00AC0D0C" w:rsidP="00AC0D0C" w:rsidR="00AC0D0C"/>
    <w:p w:rsidRDefault="00AC0D0C" w:rsidP="00AC0D0C" w:rsidR="00AC0D0C">
      <w:pPr>
        <w:ind w:firstLine="720"/>
      </w:pPr>
      <w:r>
        <w:t>2. Da li se objava na mrežnim stranicama smatra zakonitom i uredno objavljenom ako prilikom pretrage istu nije moguće pronaći putem imena osobe na koju se odnosi?</w:t>
      </w:r>
    </w:p>
    <w:p w:rsidRDefault="00AC0D0C" w:rsidP="00AC0D0C" w:rsidR="00AC0D0C"/>
    <w:p w:rsidRDefault="00AC0D0C" w:rsidP="00AC0D0C" w:rsidR="00AC0D0C">
      <w:pPr>
        <w:ind w:firstLine="720"/>
      </w:pPr>
      <w:r>
        <w:t>3. Da li se dostava smatra izvršenom na adresi subjekta koja je pogrešno upisana u sudskom registru bez provjere adrese subjekta pri MUP-u, te da li se takva dostava na pogrešnu adresu može smatrati izvršenom?</w:t>
      </w:r>
    </w:p>
    <w:p w:rsidRDefault="00AC0D0C" w:rsidP="00AC0D0C" w:rsidR="00AC0D0C"/>
    <w:p w:rsidRDefault="00AC0D0C" w:rsidP="00AC0D0C" w:rsidR="00AC0D0C">
      <w:pPr>
        <w:ind w:firstLine="720"/>
      </w:pPr>
      <w:r>
        <w:t>4. Da li je tijelo koje vrši dostavu bilo dužno u vrijeme svake dostave provjeriti promjenu podataka o adresi u sudskom registru?</w:t>
      </w:r>
    </w:p>
    <w:p w:rsidRDefault="00AC0D0C" w:rsidP="00AC0D0C" w:rsidR="00AC0D0C"/>
    <w:p w:rsidRDefault="00AC0D0C" w:rsidP="00AC0D0C" w:rsidR="00AC0D0C">
      <w:pPr>
        <w:ind w:firstLine="720"/>
      </w:pPr>
      <w:r>
        <w:t>Međutim, revident u reviziji nigdje nije naveo razloge važnosti koje ima u vidu odredba čl. 382. st. 2. ZPP. Samo općenito navođenje da kontrola pravilnosti primjene materijalnog i postupovnog prava je osnovna zadaća ovoga suda te revizije kao pravnog lijeka i da se time služi osiguranju jedinstvene primjene prava i ravnopravnosti svih u njegovoj primjeni nije dovoljan razlog važnosti kao što su primjerice suprotstavljene odluke Visokog trgovačkog suda Republike Hrvatske u vezi činjenično i pravno istovrsne problematike ili ukoliko bi odluka Visokog trgovačkog suda Republike Hrvatske bila u suprotnosti s pravnim shvaćanjem ovoga suda.</w:t>
      </w:r>
    </w:p>
    <w:p w:rsidRDefault="00AC0D0C" w:rsidP="00AC0D0C" w:rsidR="00AC0D0C"/>
    <w:p w:rsidRDefault="00AC0D0C" w:rsidP="00AC0D0C" w:rsidR="00AC0D0C">
      <w:pPr>
        <w:ind w:firstLine="720"/>
      </w:pPr>
      <w:r>
        <w:t xml:space="preserve">Slijedom navedenog, obzirom da podnositelj revizije u istoj nije naveo zbog čega smatra da su postavljena pravna pitanja važna za jedinstvenu primjenu prava i ravnopravnost </w:t>
      </w:r>
      <w:r>
        <w:lastRenderedPageBreak/>
        <w:t>svih u njegovoj primjeni, revizija nije dopuštena te je istu valjalo temeljem odredbe čl. 392.b st. 2. ZPP odbaciti kao nedopuštenu i riješiti kao u izreci.</w:t>
      </w:r>
    </w:p>
    <w:p w:rsidRDefault="00AC0D0C" w:rsidP="00AC0D0C" w:rsidR="00AC0D0C"/>
    <w:p w:rsidRDefault="00AC0D0C" w:rsidP="00AC0D0C" w:rsidR="00AC0D0C">
      <w:pPr>
        <w:jc w:val="center"/>
      </w:pPr>
      <w:r>
        <w:t xml:space="preserve">Zagreb, </w:t>
      </w:r>
      <w:bookmarkStart w:name="Datum" w:id="4"/>
      <w:bookmarkEnd w:id="4"/>
      <w:r>
        <w:t>16. travnja 2019.</w:t>
      </w:r>
    </w:p>
    <w:p w:rsidRDefault="00AC0D0C" w:rsidP="00AC0D0C" w:rsidR="00AC0D0C"/>
    <w:p w:rsidRDefault="00AC0D0C" w:rsidP="00AC0D0C" w:rsidR="00AC0D0C">
      <w:pPr>
        <w:tabs>
          <w:tab w:pos="3969" w:val="left"/>
          <w:tab w:pos="7088" w:val="left"/>
        </w:tabs>
        <w:ind w:left="5760"/>
      </w:pPr>
      <w:bookmarkStart w:name="Potpis" w:id="5"/>
      <w:bookmarkEnd w:id="5"/>
      <w:r>
        <w:t>Predsjednica vijeća:</w:t>
      </w:r>
    </w:p>
    <w:p w:rsidRDefault="00AC0D0C" w:rsidP="00AC0D0C" w:rsidR="00AC0D0C">
      <w:pPr>
        <w:tabs>
          <w:tab w:pos="3969" w:val="left"/>
          <w:tab w:pos="7088" w:val="left"/>
        </w:tabs>
        <w:ind w:left="5760"/>
      </w:pPr>
      <w:r>
        <w:t>Gordana Jalšovečki, v.r.</w:t>
      </w:r>
    </w:p>
    <w:p w:rsidRDefault="00AC0D0C" w:rsidP="00AC0D0C" w:rsidR="00AC0D0C">
      <w:pPr>
        <w:tabs>
          <w:tab w:pos="3969" w:val="left"/>
          <w:tab w:pos="7088" w:val="left"/>
        </w:tabs>
      </w:pPr>
    </w:p>
    <w:tbl>
      <w:tblPr>
        <w:tblW w:type="dxa" w:w="5070"/>
        <w:tblInd w:type="dxa" w:w="4219"/>
        <w:tblBorders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5070"/>
      </w:tblGrid>
      <w:tr w:rsidTr="00AC0D0C" w:rsidR="00AC0D0C">
        <w:tc>
          <w:tcPr>
            <w:tcW w:type="dxa" w:w="5068"/>
            <w:hideMark/>
          </w:tcPr>
          <w:p w:rsidRDefault="00AC0D0C" w:rsidR="00AC0D0C">
            <w:pPr>
              <w:jc w:val="center"/>
            </w:pPr>
            <w:r>
              <w:t>ZA TOČNOST OTPRAVKA</w:t>
            </w:r>
          </w:p>
          <w:p w:rsidRDefault="00AC0D0C" w:rsidR="00AC0D0C">
            <w:pPr>
              <w:jc w:val="center"/>
            </w:pPr>
            <w:r>
              <w:t>Ovlašteni službenik:</w:t>
            </w:r>
          </w:p>
        </w:tc>
      </w:tr>
      <w:tr w:rsidTr="00AC0D0C" w:rsidR="00AC0D0C">
        <w:tc>
          <w:tcPr>
            <w:tcW w:type="dxa" w:w="5068"/>
          </w:tcPr>
          <w:p w:rsidRDefault="00AC0D0C" w:rsidR="00AC0D0C">
            <w:pPr>
              <w:jc w:val="center"/>
            </w:pPr>
            <w:r>
              <w:t>Voditelj Pisarnice za prijem i otpremu</w:t>
            </w:r>
          </w:p>
          <w:p w:rsidRDefault="00AC0D0C" w:rsidR="00AC0D0C">
            <w:pPr>
              <w:jc w:val="center"/>
            </w:pPr>
          </w:p>
          <w:p w:rsidRDefault="00AC0D0C" w:rsidR="00AC0D0C">
            <w:pPr>
              <w:jc w:val="center"/>
            </w:pPr>
            <w:r>
              <w:t>Mirko Paša</w:t>
            </w:r>
          </w:p>
        </w:tc>
      </w:tr>
    </w:tbl>
    <w:p w:rsidRDefault="00AC0D0C" w:rsidP="00AC0D0C" w:rsidR="00AC0D0C"/>
    <w:p w:rsidRDefault="00042461" w:rsidR="00042461"/>
    <w:sectPr w:rsidSect="00AC0D0C" w:rsidR="00042461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7095" w:rsidP="00AC0D0C" w:rsidR="007F7095">
      <w:r>
        <w:separator/>
      </w:r>
    </w:p>
  </w:endnote>
  <w:endnote w:id="0" w:type="continuationSeparator">
    <w:p w:rsidRDefault="007F7095" w:rsidP="00AC0D0C" w:rsidR="007F70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7095" w:rsidP="00AC0D0C" w:rsidR="007F7095">
      <w:r>
        <w:separator/>
      </w:r>
    </w:p>
  </w:footnote>
  <w:footnote w:id="0" w:type="continuationSeparator">
    <w:p w:rsidRDefault="007F7095" w:rsidP="00AC0D0C" w:rsidR="007F70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50573153"/>
      <w:docPartObj>
        <w:docPartGallery w:val="Page Numbers (Top of Page)"/>
        <w:docPartUnique/>
      </w:docPartObj>
    </w:sdtPr>
    <w:sdtEndPr/>
    <w:sdtContent>
      <w:p w:rsidRDefault="00AC0D0C" w:rsidP="00AC0D0C" w:rsidR="00AC0D0C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6201">
          <w:rPr>
            <w:noProof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  <w:t>Rev 1455/2019-2</w:t>
        </w:r>
      </w:p>
    </w:sdtContent>
  </w:sdt>
  <w:p w:rsidRDefault="00AC0D0C" w:rsidR="00AC0D0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C0D0C"/>
    <w:rsid w:val="00042461"/>
    <w:rsid w:val="007F7095"/>
    <w:rsid w:val="00AC0D0C"/>
    <w:rsid w:val="00DB6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C0D0C"/>
    <w:pPr>
      <w:spacing w:lineRule="auto" w:line="240" w:after="0"/>
      <w:jc w:val="both"/>
    </w:pPr>
    <w:rPr>
      <w:rFonts w:cs="Times New Roman" w:eastAsia="Times New Roman" w:hAnsi="Times New Roman" w:ascii="Times New Roman"/>
      <w:sz w:val="24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C0D0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C0D0C"/>
    <w:rPr>
      <w:rFonts w:cs="Times New Roman" w:eastAsia="Times New Roman" w:hAnsi="Times New Roman" w:ascii="Times New Roman"/>
      <w:sz w:val="24"/>
      <w:szCs w:val="20"/>
    </w:rPr>
  </w:style>
  <w:style w:styleId="Podnoje" w:type="paragraph">
    <w:name w:val="footer"/>
    <w:basedOn w:val="Normal"/>
    <w:link w:val="PodnojeChar"/>
    <w:uiPriority w:val="99"/>
    <w:unhideWhenUsed/>
    <w:rsid w:val="00AC0D0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C0D0C"/>
    <w:rPr>
      <w:rFonts w:cs="Times New Roman" w:eastAsia="Times New Roman" w:hAnsi="Times New Roman" w:ascii="Times New Roman"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DB620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620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6201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6201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6201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C0D0C"/>
    <w:pPr>
      <w:spacing w:after="0" w:line="240" w:lineRule="auto"/>
      <w:jc w:val="both"/>
    </w:pPr>
    <w:rPr>
      <w:rFonts w:ascii="Times New Roman" w:cs="Times New Roman" w:eastAsia="Times New Roman" w:hAnsi="Times New Roman"/>
      <w:sz w:val="24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C0D0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C0D0C"/>
    <w:rPr>
      <w:rFonts w:ascii="Times New Roman" w:cs="Times New Roman" w:eastAsia="Times New Roman" w:hAnsi="Times New Roman"/>
      <w:sz w:val="24"/>
      <w:szCs w:val="20"/>
    </w:rPr>
  </w:style>
  <w:style w:styleId="Podnoje" w:type="paragraph">
    <w:name w:val="footer"/>
    <w:basedOn w:val="Normal"/>
    <w:link w:val="PodnojeChar"/>
    <w:uiPriority w:val="99"/>
    <w:unhideWhenUsed/>
    <w:rsid w:val="00AC0D0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C0D0C"/>
    <w:rPr>
      <w:rFonts w:ascii="Times New Roman" w:cs="Times New Roman" w:eastAsia="Times New Roman" w:hAnsi="Times New Roman"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DB620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620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6201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6201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6201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33472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878</properties:Words>
  <properties:Characters>4891</properties:Characters>
  <properties:Lines>117</properties:Lines>
  <properties:Paragraphs>30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2019-05-10T07:07:00Z</dcterms:created>
  <dc:creator>Ljiljana Cafuk</dc:creator>
  <cp:lastModifiedBy>Ljiljana Cafuk</cp:lastModifiedBy>
  <dcterms:modified xmlns:xsi="http://www.w3.org/2001/XMLSchema-instance" xsi:type="dcterms:W3CDTF">2019-05-10T07:12:00Z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Rješenje - odbačena žalba kao nedopuštena (Revizija 1455-2019.docx)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