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c861" w14:paraId="638c861" w:rsidRDefault="000C4DB6" w:rsidP="000C4DB6" w:rsidR="000C4DB6" w:rsidRPr="000C4DB6">
      <w:pPr>
        <w:spacing w:lineRule="auto" w:line="240" w:after="80"/>
        <w:jc w:val="center"/>
        <w15:collapsed w:val="false"/>
        <w:rPr>
          <w:rFonts w:cs="Times New Roman" w:eastAsia="Calibri" w:hAnsi="Century Gothic" w:ascii="Century Gothic"/>
          <w:b/>
        </w:rPr>
      </w:pPr>
      <w:bookmarkStart w:name="_GoBack" w:id="0"/>
      <w:bookmarkEnd w:id="0"/>
      <w:r w:rsidRPr="000C4DB6">
        <w:rPr>
          <w:rFonts w:cs="Times New Roman" w:eastAsia="Calibri" w:hAnsi="Century Gothic" w:ascii="Century Gothic"/>
          <w:b/>
        </w:rPr>
        <w:t>Obrazac 22.</w:t>
      </w:r>
    </w:p>
    <w:p w:rsidRDefault="000C4DB6" w:rsidP="000C4DB6" w:rsidR="000C4DB6" w:rsidRPr="000C4DB6">
      <w:pPr>
        <w:spacing w:lineRule="auto" w:line="240" w:after="80"/>
        <w:jc w:val="center"/>
        <w:rPr>
          <w:rFonts w:cs="Times New Roman" w:eastAsia="Calibri" w:hAnsi="Century Gothic" w:ascii="Century Gothic"/>
          <w:b/>
        </w:rPr>
      </w:pPr>
      <w:r w:rsidRPr="000C4DB6">
        <w:rPr>
          <w:rFonts w:cs="Times New Roman" w:eastAsia="Calibri" w:hAnsi="Century Gothic" w:ascii="Century Gothic"/>
          <w:b/>
        </w:rPr>
        <w:t>ZAVRŠNI RAČUN STEČAJNOGA UPRAVITELJA</w:t>
      </w:r>
    </w:p>
    <w:p w:rsidRDefault="000C4DB6" w:rsidP="000C4DB6" w:rsidR="000C4DB6">
      <w:pPr>
        <w:spacing w:lineRule="auto" w:line="240" w:after="80"/>
        <w:rPr>
          <w:rFonts w:cs="Times New Roman" w:eastAsia="Calibri" w:hAnsi="Century Gothic" w:ascii="Century Gothic"/>
          <w:b/>
        </w:rPr>
      </w:pPr>
    </w:p>
    <w:p w:rsidRDefault="000C4DB6" w:rsidP="000C4DB6" w:rsidR="000C4DB6" w:rsidRPr="000C4DB6">
      <w:pPr>
        <w:spacing w:lineRule="auto" w:line="240" w:after="80"/>
        <w:rPr>
          <w:rFonts w:cs="Times New Roman" w:eastAsia="Calibri" w:hAnsi="Century Gothic" w:ascii="Century Gothic"/>
          <w:b/>
        </w:rPr>
      </w:pPr>
    </w:p>
    <w:p w:rsidRDefault="000C4DB6" w:rsidP="000C4DB6" w:rsidR="000C4DB6" w:rsidRPr="000C4DB6">
      <w:pPr>
        <w:spacing w:lineRule="auto" w:line="240" w:after="0"/>
        <w:jc w:val="both"/>
        <w:rPr>
          <w:rFonts w:hAnsi="Century Gothic" w:ascii="Century Gothic"/>
        </w:rPr>
      </w:pPr>
      <w:r w:rsidRPr="000C4DB6">
        <w:rPr>
          <w:rFonts w:cs="Times New Roman" w:eastAsia="Calibri" w:hAnsi="Century Gothic" w:ascii="Century Gothic"/>
          <w:lang w:val="pl-PL"/>
        </w:rPr>
        <w:t xml:space="preserve">Nadležni trgovački sud </w:t>
      </w:r>
      <w:r w:rsidRPr="000C4DB6">
        <w:rPr>
          <w:rFonts w:cs="Times New Roman" w:eastAsia="Calibri" w:hAnsi="Century Gothic" w:ascii="Century Gothic"/>
          <w:lang w:val="pl-PL"/>
        </w:rPr>
        <w:tab/>
      </w:r>
      <w:r w:rsidRPr="000C4DB6">
        <w:rPr>
          <w:rFonts w:hAnsi="Century Gothic" w:ascii="Century Gothic"/>
        </w:rPr>
        <w:t>TRGOVAČKI SUD U ZAGREBU</w:t>
      </w:r>
    </w:p>
    <w:p w:rsidRDefault="000C4DB6" w:rsidP="000C4DB6" w:rsidR="000C4DB6" w:rsidRPr="000C4DB6">
      <w:pPr>
        <w:spacing w:lineRule="auto" w:line="240" w:after="80"/>
        <w:rPr>
          <w:rFonts w:cs="Times New Roman" w:eastAsia="Calibri" w:hAnsi="Century Gothic" w:ascii="Century Gothic"/>
          <w:lang w:val="pl-PL"/>
        </w:rPr>
      </w:pPr>
      <w:r w:rsidRPr="000C4DB6">
        <w:rPr>
          <w:rFonts w:hAnsi="Century Gothic" w:ascii="Century Gothic"/>
        </w:rPr>
        <w:t xml:space="preserve"> </w:t>
      </w:r>
    </w:p>
    <w:p w:rsidRDefault="000C4DB6" w:rsidP="000C4DB6" w:rsidR="000C4DB6" w:rsidRPr="000C4DB6">
      <w:pPr>
        <w:spacing w:lineRule="auto" w:line="240" w:after="0"/>
        <w:jc w:val="both"/>
        <w:rPr>
          <w:rFonts w:hAnsi="Century Gothic" w:ascii="Century Gothic"/>
        </w:rPr>
      </w:pPr>
      <w:r w:rsidRPr="000C4DB6">
        <w:rPr>
          <w:rFonts w:cs="Times New Roman" w:eastAsia="Calibri" w:hAnsi="Century Gothic" w:ascii="Century Gothic"/>
          <w:lang w:val="pl-PL"/>
        </w:rPr>
        <w:t xml:space="preserve">Poslovni broj spisa </w:t>
      </w:r>
      <w:r w:rsidRPr="000C4DB6">
        <w:rPr>
          <w:rFonts w:cs="Times New Roman" w:eastAsia="Calibri" w:hAnsi="Century Gothic" w:ascii="Century Gothic"/>
          <w:lang w:val="pl-PL"/>
        </w:rPr>
        <w:tab/>
      </w:r>
      <w:r w:rsidRPr="000C4DB6">
        <w:rPr>
          <w:rFonts w:cs="Times New Roman" w:eastAsia="Calibri" w:hAnsi="Century Gothic" w:ascii="Century Gothic"/>
          <w:lang w:val="pl-PL"/>
        </w:rPr>
        <w:tab/>
      </w:r>
      <w:r w:rsidRPr="000C4DB6">
        <w:rPr>
          <w:rFonts w:hAnsi="Century Gothic" w:ascii="Century Gothic"/>
        </w:rPr>
        <w:t>20. St-5738/16</w:t>
      </w:r>
    </w:p>
    <w:p w:rsidRDefault="000C4DB6" w:rsidP="000C4DB6" w:rsidR="000C4DB6" w:rsidRPr="000C4DB6">
      <w:pPr>
        <w:spacing w:lineRule="auto" w:line="240" w:after="0"/>
        <w:jc w:val="both"/>
        <w:rPr>
          <w:rFonts w:hAnsi="Century Gothic" w:ascii="Century Gothic"/>
        </w:rPr>
      </w:pPr>
    </w:p>
    <w:p w:rsidRDefault="000C4DB6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  <w:lang w:val="pl-PL"/>
        </w:rPr>
        <w:t>Dužnik (ime i prezime</w:t>
      </w:r>
      <w:r w:rsidRPr="000C4DB6">
        <w:rPr>
          <w:rFonts w:cs="Times New Roman" w:eastAsia="Calibri" w:hAnsi="Century Gothic" w:ascii="Century Gothic"/>
          <w:lang w:val="pl-PL"/>
        </w:rPr>
        <w:tab/>
      </w:r>
      <w:r w:rsidRPr="000C4DB6">
        <w:rPr>
          <w:rFonts w:cs="Times New Roman" w:eastAsia="Calibri" w:hAnsi="Century Gothic" w:ascii="Century Gothic"/>
        </w:rPr>
        <w:t>FELIX PROJEKT d.o.o. za proizvodnju, promet i usluge u</w:t>
      </w:r>
    </w:p>
    <w:p w:rsidRDefault="000C4DB6" w:rsidP="000C4DB6" w:rsidR="000C4DB6" w:rsidRPr="000C4DB6">
      <w:pPr>
        <w:spacing w:lineRule="auto" w:line="240" w:after="0"/>
        <w:ind w:firstLine="708" w:left="2124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 xml:space="preserve">stečaju,bOIB: 43475535899,  Deanovec (Ivanić-Grad), </w:t>
      </w:r>
    </w:p>
    <w:p w:rsidRDefault="000C4DB6" w:rsidP="000C4DB6" w:rsidR="000C4DB6" w:rsidRPr="000C4DB6">
      <w:pPr>
        <w:spacing w:lineRule="auto" w:line="240" w:after="0"/>
        <w:ind w:firstLine="708" w:left="2124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>J.Cobovića 31</w:t>
      </w:r>
    </w:p>
    <w:p w:rsidRDefault="000C4DB6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</w:rPr>
      </w:pPr>
    </w:p>
    <w:p w:rsidRDefault="000C4DB6" w:rsidP="000C4DB6" w:rsidR="000C4DB6">
      <w:pPr>
        <w:spacing w:lineRule="auto" w:line="240" w:after="80"/>
        <w:jc w:val="both"/>
        <w:rPr>
          <w:rFonts w:cs="Times New Roman" w:eastAsia="Calibri" w:hAnsi="Century Gothic" w:ascii="Century Gothic"/>
          <w:lang w:val="pl-PL"/>
        </w:rPr>
      </w:pPr>
      <w:r w:rsidRPr="000C4DB6">
        <w:rPr>
          <w:rFonts w:cs="Times New Roman" w:eastAsia="Calibri" w:hAnsi="Century Gothic" w:ascii="Century Gothic"/>
          <w:lang w:val="pl-PL"/>
        </w:rPr>
        <w:t xml:space="preserve"> </w:t>
      </w:r>
    </w:p>
    <w:p w:rsidRDefault="000C4DB6" w:rsidP="000C4DB6" w:rsidR="000C4DB6" w:rsidRPr="000C4DB6">
      <w:pPr>
        <w:spacing w:lineRule="auto" w:line="240" w:after="80"/>
        <w:jc w:val="both"/>
        <w:rPr>
          <w:rFonts w:cs="Times New Roman" w:eastAsia="Calibri" w:hAnsi="Century Gothic" w:ascii="Century Gothic"/>
          <w:lang w:val="pl-PL"/>
        </w:rPr>
      </w:pPr>
    </w:p>
    <w:p w:rsidRDefault="000C4DB6" w:rsidP="000C4DB6" w:rsidR="000C4DB6" w:rsidRPr="000C4DB6">
      <w:pPr>
        <w:spacing w:lineRule="auto" w:line="240" w:after="0"/>
        <w:ind w:firstLine="708"/>
        <w:jc w:val="both"/>
        <w:rPr>
          <w:rFonts w:hAnsi="Century Gothic" w:ascii="Century Gothic"/>
        </w:rPr>
      </w:pPr>
      <w:r w:rsidRPr="000C4DB6">
        <w:rPr>
          <w:rFonts w:cs="Times New Roman" w:eastAsia="Calibri" w:hAnsi="Century Gothic" w:ascii="Century Gothic"/>
          <w:u w:color="000000"/>
          <w:bdr w:val="nil"/>
          <w:lang w:eastAsia="hr-HR"/>
        </w:rPr>
        <w:t xml:space="preserve">Pred Trgovačkim sudom u Zagrebu vodi se stečajni postupak nad dužnikom FELIX PROJEKT d.o.o. za proizvodnju, promet i usluge u stečaju, OIB: 43475535899,  Deanovec (Ivanić-Grad), J.Cobovića 31, otvoren 02. lipnja 2017. godine pod posl. brojem </w:t>
      </w:r>
      <w:r w:rsidRPr="000C4DB6">
        <w:rPr>
          <w:rFonts w:hAnsi="Century Gothic" w:ascii="Century Gothic"/>
        </w:rPr>
        <w:t>20. St-5738/16</w:t>
      </w:r>
      <w:r w:rsidRPr="000C4DB6">
        <w:rPr>
          <w:rFonts w:cs="Times New Roman" w:eastAsia="Calibri" w:hAnsi="Century Gothic" w:ascii="Century Gothic"/>
          <w:u w:color="000000"/>
          <w:bdr w:val="nil"/>
          <w:lang w:eastAsia="hr-HR"/>
        </w:rPr>
        <w:t>, u kojem sam postupku imenovan stečajnim upraviteljem.</w:t>
      </w:r>
    </w:p>
    <w:p w:rsidRDefault="000C4DB6" w:rsidP="000C4DB6" w:rsidR="000C4DB6" w:rsidRPr="000C4DB6">
      <w:pPr>
        <w:spacing w:lineRule="auto" w:line="240" w:after="0"/>
        <w:rPr>
          <w:rFonts w:cs="Times New Roman" w:eastAsia="Calibri" w:hAnsi="Century Gothic" w:ascii="Century Gothic"/>
          <w:u w:color="000000"/>
          <w:bdr w:val="nil"/>
          <w:lang w:eastAsia="hr-HR"/>
        </w:rPr>
      </w:pPr>
    </w:p>
    <w:p w:rsidRDefault="000C4DB6" w:rsidP="000C4DB6" w:rsidR="000C4DB6">
      <w:pPr>
        <w:spacing w:lineRule="auto" w:line="240" w:after="0"/>
        <w:ind w:firstLine="708"/>
        <w:jc w:val="both"/>
        <w:rPr>
          <w:rFonts w:cs="Times New Roman" w:eastAsia="Calibri" w:hAnsi="Century Gothic" w:ascii="Century Gothic"/>
          <w:bdr w:val="nil"/>
          <w:lang w:eastAsia="hr-HR"/>
        </w:rPr>
      </w:pPr>
      <w:r w:rsidRPr="000C4DB6">
        <w:rPr>
          <w:rFonts w:cs="Times New Roman" w:eastAsia="Calibri" w:hAnsi="Century Gothic" w:ascii="Century Gothic"/>
          <w:bdr w:val="nil"/>
          <w:lang w:eastAsia="hr-HR"/>
        </w:rPr>
        <w:t xml:space="preserve">Posljednja Skupština vjerovnika održana je </w:t>
      </w:r>
      <w:r w:rsidRPr="000C4DB6">
        <w:rPr>
          <w:rFonts w:cs="Times New Roman" w:eastAsia="Calibri" w:hAnsi="Century Gothic" w:ascii="Century Gothic"/>
        </w:rPr>
        <w:t xml:space="preserve">je 08. studenoga 2017.  </w:t>
      </w:r>
      <w:r w:rsidRPr="000C4DB6">
        <w:rPr>
          <w:rFonts w:cs="Times New Roman" w:eastAsia="Calibri" w:hAnsi="Century Gothic" w:ascii="Century Gothic"/>
          <w:bdr w:val="nil"/>
          <w:lang w:eastAsia="hr-HR"/>
        </w:rPr>
        <w:t xml:space="preserve">godine na kojoj je prihvaćeno izvješće stečajnog upravitelja od </w:t>
      </w:r>
      <w:r w:rsidRPr="000C4DB6">
        <w:rPr>
          <w:rFonts w:eastAsiaTheme="minorEastAsia" w:cs="Calibri" w:hAnsi="Century Gothic" w:ascii="Century Gothic"/>
        </w:rPr>
        <w:t xml:space="preserve">19. listopada 2017. </w:t>
      </w:r>
      <w:r w:rsidRPr="000C4DB6">
        <w:rPr>
          <w:rFonts w:cs="Times New Roman" w:eastAsia="Calibri" w:hAnsi="Century Gothic" w:ascii="Century Gothic"/>
          <w:bdr w:val="nil"/>
          <w:lang w:eastAsia="hr-HR"/>
        </w:rPr>
        <w:t>godine</w:t>
      </w:r>
      <w:r>
        <w:rPr>
          <w:rFonts w:cs="Times New Roman" w:eastAsia="Calibri" w:hAnsi="Century Gothic" w:ascii="Century Gothic"/>
          <w:bdr w:val="nil"/>
          <w:lang w:eastAsia="hr-HR"/>
        </w:rPr>
        <w:t>.</w:t>
      </w:r>
      <w:r w:rsidRPr="000C4DB6">
        <w:rPr>
          <w:rFonts w:cs="Times New Roman" w:eastAsia="Calibri" w:hAnsi="Century Gothic" w:ascii="Century Gothic"/>
          <w:bdr w:val="nil"/>
          <w:lang w:eastAsia="hr-HR"/>
        </w:rPr>
        <w:t xml:space="preserve"> </w:t>
      </w:r>
      <w:r>
        <w:rPr>
          <w:rFonts w:cs="Times New Roman" w:eastAsia="Calibri" w:hAnsi="Century Gothic" w:ascii="Century Gothic"/>
          <w:bdr w:val="nil"/>
          <w:lang w:eastAsia="hr-HR"/>
        </w:rPr>
        <w:t xml:space="preserve">           </w:t>
      </w:r>
    </w:p>
    <w:p w:rsidRDefault="000C4DB6" w:rsidP="000C4DB6" w:rsidR="000C4DB6" w:rsidRPr="000C4DB6">
      <w:pPr>
        <w:spacing w:lineRule="auto" w:line="240" w:after="0"/>
        <w:ind w:firstLine="708"/>
        <w:jc w:val="both"/>
        <w:rPr>
          <w:rFonts w:cs="Times New Roman" w:eastAsia="Calibri" w:hAnsi="Century Gothic" w:ascii="Century Gothic"/>
        </w:rPr>
      </w:pPr>
      <w:r>
        <w:rPr>
          <w:rFonts w:cs="Times New Roman" w:eastAsia="Calibri" w:hAnsi="Century Gothic" w:ascii="Century Gothic"/>
          <w:bdr w:val="nil"/>
          <w:lang w:eastAsia="hr-HR"/>
        </w:rPr>
        <w:t>O</w:t>
      </w:r>
      <w:r w:rsidRPr="000C4DB6">
        <w:rPr>
          <w:rFonts w:cs="Times New Roman" w:eastAsia="Calibri" w:hAnsi="Century Gothic" w:ascii="Century Gothic"/>
          <w:bdr w:val="nil"/>
          <w:lang w:eastAsia="hr-HR"/>
        </w:rPr>
        <w:t xml:space="preserve">bzirom da </w:t>
      </w:r>
      <w:r w:rsidRPr="000C4DB6">
        <w:rPr>
          <w:rFonts w:cs="Times New Roman" w:eastAsia="Calibri" w:hAnsi="Century Gothic" w:ascii="Century Gothic"/>
        </w:rPr>
        <w:t>na računu stečajnog dužnika nema raspoloživih sredstava,  da u ovom trenutku stečajni dužnik nema ni brzo unovčive imovine kojom bi mogao namiriti  troškove postupka,</w:t>
      </w:r>
      <w:r w:rsidRPr="000C4DB6">
        <w:rPr>
          <w:rFonts w:cs="Times New Roman" w:eastAsia="Calibri" w:hAnsi="Century Gothic" w:ascii="Century Gothic"/>
          <w:bdr w:val="nil"/>
          <w:lang w:eastAsia="hr-HR"/>
        </w:rPr>
        <w:t xml:space="preserve"> to su ispunjene</w:t>
      </w:r>
      <w:r w:rsidRPr="000C4DB6">
        <w:rPr>
          <w:rFonts w:cs="Times New Roman" w:eastAsia="Calibri" w:hAnsi="Century Gothic" w:ascii="Century Gothic"/>
        </w:rPr>
        <w:t xml:space="preserve"> </w:t>
      </w:r>
      <w:r w:rsidRPr="000C4DB6">
        <w:rPr>
          <w:rFonts w:cs="Times New Roman" w:eastAsia="Calibri" w:hAnsi="Century Gothic" w:ascii="Century Gothic"/>
          <w:bdr w:val="nil"/>
          <w:lang w:eastAsia="hr-HR"/>
        </w:rPr>
        <w:t xml:space="preserve">pretpostavke iz </w:t>
      </w:r>
      <w:r w:rsidRPr="000C4DB6">
        <w:rPr>
          <w:rFonts w:cs="Times New Roman" w:eastAsia="Calibri" w:hAnsi="Century Gothic" w:ascii="Century Gothic"/>
        </w:rPr>
        <w:t xml:space="preserve">članka 293. Stečajnog zakona pa predlažem obustavu i zaključenje postupka zbog nedostatnosti mase za namirenje troškova stečajnoga postupka i podnosim     </w:t>
      </w:r>
    </w:p>
    <w:p w:rsidRDefault="000C4DB6" w:rsidP="000C4DB6" w:rsidR="000C4DB6">
      <w:pPr>
        <w:spacing w:lineRule="auto" w:line="240" w:after="0"/>
        <w:jc w:val="both"/>
        <w:rPr>
          <w:rFonts w:cs="Times New Roman" w:eastAsia="Calibri" w:hAnsi="Century Gothic" w:ascii="Century Gothic"/>
          <w:b/>
          <w:bCs/>
          <w:bdr w:val="nil"/>
          <w:lang w:eastAsia="hr-HR"/>
        </w:rPr>
      </w:pPr>
    </w:p>
    <w:p w:rsidRDefault="000C4DB6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  <w:b/>
          <w:bCs/>
          <w:bdr w:val="nil"/>
          <w:lang w:eastAsia="hr-HR"/>
        </w:rPr>
      </w:pP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center"/>
        <w:rPr>
          <w:rFonts w:cs="Helvetica" w:eastAsia="Helvetica" w:hAnsi="Century Gothic" w:ascii="Century Gothic"/>
          <w:b/>
          <w:bCs/>
          <w:color w:val="000000"/>
          <w:bdr w:val="nil"/>
          <w:lang w:eastAsia="hr-HR"/>
        </w:rPr>
      </w:pPr>
      <w:r w:rsidRPr="000C4DB6">
        <w:rPr>
          <w:rFonts w:cs="Helvetica" w:eastAsia="Helvetica" w:hAnsi="Century Gothic" w:ascii="Century Gothic"/>
          <w:b/>
          <w:bCs/>
          <w:color w:val="000000"/>
          <w:bdr w:val="nil"/>
          <w:lang w:eastAsia="hr-HR"/>
        </w:rPr>
        <w:t>ZAVRŠNI RAČUN STEČAJNOGA UPRAVITELJA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0"/>
        <w:jc w:val="center"/>
        <w:rPr>
          <w:rFonts w:cs="Helvetica" w:eastAsia="Helvetica" w:hAnsi="Century Gothic" w:ascii="Century Gothic"/>
          <w:b/>
          <w:bCs/>
          <w:color w:val="000000"/>
          <w:bdr w:val="nil"/>
          <w:lang w:eastAsia="hr-HR"/>
        </w:rPr>
      </w:pPr>
      <w:r w:rsidRPr="000C4DB6">
        <w:rPr>
          <w:rFonts w:cs="Helvetica" w:eastAsia="Helvetica" w:hAnsi="Century Gothic" w:ascii="Century Gothic"/>
          <w:b/>
          <w:bCs/>
          <w:color w:val="000000"/>
          <w:bdr w:val="nil"/>
          <w:lang w:eastAsia="hr-HR"/>
        </w:rPr>
        <w:t>(Obrazac 22.)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Helvetica" w:eastAsia="Helvetica" w:hAnsi="Century Gothic" w:ascii="Century Gothic"/>
          <w:bCs/>
          <w:color w:val="000000"/>
          <w:bdr w:val="nil"/>
          <w:lang w:eastAsia="hr-HR"/>
        </w:rPr>
      </w:pP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Helvetica" w:eastAsia="Helvetica" w:hAnsi="Century Gothic" w:ascii="Century Gothic"/>
          <w:bCs/>
          <w:color w:val="000000"/>
          <w:bdr w:val="nil"/>
          <w:lang w:eastAsia="hr-HR"/>
        </w:rPr>
      </w:pP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koji obuhvaća tijek ovog stečajnog postupka u razdoblju od 03. lipnja 2017. do 15.05.2019. godine, a u sklopu kojeg s</w:t>
      </w:r>
      <w:r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u</w:t>
      </w: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: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Helvetica" w:eastAsia="Helvetica" w:hAnsi="Century Gothic" w:ascii="Century Gothic"/>
          <w:bCs/>
          <w:color w:val="000000"/>
          <w:bdr w:val="nil"/>
          <w:lang w:eastAsia="hr-HR"/>
        </w:rPr>
      </w:pPr>
    </w:p>
    <w:p w:rsidRDefault="000C4DB6" w:rsidP="000C4DB6" w:rsidR="000C4DB6" w:rsidRPr="000C4DB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8505" w:val="left"/>
        </w:tabs>
        <w:spacing w:lineRule="auto" w:line="288" w:after="0"/>
        <w:jc w:val="both"/>
        <w:rPr>
          <w:rFonts w:cs="Helvetica" w:eastAsia="Helvetica" w:hAnsi="Century Gothic" w:ascii="Century Gothic"/>
          <w:bCs/>
          <w:color w:val="000000"/>
          <w:bdr w:val="nil"/>
          <w:lang w:eastAsia="hr-HR"/>
        </w:rPr>
      </w:pPr>
      <w:r w:rsidRPr="000C4DB6">
        <w:rPr>
          <w:rFonts w:cs="Times New Roman" w:eastAsia="Calibri" w:hAnsi="Century Gothic" w:ascii="Century Gothic"/>
        </w:rPr>
        <w:t>Račun prihoda i rashoda</w:t>
      </w: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,</w:t>
      </w:r>
    </w:p>
    <w:p w:rsidRDefault="000C4DB6" w:rsidP="000C4DB6" w:rsidR="000C4DB6" w:rsidRPr="000C4DB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8505" w:val="left"/>
        </w:tabs>
        <w:spacing w:lineRule="auto" w:line="288" w:after="0"/>
        <w:jc w:val="both"/>
        <w:rPr>
          <w:rFonts w:cs="Helvetica" w:eastAsia="Helvetica" w:hAnsi="Century Gothic" w:ascii="Century Gothic"/>
          <w:bCs/>
          <w:color w:val="000000"/>
          <w:bdr w:val="nil"/>
          <w:lang w:eastAsia="hr-HR"/>
        </w:rPr>
      </w:pPr>
      <w:r w:rsidRPr="000C4DB6">
        <w:rPr>
          <w:rFonts w:cs="Times New Roman" w:eastAsia="Calibri" w:hAnsi="Century Gothic" w:ascii="Century Gothic"/>
        </w:rPr>
        <w:t>Prijedlog završne stečajne bilance na dan 15.05.2019. godine</w:t>
      </w:r>
    </w:p>
    <w:p w:rsidRDefault="000C4DB6" w:rsidP="000C4DB6" w:rsidR="000C4DB6" w:rsidRPr="000C4DB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8505" w:val="left"/>
        </w:tabs>
        <w:spacing w:lineRule="auto" w:line="288" w:after="0"/>
        <w:jc w:val="both"/>
        <w:rPr>
          <w:rFonts w:cs="Helvetica" w:eastAsia="Helvetica" w:hAnsi="Century Gothic" w:ascii="Century Gothic"/>
          <w:bCs/>
          <w:color w:val="000000"/>
          <w:bdr w:val="nil"/>
          <w:lang w:eastAsia="hr-HR"/>
        </w:rPr>
      </w:pP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Završni izvještaj stečajnog upravitelja,</w:t>
      </w:r>
    </w:p>
    <w:p w:rsidRDefault="000C4DB6" w:rsidP="000C4DB6" w:rsidR="000C4DB6" w:rsidRPr="000C4DB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8505" w:val="left"/>
        </w:tabs>
        <w:spacing w:lineRule="auto" w:line="288" w:after="0"/>
        <w:jc w:val="both"/>
        <w:rPr>
          <w:rFonts w:cs="Helvetica" w:eastAsia="Helvetica" w:hAnsi="Century Gothic" w:ascii="Century Gothic"/>
          <w:bCs/>
          <w:color w:val="000000"/>
          <w:bdr w:val="nil"/>
          <w:lang w:eastAsia="hr-HR"/>
        </w:rPr>
      </w:pP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Završni (diobni popis),</w:t>
      </w:r>
    </w:p>
    <w:p w:rsidRDefault="000C4DB6" w:rsidP="000C4DB6" w:rsidR="000C4DB6" w:rsidRPr="000C4DB6">
      <w:pPr>
        <w:spacing w:lineRule="auto" w:line="360" w:after="80"/>
        <w:jc w:val="both"/>
        <w:rPr>
          <w:rFonts w:cs="Times New Roman" w:eastAsia="Calibri" w:hAnsi="Century Gothic" w:ascii="Century Gothic"/>
        </w:rPr>
      </w:pPr>
    </w:p>
    <w:p w:rsidRDefault="000C4DB6" w:rsidP="000C4DB6" w:rsidR="000C4DB6" w:rsidRPr="000C4DB6">
      <w:pPr>
        <w:spacing w:lineRule="auto" w:line="360" w:after="8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 xml:space="preserve">I. </w:t>
      </w:r>
      <w:r w:rsidRPr="000C4DB6">
        <w:rPr>
          <w:rFonts w:cs="Times New Roman" w:eastAsia="Calibri" w:hAnsi="Century Gothic" w:ascii="Century Gothic"/>
        </w:rPr>
        <w:tab/>
        <w:t xml:space="preserve">RAČUN PRIHODA I RASHODA 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Century Gothic" w:ascii="Century Gothic"/>
          <w:b/>
          <w:bCs/>
          <w:color w:val="000000"/>
          <w:u w:color="000000"/>
          <w:bdr w:val="nil"/>
          <w:lang w:eastAsia="hr-HR"/>
        </w:rPr>
      </w:pP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Helvetica" w:eastAsia="Helvetica" w:hAnsi="Century Gothic" w:ascii="Century Gothic"/>
          <w:bCs/>
          <w:color w:val="000000"/>
          <w:bdr w:val="nil"/>
          <w:lang w:eastAsia="hr-HR"/>
        </w:rPr>
      </w:pP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 xml:space="preserve">I. </w:t>
      </w:r>
      <w:r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ab/>
      </w: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Priljevi na račun i odljevi sa računa stečajnog dužnika u razdoblju od 03.06.2017. do 1</w:t>
      </w:r>
      <w:r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5</w:t>
      </w: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.05.2019. godine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Century Gothic" w:ascii="Century Gothic"/>
          <w:color w:val="000000"/>
          <w:u w:val="single"/>
          <w:bdr w:val="nil"/>
          <w:lang w:eastAsia="hr-HR"/>
        </w:rPr>
      </w:pPr>
    </w:p>
    <w:p w:rsidRDefault="000C4DB6" w:rsidP="000C4DB6" w:rsidR="000C4DB6">
      <w:pPr>
        <w:spacing w:lineRule="auto" w:line="240" w:after="80"/>
        <w:ind w:firstLine="708"/>
        <w:jc w:val="both"/>
        <w:rPr>
          <w:rFonts w:cs="Helvetica" w:eastAsia="Helvetica" w:hAnsi="Century Gothic" w:ascii="Century Gothic"/>
          <w:color w:val="000000"/>
          <w:bdr w:val="nil"/>
          <w:lang w:eastAsia="hr-HR"/>
        </w:rPr>
      </w:pPr>
    </w:p>
    <w:p w:rsidRDefault="000C4DB6" w:rsidP="000C4DB6" w:rsidR="000C4DB6">
      <w:pPr>
        <w:spacing w:lineRule="auto" w:line="240" w:after="80"/>
        <w:ind w:firstLine="708"/>
        <w:jc w:val="both"/>
        <w:rPr>
          <w:rFonts w:cs="Helvetica" w:eastAsia="Helvetica" w:hAnsi="Century Gothic" w:ascii="Century Gothic"/>
          <w:color w:val="000000"/>
          <w:bdr w:val="nil"/>
          <w:lang w:eastAsia="hr-HR"/>
        </w:rPr>
      </w:pPr>
    </w:p>
    <w:p w:rsidRDefault="000C4DB6" w:rsidP="000C4DB6" w:rsidR="000C4DB6">
      <w:pPr>
        <w:spacing w:lineRule="auto" w:line="240" w:after="80"/>
        <w:ind w:firstLine="708"/>
        <w:jc w:val="both"/>
        <w:rPr>
          <w:rFonts w:cs="Helvetica" w:eastAsia="Helvetica" w:hAnsi="Century Gothic" w:ascii="Century Gothic"/>
          <w:color w:val="000000"/>
          <w:bdr w:val="nil"/>
          <w:lang w:eastAsia="hr-HR"/>
        </w:rPr>
      </w:pPr>
    </w:p>
    <w:p w:rsidRDefault="000C4DB6" w:rsidP="000C4DB6" w:rsidR="000C4DB6">
      <w:pPr>
        <w:spacing w:lineRule="auto" w:line="240" w:after="80"/>
        <w:ind w:firstLine="708"/>
        <w:jc w:val="both"/>
        <w:rPr>
          <w:rFonts w:cs="Helvetica" w:eastAsia="Helvetica" w:hAnsi="Century Gothic" w:ascii="Century Gothic"/>
          <w:color w:val="000000"/>
          <w:bdr w:val="nil"/>
          <w:lang w:eastAsia="hr-HR"/>
        </w:rPr>
      </w:pPr>
      <w:r w:rsidRPr="000C4DB6">
        <w:rPr>
          <w:rFonts w:cs="Helvetica" w:eastAsia="Helvetica" w:hAnsi="Century Gothic" w:ascii="Century Gothic"/>
          <w:color w:val="000000"/>
          <w:bdr w:val="nil"/>
          <w:lang w:eastAsia="hr-HR"/>
        </w:rPr>
        <w:t xml:space="preserve">U razdoblju od </w:t>
      </w: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03.06.2017. do 1</w:t>
      </w:r>
      <w:r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5</w:t>
      </w: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.05.2019. godine</w:t>
      </w:r>
      <w:r w:rsidRPr="000C4DB6">
        <w:rPr>
          <w:rFonts w:cs="Helvetica" w:eastAsia="Helvetica" w:hAnsi="Century Gothic" w:ascii="Century Gothic"/>
          <w:b/>
          <w:bCs/>
          <w:color w:val="000000"/>
          <w:bdr w:val="nil"/>
          <w:lang w:eastAsia="hr-HR"/>
        </w:rPr>
        <w:t xml:space="preserve"> </w:t>
      </w:r>
      <w:r w:rsidRPr="000C4DB6">
        <w:rPr>
          <w:rFonts w:cs="Helvetica" w:eastAsia="Helvetica" w:hAnsi="Century Gothic" w:ascii="Century Gothic"/>
          <w:color w:val="000000"/>
          <w:bdr w:val="nil"/>
          <w:lang w:eastAsia="hr-HR"/>
        </w:rPr>
        <w:t xml:space="preserve">po računu stečajnog dužnika otvorenog u  </w:t>
      </w:r>
      <w:r w:rsidRPr="000C4DB6">
        <w:rPr>
          <w:rFonts w:cs="Calibri" w:hAnsi="Century Gothic" w:ascii="Century Gothic"/>
        </w:rPr>
        <w:t xml:space="preserve">IMEX BANKA d.d </w:t>
      </w:r>
      <w:r w:rsidRPr="000C4DB6">
        <w:rPr>
          <w:rFonts w:cs="Helvetica" w:eastAsia="Helvetica" w:hAnsi="Century Gothic" w:ascii="Century Gothic"/>
          <w:color w:val="000000"/>
          <w:bdr w:val="nil"/>
          <w:lang w:eastAsia="hr-HR"/>
        </w:rPr>
        <w:t xml:space="preserve">ostvareni su ukupni priljevi u iznosu od </w:t>
      </w:r>
      <w:r w:rsidRPr="000C4DB6">
        <w:rPr>
          <w:rFonts w:cs="Helvetica" w:eastAsia="Helvetica" w:hAnsi="Century Gothic" w:ascii="Century Gothic"/>
          <w:b/>
          <w:bCs/>
          <w:color w:val="000000"/>
          <w:bdr w:val="nil"/>
          <w:lang w:eastAsia="hr-HR"/>
        </w:rPr>
        <w:t>0,00 kn</w:t>
      </w:r>
      <w:r w:rsidRPr="000C4DB6">
        <w:rPr>
          <w:rFonts w:cs="Helvetica" w:eastAsia="Helvetica" w:hAnsi="Century Gothic" w:ascii="Century Gothic"/>
          <w:color w:val="000000"/>
          <w:bdr w:val="nil"/>
          <w:lang w:eastAsia="hr-HR"/>
        </w:rPr>
        <w:t xml:space="preserve">, te ukupni odljevi u iznosu od </w:t>
      </w:r>
      <w:r w:rsidRPr="000C4DB6">
        <w:rPr>
          <w:rFonts w:cs="Helvetica" w:eastAsia="Helvetica" w:hAnsi="Century Gothic" w:ascii="Century Gothic"/>
          <w:b/>
          <w:bCs/>
          <w:color w:val="000000"/>
          <w:bdr w:val="nil"/>
          <w:lang w:eastAsia="hr-HR"/>
        </w:rPr>
        <w:t xml:space="preserve">0,00 kn. </w:t>
      </w:r>
      <w:r w:rsidRPr="000C4DB6">
        <w:rPr>
          <w:rFonts w:cs="Helvetica" w:eastAsia="Helvetica" w:hAnsi="Century Gothic" w:ascii="Century Gothic"/>
          <w:color w:val="000000"/>
          <w:bdr w:val="nil"/>
          <w:lang w:eastAsia="hr-HR"/>
        </w:rPr>
        <w:t xml:space="preserve"> </w:t>
      </w:r>
    </w:p>
    <w:p w:rsidRDefault="000C4DB6" w:rsidP="000C4DB6" w:rsidR="000C4DB6" w:rsidRPr="000C4DB6">
      <w:pPr>
        <w:spacing w:lineRule="auto" w:line="240" w:after="80"/>
        <w:ind w:firstLine="708"/>
        <w:jc w:val="both"/>
        <w:rPr>
          <w:rFonts w:cs="Helvetica" w:eastAsia="Helvetica" w:hAnsi="Century Gothic" w:ascii="Century Gothic"/>
          <w:color w:val="000000"/>
          <w:bdr w:val="nil"/>
          <w:lang w:eastAsia="hr-HR"/>
        </w:rPr>
      </w:pP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firstLine="708"/>
        <w:jc w:val="both"/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</w:pP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U nastavku se daje pregled troškova stečajnog postupka ostvarenog u razdoblju od </w:t>
      </w:r>
      <w:r w:rsidRPr="000C4DB6">
        <w:rPr>
          <w:rFonts w:cs="Arial Unicode MS" w:eastAsia="Arial Unicode MS" w:hAnsi="Century Gothic" w:ascii="Century Gothic"/>
          <w:bCs/>
          <w:color w:val="000000"/>
          <w:u w:color="000000"/>
          <w:bdr w:val="nil"/>
          <w:lang w:eastAsia="hr-HR"/>
        </w:rPr>
        <w:t>03.</w:t>
      </w:r>
      <w:r>
        <w:rPr>
          <w:rFonts w:cs="Arial Unicode MS" w:eastAsia="Arial Unicode MS" w:hAnsi="Century Gothic" w:ascii="Century Gothic"/>
          <w:bCs/>
          <w:color w:val="000000"/>
          <w:u w:color="000000"/>
          <w:bdr w:val="nil"/>
          <w:lang w:eastAsia="hr-HR"/>
        </w:rPr>
        <w:t>06.</w:t>
      </w:r>
      <w:r w:rsidRPr="000C4DB6">
        <w:rPr>
          <w:rFonts w:cs="Arial Unicode MS" w:eastAsia="Arial Unicode MS" w:hAnsi="Century Gothic" w:ascii="Century Gothic"/>
          <w:bCs/>
          <w:color w:val="000000"/>
          <w:u w:color="000000"/>
          <w:bdr w:val="nil"/>
          <w:lang w:eastAsia="hr-HR"/>
        </w:rPr>
        <w:t xml:space="preserve">2017. do </w:t>
      </w:r>
      <w:r>
        <w:rPr>
          <w:rFonts w:cs="Arial Unicode MS" w:eastAsia="Arial Unicode MS" w:hAnsi="Century Gothic" w:ascii="Century Gothic"/>
          <w:bCs/>
          <w:color w:val="000000"/>
          <w:u w:color="000000"/>
          <w:bdr w:val="nil"/>
          <w:lang w:eastAsia="hr-HR"/>
        </w:rPr>
        <w:t>15</w:t>
      </w:r>
      <w:r w:rsidRPr="000C4DB6">
        <w:rPr>
          <w:rFonts w:cs="Arial Unicode MS" w:eastAsia="Arial Unicode MS" w:hAnsi="Century Gothic" w:ascii="Century Gothic"/>
          <w:bCs/>
          <w:color w:val="000000"/>
          <w:u w:color="000000"/>
          <w:bdr w:val="nil"/>
          <w:lang w:eastAsia="hr-HR"/>
        </w:rPr>
        <w:t>.0</w:t>
      </w:r>
      <w:r>
        <w:rPr>
          <w:rFonts w:cs="Arial Unicode MS" w:eastAsia="Arial Unicode MS" w:hAnsi="Century Gothic" w:ascii="Century Gothic"/>
          <w:bCs/>
          <w:color w:val="000000"/>
          <w:u w:color="000000"/>
          <w:bdr w:val="nil"/>
          <w:lang w:eastAsia="hr-HR"/>
        </w:rPr>
        <w:t>5</w:t>
      </w:r>
      <w:r w:rsidRPr="000C4DB6">
        <w:rPr>
          <w:rFonts w:cs="Arial Unicode MS" w:eastAsia="Arial Unicode MS" w:hAnsi="Century Gothic" w:ascii="Century Gothic"/>
          <w:bCs/>
          <w:color w:val="000000"/>
          <w:u w:color="000000"/>
          <w:bdr w:val="nil"/>
          <w:lang w:eastAsia="hr-HR"/>
        </w:rPr>
        <w:t>.201</w:t>
      </w:r>
      <w:r>
        <w:rPr>
          <w:rFonts w:cs="Arial Unicode MS" w:eastAsia="Arial Unicode MS" w:hAnsi="Century Gothic" w:ascii="Century Gothic"/>
          <w:bCs/>
          <w:color w:val="000000"/>
          <w:u w:color="000000"/>
          <w:bdr w:val="nil"/>
          <w:lang w:eastAsia="hr-HR"/>
        </w:rPr>
        <w:t>9</w:t>
      </w:r>
      <w:r w:rsidRPr="000C4DB6">
        <w:rPr>
          <w:rFonts w:cs="Arial Unicode MS" w:eastAsia="Arial Unicode MS" w:hAnsi="Century Gothic" w:ascii="Century Gothic"/>
          <w:bCs/>
          <w:color w:val="000000"/>
          <w:u w:color="000000"/>
          <w:bdr w:val="nil"/>
          <w:lang w:eastAsia="hr-HR"/>
        </w:rPr>
        <w:t>.</w:t>
      </w: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 godine.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Century Gothic" w:ascii="Century Gothic"/>
          <w:b/>
          <w:bCs/>
          <w:color w:val="000000"/>
          <w:bdr w:val="nil"/>
          <w:lang w:eastAsia="hr-HR"/>
        </w:rPr>
      </w:pPr>
      <w:r w:rsidRPr="000C4DB6">
        <w:rPr>
          <w:rFonts w:cs="Tahoma" w:eastAsia="Tahoma" w:hAnsi="Century Gothic" w:ascii="Century Gothic"/>
          <w:b/>
          <w:bCs/>
          <w:color w:val="000000"/>
          <w:bdr w:val="nil"/>
          <w:lang w:eastAsia="hr-HR"/>
        </w:rPr>
        <w:t xml:space="preserve"> </w:t>
      </w:r>
    </w:p>
    <w:tbl>
      <w:tblPr>
        <w:tblStyle w:val="TableNormal1"/>
        <w:tblW w:type="dxa" w:w="9077"/>
        <w:jc w:val="center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562"/>
        <w:gridCol w:w="6954"/>
        <w:gridCol w:w="1561"/>
      </w:tblGrid>
      <w:tr w:rsidTr="000C4DB6" w:rsidR="000C4DB6" w:rsidRPr="000C4DB6">
        <w:trPr>
          <w:trHeight w:val="240"/>
          <w:jc w:val="center"/>
        </w:trPr>
        <w:tc>
          <w:tcPr>
            <w:tcW w:type="dxa" w:w="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r.br.</w:t>
            </w:r>
          </w:p>
        </w:tc>
        <w:tc>
          <w:tcPr>
            <w:tcW w:type="dxa" w:w="6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Ostvareni troškovi bez pdv</w:t>
            </w:r>
          </w:p>
        </w:tc>
        <w:tc>
          <w:tcPr>
            <w:tcW w:type="dxa" w:w="1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Iznos</w:t>
            </w:r>
          </w:p>
        </w:tc>
      </w:tr>
      <w:tr w:rsidTr="000C4DB6" w:rsidR="000C4DB6" w:rsidRPr="000C4DB6">
        <w:trPr>
          <w:trHeight w:val="113"/>
          <w:jc w:val="center"/>
        </w:trPr>
        <w:tc>
          <w:tcPr>
            <w:tcW w:type="dxa" w:w="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u w:color="000000"/>
              </w:rPr>
              <w:t>1.</w:t>
            </w:r>
          </w:p>
        </w:tc>
        <w:tc>
          <w:tcPr>
            <w:tcW w:type="dxa" w:w="6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jc w:val="both"/>
              <w:rPr>
                <w:rFonts w:eastAsia="Calibri" w:hAnsi="Century Gothic" w:ascii="Century Gothic"/>
              </w:rPr>
            </w:pPr>
            <w:r w:rsidRPr="000C4DB6">
              <w:rPr>
                <w:rFonts w:eastAsia="Calibri" w:hAnsi="Century Gothic" w:ascii="Century Gothic"/>
              </w:rPr>
              <w:t xml:space="preserve">materijalni troškovi (uredski i potrošni materijal, izrada pečata, </w:t>
            </w:r>
          </w:p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Arial Unicode MS" w:eastAsia="Calibri" w:hAnsi="Century Gothic" w:ascii="Century Gothic"/>
                <w:u w:color="000000"/>
              </w:rPr>
            </w:pPr>
            <w:r w:rsidRPr="000C4DB6">
              <w:rPr>
                <w:rFonts w:eastAsia="Calibri" w:hAnsi="Century Gothic" w:ascii="Century Gothic"/>
              </w:rPr>
              <w:t>telefon, Internet, statistika)</w:t>
            </w:r>
            <w:r w:rsidRPr="000C4DB6">
              <w:rPr>
                <w:rFonts w:eastAsia="Calibri" w:hAnsi="Century Gothic" w:ascii="Century Gothic"/>
              </w:rPr>
              <w:tab/>
            </w:r>
          </w:p>
        </w:tc>
        <w:tc>
          <w:tcPr>
            <w:tcW w:type="dxa" w:w="1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  <w:u w:color="000000"/>
              </w:rPr>
            </w:pPr>
            <w:r w:rsidRPr="000C4DB6">
              <w:rPr>
                <w:rFonts w:cs="Tahoma" w:eastAsia="Calibri" w:hAnsi="Century Gothic" w:ascii="Century Gothic"/>
                <w:u w:color="000000"/>
              </w:rPr>
              <w:t>1.500,00</w:t>
            </w:r>
          </w:p>
        </w:tc>
      </w:tr>
      <w:tr w:rsidTr="000C4DB6" w:rsidR="000C4DB6" w:rsidRPr="000C4DB6">
        <w:trPr>
          <w:trHeight w:val="113"/>
          <w:jc w:val="center"/>
        </w:trPr>
        <w:tc>
          <w:tcPr>
            <w:tcW w:type="dxa" w:w="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u w:color="000000"/>
              </w:rPr>
              <w:t>2.</w:t>
            </w:r>
          </w:p>
        </w:tc>
        <w:tc>
          <w:tcPr>
            <w:tcW w:type="dxa" w:w="6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jc w:val="both"/>
              <w:rPr>
                <w:rFonts w:eastAsia="Calibri" w:hAnsi="Century Gothic" w:ascii="Century Gothic"/>
              </w:rPr>
            </w:pPr>
            <w:r w:rsidRPr="000C4DB6">
              <w:rPr>
                <w:rFonts w:eastAsia="Calibri" w:hAnsi="Century Gothic" w:ascii="Century Gothic"/>
              </w:rPr>
              <w:t>poštarina  i pristojbe</w:t>
            </w:r>
          </w:p>
        </w:tc>
        <w:tc>
          <w:tcPr>
            <w:tcW w:type="dxa" w:w="1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jc w:val="right"/>
              <w:rPr>
                <w:rFonts w:eastAsia="Calibri" w:hAnsi="Century Gothic" w:ascii="Century Gothic"/>
              </w:rPr>
            </w:pPr>
            <w:r w:rsidRPr="000C4DB6">
              <w:rPr>
                <w:rFonts w:eastAsia="Calibri" w:hAnsi="Century Gothic" w:ascii="Century Gothic"/>
              </w:rPr>
              <w:t xml:space="preserve">   300,00</w:t>
            </w:r>
          </w:p>
        </w:tc>
      </w:tr>
      <w:tr w:rsidTr="000C4DB6" w:rsidR="000C4DB6" w:rsidRPr="000C4DB6">
        <w:trPr>
          <w:trHeight w:val="113"/>
          <w:jc w:val="center"/>
        </w:trPr>
        <w:tc>
          <w:tcPr>
            <w:tcW w:type="dxa" w:w="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u w:color="000000"/>
              </w:rPr>
              <w:t>3.</w:t>
            </w:r>
          </w:p>
        </w:tc>
        <w:tc>
          <w:tcPr>
            <w:tcW w:type="dxa" w:w="6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contextualSpacing/>
              <w:jc w:val="both"/>
              <w:rPr>
                <w:rFonts w:eastAsia="Calibri" w:hAnsi="Century Gothic" w:ascii="Century Gothic"/>
              </w:rPr>
            </w:pPr>
            <w:r w:rsidRPr="000C4DB6">
              <w:rPr>
                <w:rFonts w:eastAsia="Calibri" w:hAnsi="Century Gothic" w:ascii="Century Gothic"/>
              </w:rPr>
              <w:t xml:space="preserve">trošak javne objave fin. izvješća                                                                   </w:t>
            </w:r>
          </w:p>
        </w:tc>
        <w:tc>
          <w:tcPr>
            <w:tcW w:type="dxa" w:w="1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  <w:u w:color="000000"/>
              </w:rPr>
            </w:pPr>
            <w:r w:rsidRPr="000C4DB6">
              <w:rPr>
                <w:rFonts w:eastAsia="Calibri" w:hAnsi="Century Gothic" w:ascii="Century Gothic"/>
              </w:rPr>
              <w:t xml:space="preserve"> 460,00 </w:t>
            </w:r>
            <w:r w:rsidRPr="000C4DB6">
              <w:rPr>
                <w:rFonts w:cs="Tahoma" w:eastAsia="Calibri" w:hAnsi="Century Gothic" w:ascii="Century Gothic"/>
                <w:u w:color="000000"/>
              </w:rPr>
              <w:t xml:space="preserve"> </w:t>
            </w:r>
          </w:p>
        </w:tc>
      </w:tr>
      <w:tr w:rsidTr="000C4DB6" w:rsidR="000C4DB6" w:rsidRPr="000C4DB6">
        <w:trPr>
          <w:trHeight w:val="113"/>
          <w:jc w:val="center"/>
        </w:trPr>
        <w:tc>
          <w:tcPr>
            <w:tcW w:type="dxa" w:w="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u w:color="000000"/>
              </w:rPr>
              <w:t>4.</w:t>
            </w:r>
          </w:p>
        </w:tc>
        <w:tc>
          <w:tcPr>
            <w:tcW w:type="dxa" w:w="6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Arial Unicode MS" w:eastAsia="Calibri" w:hAnsi="Century Gothic" w:ascii="Century Gothic"/>
                <w:u w:color="000000"/>
              </w:rPr>
            </w:pPr>
            <w:r w:rsidRPr="000C4DB6">
              <w:rPr>
                <w:rFonts w:eastAsia="Calibri" w:hAnsi="Century Gothic" w:ascii="Century Gothic"/>
              </w:rPr>
              <w:t xml:space="preserve">obveza naknade za uređenje voda </w:t>
            </w:r>
            <w:r w:rsidRPr="000C4DB6">
              <w:rPr>
                <w:rFonts w:eastAsia="Calibri" w:hAnsi="Century Gothic" w:ascii="Century Gothic"/>
              </w:rPr>
              <w:tab/>
            </w:r>
          </w:p>
        </w:tc>
        <w:tc>
          <w:tcPr>
            <w:tcW w:type="dxa" w:w="1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  <w:u w:color="000000"/>
              </w:rPr>
            </w:pPr>
            <w:r w:rsidRPr="000C4DB6">
              <w:rPr>
                <w:rFonts w:eastAsia="Calibri" w:hAnsi="Century Gothic" w:ascii="Century Gothic"/>
              </w:rPr>
              <w:t xml:space="preserve">         2. 326,38 </w:t>
            </w:r>
            <w:r w:rsidRPr="000C4DB6">
              <w:rPr>
                <w:rFonts w:cs="Tahoma" w:eastAsia="Calibri" w:hAnsi="Century Gothic" w:ascii="Century Gothic"/>
                <w:u w:color="000000"/>
              </w:rPr>
              <w:t xml:space="preserve"> </w:t>
            </w:r>
          </w:p>
        </w:tc>
      </w:tr>
      <w:tr w:rsidTr="000C4DB6" w:rsidR="000C4DB6" w:rsidRPr="000C4DB6">
        <w:trPr>
          <w:trHeight w:val="113"/>
          <w:jc w:val="center"/>
        </w:trPr>
        <w:tc>
          <w:tcPr>
            <w:tcW w:type="dxa" w:w="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u w:color="000000"/>
              </w:rPr>
              <w:t>5.</w:t>
            </w:r>
          </w:p>
        </w:tc>
        <w:tc>
          <w:tcPr>
            <w:tcW w:type="dxa" w:w="6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Arial Unicode MS" w:eastAsia="Calibri" w:hAnsi="Century Gothic" w:ascii="Century Gothic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u w:color="000000"/>
              </w:rPr>
              <w:t>troškovi s osnove usluga (knjigovodstvene usluge za razdoblje od 03.06.2017. do 15.05.2019.g.</w:t>
            </w:r>
          </w:p>
        </w:tc>
        <w:tc>
          <w:tcPr>
            <w:tcW w:type="dxa" w:w="1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  <w:u w:color="000000"/>
              </w:rPr>
            </w:pPr>
            <w:r w:rsidRPr="000C4DB6">
              <w:rPr>
                <w:rFonts w:cs="Tahoma" w:eastAsia="Calibri" w:hAnsi="Century Gothic" w:ascii="Century Gothic"/>
                <w:u w:color="000000"/>
              </w:rPr>
              <w:t>3.000,00</w:t>
            </w:r>
          </w:p>
        </w:tc>
      </w:tr>
      <w:tr w:rsidTr="000C4DB6" w:rsidR="000C4DB6" w:rsidRPr="000C4DB6">
        <w:trPr>
          <w:trHeight w:val="113"/>
          <w:jc w:val="center"/>
        </w:trPr>
        <w:tc>
          <w:tcPr>
            <w:tcW w:type="dxa" w:w="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u w:color="000000"/>
              </w:rPr>
              <w:t>6.</w:t>
            </w:r>
          </w:p>
        </w:tc>
        <w:tc>
          <w:tcPr>
            <w:tcW w:type="dxa" w:w="6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Arial Unicode MS" w:eastAsia="Calibri" w:hAnsi="Century Gothic" w:ascii="Century Gothic"/>
                <w:u w:color="000000"/>
              </w:rPr>
            </w:pPr>
            <w:r w:rsidRPr="000C4DB6">
              <w:rPr>
                <w:rFonts w:eastAsia="Calibri" w:hAnsi="Century Gothic" w:ascii="Century Gothic"/>
              </w:rPr>
              <w:t xml:space="preserve">putni troškovi </w:t>
            </w:r>
            <w:r w:rsidRPr="000C4DB6">
              <w:rPr>
                <w:rFonts w:cs="Arial Unicode MS" w:eastAsia="Calibri" w:hAnsi="Century Gothic" w:ascii="Century Gothic"/>
                <w:u w:color="000000"/>
              </w:rPr>
              <w:t>stečajnog upravitelja</w:t>
            </w:r>
          </w:p>
        </w:tc>
        <w:tc>
          <w:tcPr>
            <w:tcW w:type="dxa" w:w="1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  <w:u w:color="000000"/>
              </w:rPr>
            </w:pPr>
            <w:r w:rsidRPr="000C4DB6">
              <w:rPr>
                <w:rFonts w:cs="Tahoma" w:eastAsia="Calibri" w:hAnsi="Century Gothic" w:ascii="Century Gothic"/>
                <w:u w:color="000000"/>
              </w:rPr>
              <w:t xml:space="preserve">1.032,00 </w:t>
            </w:r>
          </w:p>
        </w:tc>
      </w:tr>
      <w:tr w:rsidTr="000C4DB6" w:rsidR="000C4DB6" w:rsidRPr="000C4DB6">
        <w:trPr>
          <w:trHeight w:val="113"/>
          <w:jc w:val="center"/>
        </w:trPr>
        <w:tc>
          <w:tcPr>
            <w:tcW w:type="dxa" w:w="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</w:pPr>
          </w:p>
        </w:tc>
        <w:tc>
          <w:tcPr>
            <w:tcW w:type="dxa" w:w="6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Ukupno (r.br. 1+2+3+4+5+6)</w:t>
            </w:r>
          </w:p>
        </w:tc>
        <w:tc>
          <w:tcPr>
            <w:tcW w:type="dxa" w:w="1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  <w:b/>
                <w:color w:val="000000"/>
                <w:u w:color="000000"/>
              </w:rPr>
            </w:pPr>
            <w:r w:rsidRPr="000C4DB6">
              <w:rPr>
                <w:rFonts w:cs="Tahoma" w:eastAsia="Calibri" w:hAnsi="Century Gothic" w:ascii="Century Gothic"/>
                <w:b/>
                <w:color w:val="000000"/>
                <w:u w:color="000000"/>
              </w:rPr>
              <w:t xml:space="preserve">8.618,38 </w:t>
            </w:r>
          </w:p>
        </w:tc>
      </w:tr>
    </w:tbl>
    <w:p w:rsidRDefault="000C4DB6" w:rsidP="000C4DB6" w:rsidR="000C4DB6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Century Gothic" w:ascii="Century Gothic"/>
          <w:b/>
          <w:bCs/>
          <w:color w:val="000000"/>
          <w:bdr w:val="nil"/>
          <w:lang w:eastAsia="hr-HR"/>
        </w:rPr>
      </w:pPr>
    </w:p>
    <w:p w:rsidRDefault="000C4DB6" w:rsidP="000C4DB6" w:rsidR="000C4DB6" w:rsidRPr="000C4DB6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firstLine="708"/>
        <w:jc w:val="both"/>
        <w:rPr>
          <w:rFonts w:cs="Tahoma" w:eastAsia="Tahoma" w:hAnsi="Century Gothic" w:ascii="Century Gothic"/>
          <w:bCs/>
          <w:color w:val="000000"/>
          <w:bdr w:val="nil"/>
          <w:lang w:eastAsia="hr-HR"/>
        </w:rPr>
      </w:pPr>
      <w:r w:rsidRPr="000C4DB6">
        <w:rPr>
          <w:rFonts w:cs="Tahoma" w:eastAsia="Tahoma" w:hAnsi="Century Gothic" w:ascii="Century Gothic"/>
          <w:bCs/>
          <w:color w:val="000000"/>
          <w:bdr w:val="nil"/>
          <w:lang w:eastAsia="hr-HR"/>
        </w:rPr>
        <w:t xml:space="preserve">Kako slijedi iz tabele  ukupno ostvareni troškovi ovog stečajnog postupka iznose </w:t>
      </w:r>
      <w:r w:rsidRPr="000C4DB6">
        <w:rPr>
          <w:rFonts w:cs="Tahoma" w:eastAsia="Calibri" w:hAnsi="Century Gothic" w:ascii="Century Gothic"/>
          <w:b/>
          <w:color w:val="000000"/>
          <w:u w:color="000000"/>
        </w:rPr>
        <w:t xml:space="preserve">8.618,38 </w:t>
      </w:r>
      <w:r w:rsidRPr="000C4DB6">
        <w:rPr>
          <w:rFonts w:cs="Tahoma" w:eastAsia="Tahoma" w:hAnsi="Century Gothic" w:ascii="Century Gothic"/>
          <w:b/>
          <w:bCs/>
          <w:color w:val="000000"/>
          <w:bdr w:val="nil"/>
          <w:lang w:eastAsia="hr-HR"/>
        </w:rPr>
        <w:t>kn</w:t>
      </w:r>
      <w:r w:rsidRPr="000C4DB6">
        <w:rPr>
          <w:rFonts w:cs="Tahoma" w:eastAsia="Tahoma" w:hAnsi="Century Gothic" w:ascii="Century Gothic"/>
          <w:bCs/>
          <w:color w:val="000000"/>
          <w:bdr w:val="nil"/>
          <w:lang w:eastAsia="hr-HR"/>
        </w:rPr>
        <w:t xml:space="preserve">  i u cijelosti su nepodmireni.   </w:t>
      </w:r>
    </w:p>
    <w:p w:rsidRDefault="000C4DB6" w:rsidP="000C4DB6" w:rsidR="000C4DB6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Century Gothic" w:ascii="Century Gothic"/>
          <w:bCs/>
          <w:color w:val="000000"/>
          <w:bdr w:val="nil"/>
          <w:lang w:eastAsia="hr-HR"/>
        </w:rPr>
      </w:pPr>
    </w:p>
    <w:p w:rsidRDefault="000C4DB6" w:rsidP="000C4DB6" w:rsidR="000C4DB6" w:rsidRPr="000C4DB6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Century Gothic" w:ascii="Century Gothic"/>
          <w:bCs/>
          <w:color w:val="000000"/>
          <w:bdr w:val="nil"/>
          <w:lang w:eastAsia="hr-HR"/>
        </w:rPr>
      </w:pP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Helvetica" w:eastAsia="Helvetica" w:hAnsi="Century Gothic" w:ascii="Century Gothic"/>
          <w:bCs/>
          <w:color w:val="000000"/>
          <w:bdr w:val="nil"/>
          <w:lang w:eastAsia="hr-HR"/>
        </w:rPr>
      </w:pPr>
      <w:r w:rsidRPr="000C4DB6">
        <w:rPr>
          <w:rFonts w:cs="Helvetica" w:eastAsia="Helvetica" w:hAnsi="Century Gothic" w:ascii="Century Gothic"/>
          <w:bCs/>
          <w:color w:val="000000"/>
          <w:bdr w:val="nil"/>
          <w:lang w:eastAsia="hr-HR"/>
        </w:rPr>
        <w:t>II. PRIJEDLOG ZAVRŠNE STEČAJNE BILANCE NA DAN 15.05.2019. GODINE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Century Gothic" w:ascii="Century Gothic"/>
          <w:color w:val="000000"/>
          <w:u w:val="single"/>
          <w:bdr w:val="nil"/>
          <w:lang w:eastAsia="hr-HR"/>
        </w:rPr>
      </w:pP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firstLine="708"/>
        <w:jc w:val="both"/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</w:pP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Početna stečajna bilanca utvrđena je sukladno čl. 223. Stečajnog zakona sa iskazanim stanjem imovine u iznosu od </w:t>
      </w:r>
      <w:r w:rsidRPr="000C4DB6">
        <w:rPr>
          <w:rFonts w:eastAsiaTheme="minorEastAsia" w:hAnsi="Century Gothic" w:ascii="Century Gothic"/>
          <w:b/>
          <w:sz w:val="24"/>
          <w:szCs w:val="24"/>
        </w:rPr>
        <w:fldChar w:fldCharType="begin"/>
      </w:r>
      <w:r w:rsidRPr="000C4DB6">
        <w:rPr>
          <w:rFonts w:eastAsiaTheme="minorEastAsia" w:hAnsi="Century Gothic" w:ascii="Century Gothic"/>
          <w:b/>
          <w:sz w:val="24"/>
          <w:szCs w:val="24"/>
        </w:rPr>
        <w:instrText xml:space="preserve"> =SUM(ABOVE) </w:instrText>
      </w:r>
      <w:r w:rsidRPr="000C4DB6">
        <w:rPr>
          <w:rFonts w:eastAsiaTheme="minorEastAsia" w:hAnsi="Century Gothic" w:ascii="Century Gothic"/>
          <w:b/>
          <w:sz w:val="24"/>
          <w:szCs w:val="24"/>
        </w:rPr>
        <w:fldChar w:fldCharType="separate"/>
      </w:r>
      <w:r w:rsidRPr="000C4DB6">
        <w:rPr>
          <w:rFonts w:eastAsiaTheme="minorEastAsia" w:hAnsi="Century Gothic" w:ascii="Century Gothic"/>
          <w:b/>
          <w:noProof/>
          <w:sz w:val="24"/>
          <w:szCs w:val="24"/>
        </w:rPr>
        <w:t>2.012.145,49</w:t>
      </w:r>
      <w:r w:rsidRPr="000C4DB6">
        <w:rPr>
          <w:rFonts w:eastAsiaTheme="minorEastAsia" w:hAnsi="Century Gothic" w:ascii="Century Gothic"/>
          <w:b/>
          <w:sz w:val="24"/>
          <w:szCs w:val="24"/>
        </w:rPr>
        <w:fldChar w:fldCharType="end"/>
      </w:r>
      <w:r w:rsidRPr="000C4DB6"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  <w:t xml:space="preserve">  kn</w:t>
      </w: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  i utvrđenim stanjem obveza u iznosu od </w:t>
      </w:r>
      <w:r w:rsidRPr="000C4DB6"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  <w:t xml:space="preserve"> </w:t>
      </w:r>
      <w:r w:rsidRPr="000C4DB6">
        <w:rPr>
          <w:rFonts w:cs="Tahoma" w:eastAsia="Calibri" w:hAnsi="Century Gothic" w:ascii="Century Gothic"/>
          <w:b/>
          <w:sz w:val="24"/>
          <w:szCs w:val="24"/>
          <w:bdr w:val="nil"/>
          <w:lang w:eastAsia="hr-HR"/>
        </w:rPr>
        <w:fldChar w:fldCharType="begin"/>
      </w:r>
      <w:r w:rsidRPr="000C4DB6">
        <w:rPr>
          <w:rFonts w:cs="Tahoma" w:eastAsia="Calibri" w:hAnsi="Century Gothic" w:ascii="Century Gothic"/>
          <w:b/>
          <w:sz w:val="24"/>
          <w:szCs w:val="24"/>
          <w:bdr w:val="nil"/>
          <w:lang w:eastAsia="hr-HR"/>
        </w:rPr>
        <w:instrText xml:space="preserve"> =SUM(ABOVE) </w:instrText>
      </w:r>
      <w:r w:rsidRPr="000C4DB6">
        <w:rPr>
          <w:rFonts w:cs="Tahoma" w:eastAsia="Calibri" w:hAnsi="Century Gothic" w:ascii="Century Gothic"/>
          <w:b/>
          <w:sz w:val="24"/>
          <w:szCs w:val="24"/>
          <w:bdr w:val="nil"/>
          <w:lang w:eastAsia="hr-HR"/>
        </w:rPr>
        <w:fldChar w:fldCharType="separate"/>
      </w:r>
      <w:r w:rsidRPr="000C4DB6">
        <w:rPr>
          <w:rFonts w:cs="Tahoma" w:eastAsia="Calibri" w:hAnsi="Century Gothic" w:ascii="Century Gothic"/>
          <w:b/>
          <w:noProof/>
          <w:sz w:val="24"/>
          <w:szCs w:val="24"/>
          <w:bdr w:val="nil"/>
          <w:lang w:eastAsia="hr-HR"/>
        </w:rPr>
        <w:t>2.268.</w:t>
      </w:r>
      <w:r w:rsidRPr="000C4DB6">
        <w:rPr>
          <w:rFonts w:cs="Tahoma" w:eastAsia="Calibri" w:hAnsi="Century Gothic" w:ascii="Century Gothic"/>
          <w:b/>
          <w:sz w:val="24"/>
          <w:szCs w:val="24"/>
          <w:bdr w:val="nil"/>
          <w:lang w:eastAsia="hr-HR"/>
        </w:rPr>
        <w:fldChar w:fldCharType="end"/>
      </w:r>
      <w:r w:rsidRPr="000C4DB6">
        <w:rPr>
          <w:rFonts w:cs="Tahoma" w:eastAsia="Calibri" w:hAnsi="Century Gothic" w:ascii="Century Gothic"/>
          <w:b/>
          <w:sz w:val="24"/>
          <w:szCs w:val="24"/>
          <w:bdr w:val="nil"/>
          <w:lang w:eastAsia="hr-HR"/>
        </w:rPr>
        <w:t>435,21</w:t>
      </w:r>
      <w:r w:rsidRPr="000C4DB6"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  <w:t xml:space="preserve"> kn </w:t>
      </w:r>
      <w:r w:rsidRPr="000C4DB6">
        <w:rPr>
          <w:rFonts w:cs="Arial Unicode MS" w:eastAsia="Arial Unicode MS" w:hAnsi="Century Gothic" w:ascii="Century Gothic"/>
          <w:bCs/>
          <w:color w:val="000000"/>
          <w:u w:color="000000"/>
          <w:bdr w:val="nil"/>
          <w:lang w:eastAsia="hr-HR"/>
        </w:rPr>
        <w:t xml:space="preserve">temeljem priznatih tražbina vjerovnika </w:t>
      </w: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>na ispitnom ročištu održanom 08. studenoga 2017. godine.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</w:pP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firstLine="708"/>
        <w:jc w:val="both"/>
        <w:rPr>
          <w:rFonts w:cs="Tahoma" w:eastAsia="Tahoma" w:hAnsi="Century Gothic" w:ascii="Century Gothic"/>
          <w:color w:val="000000"/>
          <w:u w:color="000000"/>
          <w:bdr w:val="nil"/>
          <w:lang w:eastAsia="hr-HR"/>
        </w:rPr>
      </w:pP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Nakon evidentiranja obveza temeljem nenamirenih troškova stečajnog postupka, prijedlog završne stečajne bilance na dan 15.05.2019. iskazuje vrijednost imovine u iznosu od </w:t>
      </w:r>
      <w:r w:rsidRPr="000C4DB6">
        <w:rPr>
          <w:rFonts w:cs="Arial Unicode MS" w:eastAsia="Calibri" w:hAnsi="Century Gothic" w:ascii="Century Gothic"/>
          <w:b/>
          <w:bCs/>
          <w:color w:val="000000"/>
          <w:sz w:val="24"/>
          <w:szCs w:val="24"/>
          <w:u w:color="000000"/>
          <w:bdr w:val="nil"/>
          <w:lang w:eastAsia="hr-HR"/>
        </w:rPr>
        <w:t xml:space="preserve">2.002.000,00 </w:t>
      </w:r>
      <w:r w:rsidRPr="000C4DB6"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  <w:t>kn</w:t>
      </w: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 i obveza u iznosu od </w:t>
      </w:r>
      <w:r w:rsidRPr="000C4DB6">
        <w:rPr>
          <w:rFonts w:eastAsiaTheme="minorEastAsia" w:hAnsi="Century Gothic" w:ascii="Century Gothic"/>
          <w:b/>
          <w:sz w:val="24"/>
          <w:szCs w:val="24"/>
        </w:rPr>
        <w:fldChar w:fldCharType="begin"/>
      </w:r>
      <w:r w:rsidRPr="000C4DB6">
        <w:rPr>
          <w:rFonts w:eastAsiaTheme="minorEastAsia" w:hAnsi="Century Gothic" w:ascii="Century Gothic"/>
          <w:b/>
          <w:sz w:val="24"/>
          <w:szCs w:val="24"/>
        </w:rPr>
        <w:instrText xml:space="preserve"> =SUM(ABOVE) </w:instrText>
      </w:r>
      <w:r w:rsidRPr="000C4DB6">
        <w:rPr>
          <w:rFonts w:eastAsiaTheme="minorEastAsia" w:hAnsi="Century Gothic" w:ascii="Century Gothic"/>
          <w:b/>
          <w:sz w:val="24"/>
          <w:szCs w:val="24"/>
        </w:rPr>
        <w:fldChar w:fldCharType="separate"/>
      </w:r>
      <w:r w:rsidRPr="000C4DB6">
        <w:rPr>
          <w:rFonts w:eastAsiaTheme="minorEastAsia" w:hAnsi="Century Gothic" w:ascii="Century Gothic"/>
          <w:b/>
          <w:noProof/>
          <w:sz w:val="24"/>
          <w:szCs w:val="24"/>
        </w:rPr>
        <w:t xml:space="preserve"> </w:t>
      </w:r>
      <w:r w:rsidRPr="000C4DB6">
        <w:rPr>
          <w:rFonts w:eastAsiaTheme="minorEastAsia" w:hAnsi="Century Gothic" w:ascii="Century Gothic"/>
          <w:b/>
          <w:noProof/>
          <w:sz w:val="24"/>
          <w:szCs w:val="24"/>
          <w:bdr w:val="nil"/>
          <w:lang w:eastAsia="hr-HR"/>
        </w:rPr>
        <w:t>2.277.053,59</w:t>
      </w:r>
      <w:r w:rsidRPr="000C4DB6">
        <w:rPr>
          <w:rFonts w:cs="Tahoma" w:eastAsia="Calibri" w:hAnsi="Century Gothic" w:ascii="Century Gothic"/>
          <w:b/>
          <w:color w:val="000000"/>
          <w:u w:color="000000"/>
          <w:bdr w:val="nil"/>
          <w:lang w:eastAsia="hr-HR"/>
        </w:rPr>
        <w:t xml:space="preserve"> </w:t>
      </w:r>
      <w:r w:rsidRPr="000C4DB6">
        <w:rPr>
          <w:rFonts w:eastAsiaTheme="minorEastAsia" w:hAnsi="Century Gothic" w:ascii="Century Gothic"/>
          <w:b/>
          <w:sz w:val="24"/>
          <w:szCs w:val="24"/>
        </w:rPr>
        <w:fldChar w:fldCharType="end"/>
      </w:r>
      <w:r w:rsidRPr="000C4DB6">
        <w:rPr>
          <w:rFonts w:eastAsiaTheme="minorEastAsia" w:hAnsi="Century Gothic" w:ascii="Century Gothic"/>
          <w:b/>
          <w:sz w:val="24"/>
          <w:szCs w:val="24"/>
        </w:rPr>
        <w:t xml:space="preserve"> </w:t>
      </w:r>
      <w:r w:rsidRPr="000C4DB6"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  <w:t xml:space="preserve">kn, </w:t>
      </w: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a kako u odnosu na iskazano stanje danom otvaranja stečajnog postupka slijedi u </w:t>
      </w:r>
      <w:r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donjoj </w:t>
      </w: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>tabeli.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</w:pPr>
      <w:r w:rsidRPr="000C4DB6"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  <w:t xml:space="preserve"> </w:t>
      </w:r>
    </w:p>
    <w:p w:rsidRDefault="000C4DB6" w:rsidP="000C4DB6" w:rsid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</w:pPr>
      <w:r w:rsidRPr="000C4DB6"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  <w:t xml:space="preserve"> </w:t>
      </w:r>
    </w:p>
    <w:p w:rsidRDefault="000C4DB6" w:rsidP="000C4DB6" w:rsid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</w:pP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Century Gothic" w:ascii="Century Gothic"/>
          <w:b/>
          <w:bCs/>
          <w:color w:val="000000"/>
          <w:u w:color="000000"/>
          <w:bdr w:val="nil"/>
          <w:lang w:eastAsia="hr-HR"/>
        </w:rPr>
      </w:pPr>
    </w:p>
    <w:tbl>
      <w:tblPr>
        <w:tblStyle w:val="TableNormal2"/>
        <w:tblW w:type="dxa" w:w="9067"/>
        <w:jc w:val="center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846"/>
        <w:gridCol w:w="4536"/>
        <w:gridCol w:w="1843"/>
        <w:gridCol w:w="1842"/>
      </w:tblGrid>
      <w:tr w:rsidTr="000A11A4" w:rsidR="000C4DB6" w:rsidRPr="000C4DB6">
        <w:trPr>
          <w:trHeight w:val="758"/>
          <w:jc w:val="center"/>
        </w:trPr>
        <w:tc>
          <w:tcPr>
            <w:tcW w:type="dxa" w:w="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A11A4" w:rsidP="000C4DB6" w:rsidR="000C4DB6" w:rsidRPr="000C4DB6">
            <w:pPr>
              <w:spacing w:lineRule="auto" w:line="288" w:after="80"/>
              <w:jc w:val="center"/>
              <w:rPr>
                <w:rFonts w:cs="Tahoma" w:eastAsia="Tahoma" w:hAnsi="Century Gothic" w:ascii="Century Gothic"/>
                <w:b/>
                <w:bCs/>
                <w:color w:val="000000"/>
                <w:u w:color="000000"/>
              </w:rPr>
            </w:pPr>
            <w:r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red</w:t>
            </w:r>
            <w:r w:rsidR="000C4DB6"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.</w:t>
            </w:r>
          </w:p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br.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Opis imovine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A11A4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 xml:space="preserve">Početna stečajna bilanca na dan 03.06.2017. 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A11A4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Završna steča</w:t>
            </w:r>
            <w:r w:rsidR="000A11A4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 xml:space="preserve">jna bilanca na dan 15.05.2019. </w:t>
            </w:r>
          </w:p>
        </w:tc>
      </w:tr>
      <w:tr w:rsidTr="000A11A4" w:rsidR="000C4DB6" w:rsidRPr="000C4DB6">
        <w:trPr>
          <w:trHeight w:val="230"/>
          <w:jc w:val="center"/>
        </w:trPr>
        <w:tc>
          <w:tcPr>
            <w:tcW w:type="dxa" w:w="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>1.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 xml:space="preserve">Nekretnine upisane u </w:t>
            </w:r>
          </w:p>
          <w:p w:rsidRDefault="000C4DB6" w:rsidP="000C4DB6" w:rsidR="000C4DB6" w:rsidRPr="000C4DB6">
            <w:pPr>
              <w:rPr>
                <w:rFonts w:hAnsi="Century Gothic" w:ascii="Century Gothic"/>
              </w:rPr>
            </w:pP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>-</w:t>
            </w:r>
            <w:r w:rsidRPr="000C4DB6">
              <w:rPr>
                <w:rFonts w:hAnsi="Century Gothic" w:ascii="Century Gothic"/>
              </w:rPr>
              <w:t xml:space="preserve"> </w:t>
            </w:r>
            <w:r w:rsidRPr="000C4DB6">
              <w:rPr>
                <w:rFonts w:hAnsi="Century Gothic" w:ascii="Century Gothic"/>
                <w:b/>
              </w:rPr>
              <w:t>zk.ul. 6560,</w:t>
            </w:r>
            <w:r w:rsidRPr="000C4DB6">
              <w:rPr>
                <w:rFonts w:hAnsi="Century Gothic" w:ascii="Century Gothic"/>
              </w:rPr>
              <w:t xml:space="preserve"> k.o. 309435, MOLVE, i to </w:t>
            </w:r>
          </w:p>
          <w:p w:rsidRDefault="000C4DB6" w:rsidP="000C4DB6" w:rsidR="000C4DB6" w:rsidRPr="000C4DB6">
            <w:pPr>
              <w:rPr>
                <w:rFonts w:hAnsi="Century Gothic" w:ascii="Century Gothic"/>
              </w:rPr>
            </w:pPr>
            <w:r w:rsidRPr="000C4DB6">
              <w:rPr>
                <w:rFonts w:hAnsi="Century Gothic" w:ascii="Century Gothic"/>
              </w:rPr>
              <w:t xml:space="preserve">kat.čestica </w:t>
            </w:r>
            <w:r w:rsidRPr="000C4DB6">
              <w:rPr>
                <w:rFonts w:hAnsi="Century Gothic" w:ascii="Century Gothic"/>
                <w:b/>
              </w:rPr>
              <w:t>3072/2,</w:t>
            </w:r>
            <w:r w:rsidRPr="000C4DB6">
              <w:rPr>
                <w:rFonts w:hAnsi="Century Gothic" w:ascii="Century Gothic"/>
              </w:rPr>
              <w:t xml:space="preserve"> U ULICI MOLVE LEDINE, parkiralište, površine 281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  <w:r w:rsidRPr="000C4DB6">
              <w:rPr>
                <w:rFonts w:hAnsi="Century Gothic" w:ascii="Century Gothic"/>
              </w:rPr>
              <w:t xml:space="preserve">, </w:t>
            </w:r>
          </w:p>
          <w:p w:rsidRDefault="000C4DB6" w:rsidP="000C4DB6" w:rsidR="000C4DB6" w:rsidRPr="000C4DB6">
            <w:pPr>
              <w:rPr>
                <w:rFonts w:hAnsi="Century Gothic" w:ascii="Century Gothic"/>
              </w:rPr>
            </w:pPr>
            <w:r w:rsidRPr="000C4DB6">
              <w:rPr>
                <w:rFonts w:hAnsi="Century Gothic" w:ascii="Century Gothic"/>
              </w:rPr>
              <w:t xml:space="preserve">kat.čestica </w:t>
            </w:r>
            <w:r w:rsidRPr="000C4DB6">
              <w:rPr>
                <w:rFonts w:hAnsi="Century Gothic" w:ascii="Century Gothic"/>
                <w:b/>
              </w:rPr>
              <w:t>3073</w:t>
            </w:r>
            <w:r w:rsidRPr="000C4DB6">
              <w:rPr>
                <w:rFonts w:hAnsi="Century Gothic" w:ascii="Century Gothic"/>
              </w:rPr>
              <w:t>, U ULICI MOLVE LEDINE, parkiralište površine 561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  <w:r w:rsidRPr="000C4DB6">
              <w:rPr>
                <w:rFonts w:hAnsi="Century Gothic" w:ascii="Century Gothic"/>
              </w:rPr>
              <w:t>, ukupne površine 842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</w:p>
          <w:p w:rsidRDefault="000C4DB6" w:rsidP="000C4DB6" w:rsidR="000C4DB6" w:rsidRPr="000C4DB6">
            <w:pPr>
              <w:rPr>
                <w:rFonts w:hAnsi="Century Gothic" w:ascii="Century Gothic"/>
              </w:rPr>
            </w:pPr>
            <w:r w:rsidRPr="000C4DB6">
              <w:rPr>
                <w:rFonts w:hAnsi="Century Gothic" w:ascii="Century Gothic"/>
              </w:rPr>
              <w:t>nekretnine upisane u:</w:t>
            </w:r>
          </w:p>
          <w:p w:rsidRDefault="000C4DB6" w:rsidP="000C4DB6" w:rsidR="000C4DB6" w:rsidRPr="000C4DB6">
            <w:pPr>
              <w:rPr>
                <w:rFonts w:hAnsi="Century Gothic" w:ascii="Century Gothic"/>
              </w:rPr>
            </w:pPr>
            <w:r w:rsidRPr="000C4DB6">
              <w:rPr>
                <w:rFonts w:hAnsi="Century Gothic" w:ascii="Century Gothic"/>
              </w:rPr>
              <w:t xml:space="preserve">- </w:t>
            </w:r>
            <w:r w:rsidRPr="000C4DB6">
              <w:rPr>
                <w:rFonts w:hAnsi="Century Gothic" w:ascii="Century Gothic"/>
                <w:b/>
              </w:rPr>
              <w:t>zk.ul. 7324,</w:t>
            </w:r>
            <w:r w:rsidRPr="000C4DB6">
              <w:rPr>
                <w:rFonts w:hAnsi="Century Gothic" w:ascii="Century Gothic"/>
              </w:rPr>
              <w:t xml:space="preserve"> k.o. 309435, MOLVE, i to  </w:t>
            </w:r>
          </w:p>
          <w:p w:rsidRDefault="000C4DB6" w:rsidP="000C4DB6" w:rsidR="000C4DB6" w:rsidRPr="000C4DB6">
            <w:pPr>
              <w:rPr>
                <w:rFonts w:hAnsi="Century Gothic" w:ascii="Century Gothic"/>
              </w:rPr>
            </w:pPr>
            <w:r w:rsidRPr="000C4DB6">
              <w:rPr>
                <w:rFonts w:hAnsi="Century Gothic" w:ascii="Century Gothic"/>
              </w:rPr>
              <w:t xml:space="preserve">kat. čestica </w:t>
            </w:r>
            <w:r w:rsidRPr="000C4DB6">
              <w:rPr>
                <w:rFonts w:hAnsi="Century Gothic" w:ascii="Century Gothic"/>
                <w:b/>
              </w:rPr>
              <w:t>3075,</w:t>
            </w:r>
            <w:r w:rsidRPr="000C4DB6">
              <w:rPr>
                <w:rFonts w:hAnsi="Century Gothic" w:ascii="Century Gothic"/>
              </w:rPr>
              <w:t xml:space="preserve"> u ULICI MOLVE LEDINE, izgrađeno zemljište površine 122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  <w:r w:rsidRPr="000C4DB6">
              <w:rPr>
                <w:rFonts w:hAnsi="Century Gothic" w:ascii="Century Gothic"/>
              </w:rPr>
              <w:t>, dvorište površine 300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  <w:r w:rsidRPr="000C4DB6">
              <w:rPr>
                <w:rFonts w:hAnsi="Century Gothic" w:ascii="Century Gothic"/>
              </w:rPr>
              <w:t xml:space="preserve">, </w:t>
            </w:r>
          </w:p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hAnsi="Century Gothic" w:ascii="Century Gothic"/>
              </w:rPr>
              <w:t>vrt površine 600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  <w:r w:rsidRPr="000C4DB6">
              <w:rPr>
                <w:rFonts w:hAnsi="Century Gothic" w:ascii="Century Gothic"/>
              </w:rPr>
              <w:t>, park površine 2093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  <w:r w:rsidRPr="000C4DB6">
              <w:rPr>
                <w:rFonts w:hAnsi="Century Gothic" w:ascii="Century Gothic"/>
              </w:rPr>
              <w:t>, parkiralište površine180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  <w:r w:rsidRPr="000C4DB6">
              <w:rPr>
                <w:rFonts w:hAnsi="Century Gothic" w:ascii="Century Gothic"/>
              </w:rPr>
              <w:t>, zgrada mješovite uporabe stambeno-poslovna zgrada kbr. 18, površine 335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  <w:r w:rsidRPr="000C4DB6">
              <w:rPr>
                <w:rFonts w:hAnsi="Century Gothic" w:ascii="Century Gothic"/>
              </w:rPr>
              <w:t>, ukupne površine 3630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 xml:space="preserve">1.200.000,00 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 xml:space="preserve">1.200.000,00  </w:t>
            </w:r>
          </w:p>
        </w:tc>
      </w:tr>
      <w:tr w:rsidTr="000A11A4" w:rsidR="000C4DB6" w:rsidRPr="000C4DB6">
        <w:trPr>
          <w:trHeight w:val="230"/>
          <w:jc w:val="center"/>
        </w:trPr>
        <w:tc>
          <w:tcPr>
            <w:tcW w:type="dxa" w:w="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>2.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hAnsi="Century Gothic" w:ascii="Century Gothic"/>
              </w:rPr>
              <w:t>nekretnina upisana u zk.ul. 32, k.o. Šarampov kat.čest. 159 – KUĆA, DVOR I ORANICA U SELU, ukupne površine 2599 m</w:t>
            </w:r>
            <w:r w:rsidRPr="000C4DB6">
              <w:rPr>
                <w:rFonts w:hAnsi="Century Gothic" w:ascii="Century Gothic"/>
                <w:vertAlign w:val="superscript"/>
              </w:rPr>
              <w:t>2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>802.000,00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>802.000,00</w:t>
            </w:r>
          </w:p>
        </w:tc>
      </w:tr>
      <w:tr w:rsidTr="000A11A4" w:rsidR="000C4DB6" w:rsidRPr="000C4DB6">
        <w:trPr>
          <w:trHeight w:val="230"/>
          <w:jc w:val="center"/>
        </w:trPr>
        <w:tc>
          <w:tcPr>
            <w:tcW w:type="dxa" w:w="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>3.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hAnsi="Century Gothic" w:ascii="Century Gothic"/>
              </w:rPr>
              <w:t>potraživanja (od kupaca, iz preuzetog duga, potrošačkih kredita, dana jamstva)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eastAsiaTheme="minorEastAsia" w:cs="Arial" w:hAnsi="Century Gothic" w:ascii="Century Gothic"/>
              </w:rPr>
              <w:t>10.145,49</w:t>
            </w: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 xml:space="preserve"> 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Tahoma" w:eastAsia="Calibri" w:hAnsi="Century Gothic" w:ascii="Century Gothic"/>
                <w:color w:val="000000"/>
                <w:u w:color="000000"/>
              </w:rPr>
              <w:t>0,00</w:t>
            </w:r>
          </w:p>
        </w:tc>
      </w:tr>
      <w:tr w:rsidTr="000A11A4" w:rsidR="000C4DB6" w:rsidRPr="000C4DB6">
        <w:trPr>
          <w:trHeight w:val="230"/>
          <w:jc w:val="center"/>
        </w:trPr>
        <w:tc>
          <w:tcPr>
            <w:tcW w:type="dxa" w:w="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A)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Arial Unicode MS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u w:color="000000"/>
              </w:rPr>
              <w:t>IMOVINA ( r.br. 1+2+3)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Arial Unicode MS" w:eastAsia="Calibri" w:hAnsi="Century Gothic" w:ascii="Century Gothic"/>
                <w:b/>
                <w:color w:val="000000"/>
                <w:u w:color="000000"/>
              </w:rPr>
            </w:pPr>
            <w:r w:rsidRPr="000C4DB6">
              <w:rPr>
                <w:rFonts w:eastAsiaTheme="minorEastAsia" w:hAnsi="Century Gothic" w:ascii="Century Gothic"/>
                <w:b/>
                <w:sz w:val="24"/>
                <w:szCs w:val="24"/>
              </w:rPr>
              <w:fldChar w:fldCharType="begin"/>
            </w:r>
            <w:r w:rsidRPr="000C4DB6">
              <w:rPr>
                <w:rFonts w:eastAsiaTheme="minorEastAsia" w:hAnsi="Century Gothic" w:ascii="Century Gothic"/>
                <w:b/>
                <w:sz w:val="24"/>
                <w:szCs w:val="24"/>
              </w:rPr>
              <w:instrText xml:space="preserve"> =SUM(ABOVE) </w:instrText>
            </w:r>
            <w:r w:rsidRPr="000C4DB6">
              <w:rPr>
                <w:rFonts w:eastAsiaTheme="minorEastAsia" w:hAnsi="Century Gothic" w:ascii="Century Gothic"/>
                <w:b/>
                <w:sz w:val="24"/>
                <w:szCs w:val="24"/>
              </w:rPr>
              <w:fldChar w:fldCharType="separate"/>
            </w:r>
            <w:r w:rsidRPr="000C4DB6">
              <w:rPr>
                <w:rFonts w:eastAsiaTheme="minorEastAsia" w:hAnsi="Century Gothic" w:ascii="Century Gothic"/>
                <w:b/>
                <w:noProof/>
                <w:sz w:val="24"/>
                <w:szCs w:val="24"/>
              </w:rPr>
              <w:t>2.012.145,49</w:t>
            </w:r>
            <w:r w:rsidRPr="000C4DB6">
              <w:rPr>
                <w:rFonts w:eastAsiaTheme="minorEastAsia" w:hAnsi="Century Gothic" w:ascii="Century Gothic"/>
                <w:b/>
                <w:sz w:val="24"/>
                <w:szCs w:val="24"/>
              </w:rPr>
              <w:fldChar w:fldCharType="end"/>
            </w:r>
            <w:r w:rsidRPr="000C4DB6">
              <w:rPr>
                <w:rFonts w:cs="Arial Unicode MS" w:eastAsia="Calibri" w:hAnsi="Century Gothic" w:ascii="Century Gothic"/>
                <w:b/>
                <w:color w:val="000000"/>
                <w:u w:color="000000"/>
              </w:rPr>
              <w:t xml:space="preserve"> 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Arial Unicode MS" w:eastAsia="Calibri" w:hAnsi="Century Gothic" w:ascii="Century Gothic"/>
                <w:b/>
                <w:color w:val="000000"/>
                <w:sz w:val="24"/>
                <w:szCs w:val="24"/>
                <w:u w:color="000000"/>
              </w:rPr>
            </w:pP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sz w:val="24"/>
                <w:szCs w:val="24"/>
                <w:u w:color="000000"/>
              </w:rPr>
              <w:t xml:space="preserve">2.002.000,00 </w:t>
            </w: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sz w:val="24"/>
                <w:szCs w:val="24"/>
                <w:u w:color="000000"/>
              </w:rPr>
              <w:fldChar w:fldCharType="begin"/>
            </w: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sz w:val="24"/>
                <w:szCs w:val="24"/>
                <w:u w:color="000000"/>
              </w:rPr>
              <w:instrText xml:space="preserve"> =SUM(ABOVE) </w:instrText>
            </w:r>
            <w:r w:rsidRPr="000C4DB6">
              <w:rPr>
                <w:rFonts w:cs="Arial Unicode MS" w:eastAsia="Calibri" w:hAnsi="Century Gothic" w:ascii="Century Gothic"/>
                <w:b/>
                <w:bCs/>
                <w:color w:val="000000"/>
                <w:sz w:val="24"/>
                <w:szCs w:val="24"/>
                <w:u w:color="000000"/>
              </w:rPr>
              <w:fldChar w:fldCharType="end"/>
            </w:r>
          </w:p>
        </w:tc>
      </w:tr>
      <w:tr w:rsidTr="000A11A4" w:rsidR="000C4DB6" w:rsidRPr="000C4DB6">
        <w:trPr>
          <w:trHeight w:val="230"/>
          <w:jc w:val="center"/>
        </w:trPr>
        <w:tc>
          <w:tcPr>
            <w:tcW w:type="dxa" w:w="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center"/>
              <w:rPr>
                <w:rFonts w:cs="Tahoma" w:eastAsia="Calibri" w:hAnsi="Century Gothic" w:ascii="Century Gothic"/>
                <w:iCs/>
                <w:sz w:val="24"/>
                <w:szCs w:val="24"/>
              </w:rPr>
            </w:pPr>
            <w:r w:rsidRPr="000C4DB6">
              <w:rPr>
                <w:rFonts w:eastAsiaTheme="minorEastAsia" w:cs="Tahoma" w:hAnsi="Century Gothic" w:ascii="Century Gothic"/>
                <w:bCs/>
                <w:iCs/>
                <w:szCs w:val="21"/>
              </w:rPr>
              <w:t>1.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Tahoma" w:eastAsia="Calibri" w:hAnsi="Century Gothic" w:ascii="Century Gothic"/>
              </w:rPr>
            </w:pPr>
            <w:r w:rsidRPr="000C4DB6">
              <w:rPr>
                <w:rFonts w:cs="Tahoma" w:eastAsia="Calibri" w:hAnsi="Century Gothic" w:ascii="Century Gothic"/>
              </w:rPr>
              <w:t>obveze prema bankama i financijskim institucijama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</w:rPr>
            </w:pPr>
            <w:r w:rsidRPr="000C4DB6">
              <w:rPr>
                <w:rFonts w:eastAsia="Calibri" w:hAnsi="Century Gothic" w:ascii="Century Gothic"/>
              </w:rPr>
              <w:t>2.288.179,31</w:t>
            </w:r>
            <w:r w:rsidRPr="000C4DB6">
              <w:rPr>
                <w:rFonts w:cs="Tahoma" w:eastAsia="Calibri" w:hAnsi="Century Gothic" w:ascii="Century Gothic"/>
              </w:rPr>
              <w:t xml:space="preserve"> 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</w:rPr>
            </w:pPr>
            <w:r w:rsidRPr="000C4DB6">
              <w:rPr>
                <w:rFonts w:eastAsia="Calibri" w:hAnsi="Century Gothic" w:ascii="Century Gothic"/>
              </w:rPr>
              <w:t>2.288.179,31</w:t>
            </w:r>
          </w:p>
        </w:tc>
      </w:tr>
      <w:tr w:rsidTr="000A11A4" w:rsidR="000C4DB6" w:rsidRPr="000C4DB6">
        <w:trPr>
          <w:trHeight w:val="230"/>
          <w:jc w:val="center"/>
        </w:trPr>
        <w:tc>
          <w:tcPr>
            <w:tcW w:type="dxa" w:w="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center"/>
              <w:rPr>
                <w:rFonts w:eastAsiaTheme="minorEastAsia" w:cs="Tahoma" w:hAnsi="Century Gothic" w:ascii="Century Gothic"/>
                <w:bCs/>
                <w:iCs/>
                <w:szCs w:val="21"/>
              </w:rPr>
            </w:pPr>
            <w:r w:rsidRPr="000C4DB6">
              <w:rPr>
                <w:rFonts w:eastAsiaTheme="minorEastAsia" w:cs="Tahoma" w:hAnsi="Century Gothic" w:ascii="Century Gothic"/>
                <w:bCs/>
                <w:iCs/>
                <w:szCs w:val="21"/>
              </w:rPr>
              <w:t>2.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both"/>
              <w:rPr>
                <w:rFonts w:cs="Tahoma" w:eastAsia="Calibri" w:hAnsi="Century Gothic" w:ascii="Century Gothic"/>
                <w:iCs/>
                <w:sz w:val="24"/>
                <w:szCs w:val="24"/>
              </w:rPr>
            </w:pPr>
            <w:r w:rsidRPr="000C4DB6">
              <w:rPr>
                <w:rFonts w:eastAsiaTheme="minorEastAsia" w:cs="Tahoma" w:hAnsi="Century Gothic" w:ascii="Century Gothic"/>
                <w:szCs w:val="21"/>
              </w:rPr>
              <w:t>obveze prema dobavljačima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  <w:iCs/>
              </w:rPr>
            </w:pPr>
            <w:r w:rsidRPr="000C4DB6">
              <w:rPr>
                <w:rFonts w:cs="Tahoma" w:eastAsia="Calibri" w:hAnsi="Century Gothic" w:ascii="Century Gothic"/>
                <w:iCs/>
              </w:rPr>
              <w:t>21.403,60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  <w:iCs/>
              </w:rPr>
            </w:pPr>
            <w:r w:rsidRPr="000C4DB6">
              <w:rPr>
                <w:rFonts w:cs="Tahoma" w:eastAsia="Calibri" w:hAnsi="Century Gothic" w:ascii="Century Gothic"/>
                <w:iCs/>
              </w:rPr>
              <w:t>21.403,60</w:t>
            </w:r>
          </w:p>
        </w:tc>
      </w:tr>
      <w:tr w:rsidTr="000A11A4" w:rsidR="000C4DB6" w:rsidRPr="000C4DB6">
        <w:trPr>
          <w:trHeight w:val="230"/>
          <w:jc w:val="center"/>
        </w:trPr>
        <w:tc>
          <w:tcPr>
            <w:tcW w:type="dxa" w:w="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center"/>
              <w:rPr>
                <w:rFonts w:eastAsiaTheme="minorEastAsia" w:cs="Tahoma" w:hAnsi="Century Gothic" w:ascii="Century Gothic"/>
                <w:bCs/>
                <w:iCs/>
                <w:szCs w:val="21"/>
              </w:rPr>
            </w:pPr>
            <w:r w:rsidRPr="000C4DB6">
              <w:rPr>
                <w:rFonts w:eastAsiaTheme="minorEastAsia" w:cs="Tahoma" w:hAnsi="Century Gothic" w:ascii="Century Gothic"/>
                <w:bCs/>
                <w:iCs/>
                <w:szCs w:val="21"/>
              </w:rPr>
              <w:t>3.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both"/>
              <w:rPr>
                <w:rFonts w:eastAsiaTheme="minorEastAsia" w:cs="Tahoma" w:hAnsi="Century Gothic" w:ascii="Century Gothic"/>
                <w:szCs w:val="21"/>
              </w:rPr>
            </w:pPr>
            <w:r w:rsidRPr="000C4DB6">
              <w:rPr>
                <w:rFonts w:eastAsiaTheme="minorEastAsia" w:cs="Tahoma" w:hAnsi="Century Gothic" w:ascii="Century Gothic"/>
                <w:szCs w:val="21"/>
              </w:rPr>
              <w:t>obveze za poreze i doprinose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right"/>
              <w:rPr>
                <w:rFonts w:eastAsiaTheme="minorEastAsia" w:cs="Tahoma" w:hAnsi="Tahoma" w:ascii="Tahoma"/>
              </w:rPr>
            </w:pPr>
            <w:r w:rsidRPr="000C4DB6">
              <w:rPr>
                <w:rFonts w:eastAsia="Calibri" w:hAnsi="Century Gothic" w:ascii="Century Gothic"/>
              </w:rPr>
              <w:t xml:space="preserve">23.263,28  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right"/>
              <w:rPr>
                <w:rFonts w:eastAsiaTheme="minorEastAsia" w:cs="Tahoma" w:hAnsi="Tahoma" w:ascii="Tahoma"/>
              </w:rPr>
            </w:pPr>
            <w:r w:rsidRPr="000C4DB6">
              <w:rPr>
                <w:rFonts w:eastAsia="Calibri" w:hAnsi="Century Gothic" w:ascii="Century Gothic"/>
              </w:rPr>
              <w:t xml:space="preserve">23.263,28  </w:t>
            </w:r>
          </w:p>
        </w:tc>
      </w:tr>
      <w:tr w:rsidTr="000A11A4" w:rsidR="000C4DB6" w:rsidRPr="000C4DB6">
        <w:trPr>
          <w:trHeight w:val="230"/>
          <w:jc w:val="center"/>
        </w:trPr>
        <w:tc>
          <w:tcPr>
            <w:tcW w:type="dxa" w:w="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center"/>
              <w:rPr>
                <w:rFonts w:eastAsiaTheme="minorEastAsia" w:cs="Tahoma" w:hAnsi="Century Gothic" w:ascii="Century Gothic"/>
                <w:bCs/>
                <w:iCs/>
                <w:szCs w:val="21"/>
              </w:rPr>
            </w:pPr>
            <w:r w:rsidRPr="000C4DB6">
              <w:rPr>
                <w:rFonts w:eastAsiaTheme="minorEastAsia" w:cs="Tahoma" w:hAnsi="Century Gothic" w:ascii="Century Gothic"/>
                <w:bCs/>
                <w:iCs/>
                <w:szCs w:val="21"/>
              </w:rPr>
              <w:t>4.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both"/>
              <w:rPr>
                <w:rFonts w:eastAsiaTheme="minorEastAsia" w:cs="Tahoma" w:hAnsi="Century Gothic" w:ascii="Century Gothic"/>
              </w:rPr>
            </w:pPr>
            <w:r w:rsidRPr="000C4DB6">
              <w:rPr>
                <w:rFonts w:cs="Arial Unicode MS" w:eastAsia="Calibri" w:hAnsi="Century Gothic" w:ascii="Century Gothic"/>
                <w:color w:val="000000"/>
                <w:u w:color="000000"/>
              </w:rPr>
              <w:t>obveze za neplaćene troškove stečajnog postupka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right"/>
              <w:rPr>
                <w:rFonts w:eastAsiaTheme="minorEastAsia" w:cs="Tahoma" w:hAnsi="Century Gothic" w:ascii="Century Gothic"/>
              </w:rPr>
            </w:pPr>
            <w:r w:rsidRPr="000C4DB6">
              <w:rPr>
                <w:rFonts w:eastAsiaTheme="minorEastAsia" w:cs="Tahoma" w:hAnsi="Century Gothic" w:ascii="Century Gothic"/>
              </w:rPr>
              <w:t>0,00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 w:after="80"/>
              <w:jc w:val="right"/>
              <w:rPr>
                <w:rFonts w:cs="Tahoma" w:eastAsia="Calibri" w:hAnsi="Century Gothic" w:ascii="Century Gothic"/>
                <w:color w:val="000000"/>
                <w:u w:color="000000"/>
              </w:rPr>
            </w:pPr>
            <w:r w:rsidRPr="000C4DB6">
              <w:rPr>
                <w:rFonts w:cs="Tahoma" w:eastAsia="Calibri" w:hAnsi="Century Gothic" w:ascii="Century Gothic"/>
                <w:color w:val="000000"/>
                <w:u w:color="000000"/>
              </w:rPr>
              <w:t>8.618,38</w:t>
            </w:r>
          </w:p>
        </w:tc>
      </w:tr>
      <w:tr w:rsidTr="000A11A4" w:rsidR="000C4DB6" w:rsidRPr="000C4DB6">
        <w:trPr>
          <w:trHeight w:val="230"/>
          <w:jc w:val="center"/>
        </w:trPr>
        <w:tc>
          <w:tcPr>
            <w:tcW w:type="dxa" w:w="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center"/>
              <w:rPr>
                <w:rFonts w:eastAsiaTheme="minorEastAsia" w:cs="Tahoma" w:hAnsi="Century Gothic" w:ascii="Century Gothic"/>
                <w:bCs/>
                <w:iCs/>
                <w:szCs w:val="21"/>
              </w:rPr>
            </w:pPr>
            <w:r w:rsidRPr="000C4DB6">
              <w:rPr>
                <w:rFonts w:eastAsiaTheme="minorEastAsia" w:cs="Tahoma" w:hAnsi="Century Gothic" w:ascii="Century Gothic"/>
                <w:b/>
                <w:bCs/>
                <w:iCs/>
              </w:rPr>
              <w:t>B)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both"/>
              <w:rPr>
                <w:rFonts w:eastAsiaTheme="minorEastAsia" w:cs="Tahoma" w:hAnsi="Century Gothic" w:ascii="Century Gothic"/>
                <w:szCs w:val="21"/>
              </w:rPr>
            </w:pPr>
            <w:r w:rsidRPr="000C4DB6">
              <w:rPr>
                <w:rFonts w:eastAsiaTheme="minorEastAsia" w:cs="Tahoma" w:hAnsi="Century Gothic" w:ascii="Century Gothic"/>
                <w:b/>
              </w:rPr>
              <w:t>OBVEZE (r.br.1+2+3+4)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right"/>
              <w:rPr>
                <w:rFonts w:eastAsiaTheme="minorEastAsia" w:cs="Tahoma" w:hAnsi="Tahoma" w:ascii="Tahoma"/>
              </w:rPr>
            </w:pPr>
            <w:r w:rsidRPr="000C4DB6">
              <w:rPr>
                <w:rFonts w:eastAsiaTheme="minorEastAsia" w:cs="Tahoma" w:hAnsi="Century Gothic" w:ascii="Century Gothic"/>
              </w:rPr>
              <w:t xml:space="preserve"> </w:t>
            </w:r>
            <w:r w:rsidRPr="000C4DB6">
              <w:rPr>
                <w:rFonts w:cs="Tahoma" w:eastAsia="Calibri" w:hAnsi="Century Gothic" w:ascii="Century Gothic"/>
                <w:b/>
                <w:sz w:val="24"/>
                <w:szCs w:val="24"/>
              </w:rPr>
              <w:fldChar w:fldCharType="begin"/>
            </w:r>
            <w:r w:rsidRPr="000C4DB6">
              <w:rPr>
                <w:rFonts w:cs="Tahoma" w:eastAsia="Calibri" w:hAnsi="Century Gothic" w:ascii="Century Gothic"/>
                <w:b/>
                <w:sz w:val="24"/>
                <w:szCs w:val="24"/>
              </w:rPr>
              <w:instrText xml:space="preserve"> =SUM(ABOVE) </w:instrText>
            </w:r>
            <w:r w:rsidRPr="000C4DB6">
              <w:rPr>
                <w:rFonts w:cs="Tahoma" w:eastAsia="Calibri" w:hAnsi="Century Gothic" w:ascii="Century Gothic"/>
                <w:b/>
                <w:sz w:val="24"/>
                <w:szCs w:val="24"/>
              </w:rPr>
              <w:fldChar w:fldCharType="separate"/>
            </w:r>
            <w:r w:rsidRPr="000C4DB6">
              <w:rPr>
                <w:rFonts w:cs="Tahoma" w:eastAsia="Calibri" w:hAnsi="Century Gothic" w:ascii="Century Gothic"/>
                <w:b/>
                <w:noProof/>
                <w:sz w:val="24"/>
                <w:szCs w:val="24"/>
              </w:rPr>
              <w:t>2.268.</w:t>
            </w:r>
            <w:r w:rsidRPr="000C4DB6">
              <w:rPr>
                <w:rFonts w:cs="Tahoma" w:eastAsia="Calibri" w:hAnsi="Century Gothic" w:ascii="Century Gothic"/>
                <w:b/>
                <w:sz w:val="24"/>
                <w:szCs w:val="24"/>
              </w:rPr>
              <w:fldChar w:fldCharType="end"/>
            </w:r>
            <w:r w:rsidRPr="000C4DB6">
              <w:rPr>
                <w:rFonts w:cs="Tahoma" w:eastAsia="Calibri" w:hAnsi="Century Gothic" w:ascii="Century Gothic"/>
                <w:b/>
                <w:sz w:val="24"/>
                <w:szCs w:val="24"/>
              </w:rPr>
              <w:t>435,21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0C4DB6" w:rsidP="000C4DB6" w:rsidR="000C4DB6" w:rsidRPr="000C4DB6">
            <w:pPr>
              <w:spacing w:lineRule="auto" w:line="288"/>
              <w:jc w:val="right"/>
              <w:rPr>
                <w:rFonts w:eastAsiaTheme="minorEastAsia" w:cs="Tahoma" w:hAnsi="Tahoma" w:ascii="Tahoma"/>
              </w:rPr>
            </w:pPr>
            <w:r w:rsidRPr="000C4DB6">
              <w:rPr>
                <w:rFonts w:eastAsiaTheme="minorEastAsia" w:hAnsi="Century Gothic" w:ascii="Century Gothic"/>
                <w:b/>
                <w:noProof/>
                <w:sz w:val="24"/>
                <w:szCs w:val="24"/>
              </w:rPr>
              <w:t>2.277.053,59</w:t>
            </w:r>
            <w:r w:rsidRPr="000C4DB6">
              <w:rPr>
                <w:rFonts w:cs="Tahoma" w:eastAsia="Calibri" w:hAnsi="Century Gothic" w:ascii="Century Gothic"/>
                <w:b/>
                <w:color w:val="000000"/>
                <w:u w:color="000000"/>
              </w:rPr>
              <w:t xml:space="preserve"> </w:t>
            </w:r>
          </w:p>
        </w:tc>
      </w:tr>
    </w:tbl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Century Gothic" w:ascii="Century Gothic"/>
          <w:b/>
          <w:bCs/>
          <w:color w:val="000000"/>
          <w:bdr w:val="nil"/>
          <w:lang w:eastAsia="hr-HR"/>
        </w:rPr>
      </w:pPr>
      <w:r w:rsidRPr="000C4DB6">
        <w:rPr>
          <w:rFonts w:cs="Tahoma" w:eastAsia="Tahoma" w:hAnsi="Century Gothic" w:ascii="Century Gothic"/>
          <w:b/>
          <w:bCs/>
          <w:color w:val="000000"/>
          <w:bdr w:val="nil"/>
          <w:lang w:eastAsia="hr-HR"/>
        </w:rPr>
        <w:tab/>
      </w:r>
    </w:p>
    <w:p w:rsidRDefault="000C4DB6" w:rsidP="000A11A4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firstLine="708"/>
        <w:jc w:val="both"/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</w:pP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>Kako se</w:t>
      </w:r>
      <w:r w:rsidR="000A11A4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 vi</w:t>
      </w: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di iz tabele imovina stečajnog dužnika iskazana u početnoj stečajnoj bilanci u iznosu od 2.012.145,49 kuna, sastojala se od nekretnine i potraživanja, koja imovina tijekom ovog stečajnog postupka nije unovčena.  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</w:pPr>
    </w:p>
    <w:p w:rsidRDefault="000A11A4" w:rsidP="000C4DB6" w:rsidR="000A11A4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</w:pPr>
    </w:p>
    <w:p w:rsidRDefault="000A11A4" w:rsidP="000C4DB6" w:rsidR="000A11A4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</w:pPr>
    </w:p>
    <w:p w:rsidRDefault="000A11A4" w:rsidP="000C4DB6" w:rsidR="000A11A4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</w:pPr>
    </w:p>
    <w:p w:rsidRDefault="000C4DB6" w:rsidP="000A11A4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firstLine="708"/>
        <w:jc w:val="both"/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</w:pP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Na nekretnini upisanoj u zemljišne knjige koje vodi Općinski sud u Velikoj Gorici, Zemljišnoknjižni odjel u Ivanić Gradu u zk.ul.32, k.o. Šarampov  uknjiženo je založno pravo za korist razlučnog vjerovnika ZAGREBAČKA BANKA d.d., OIB: 92963223473, Zagreb, Trg bana Josipa Jelačića 10 i to za iznos od 150.000,00 EUR plativo u kunskoj protuvrijednosti po srednjem tečaju HNB na dan plaćanja, uvećano za sve ugovorene kamate, naknade i troškove a na nekretninama  upisanim u zemljišne knjige koje vodi Općinski sud u Koprivnici, u zk.ul. 7324 i zk. ul. 6560 k.o. Molve, uknjiženo je založno pravo za korist razlučnog vjerovnika  ZAGREBAČKA BANKA d.d., OIB: 92963223473, Zagreb, Trg bana Josipa Jelačića 10 i to za iznos od te  iznos od 650.000,00 kn uvećano za pripadajuće kamate i naknade.  </w:t>
      </w:r>
    </w:p>
    <w:p w:rsidRDefault="000C4DB6" w:rsidP="000C4DB6" w:rsidR="000C4DB6" w:rsidRPr="000C4DB6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Century Gothic" w:ascii="Century Gothic"/>
          <w:bCs/>
          <w:color w:val="000000"/>
          <w:bdr w:val="nil"/>
          <w:lang w:eastAsia="hr-HR"/>
        </w:rPr>
      </w:pPr>
      <w:r w:rsidRPr="000C4DB6">
        <w:rPr>
          <w:rFonts w:cs="Tahoma" w:eastAsia="Arial Unicode MS" w:hAnsi="Century Gothic" w:ascii="Century Gothic"/>
          <w:b/>
          <w:color w:val="000000"/>
          <w:u w:color="000000"/>
          <w:bdr w:val="nil"/>
          <w:lang w:eastAsia="hr-HR"/>
        </w:rPr>
        <w:t xml:space="preserve"> </w:t>
      </w:r>
    </w:p>
    <w:p w:rsidRDefault="000C4DB6" w:rsidP="000A11A4" w:rsidR="000C4DB6" w:rsidRPr="000C4DB6">
      <w:pPr>
        <w:spacing w:lineRule="auto" w:line="240" w:after="0"/>
        <w:ind w:firstLine="645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 xml:space="preserve">Gore naznačene nekretnine prodaju se u ovršnim postupcima </w:t>
      </w:r>
      <w:r w:rsidR="000A11A4">
        <w:rPr>
          <w:rFonts w:cs="Times New Roman" w:eastAsia="Calibri" w:hAnsi="Century Gothic" w:ascii="Century Gothic"/>
        </w:rPr>
        <w:t>r</w:t>
      </w:r>
      <w:r w:rsidRPr="000C4DB6">
        <w:rPr>
          <w:rFonts w:cs="Times New Roman" w:eastAsia="Calibri" w:hAnsi="Century Gothic" w:ascii="Century Gothic"/>
        </w:rPr>
        <w:t>a</w:t>
      </w:r>
      <w:r w:rsidR="000A11A4">
        <w:rPr>
          <w:rFonts w:cs="Times New Roman" w:eastAsia="Calibri" w:hAnsi="Century Gothic" w:ascii="Century Gothic"/>
        </w:rPr>
        <w:t>di</w:t>
      </w:r>
      <w:r w:rsidRPr="000C4DB6">
        <w:rPr>
          <w:rFonts w:cs="Times New Roman" w:eastAsia="Calibri" w:hAnsi="Century Gothic" w:ascii="Century Gothic"/>
        </w:rPr>
        <w:t xml:space="preserve"> prodaj</w:t>
      </w:r>
      <w:r w:rsidR="000A11A4">
        <w:rPr>
          <w:rFonts w:cs="Times New Roman" w:eastAsia="Calibri" w:hAnsi="Century Gothic" w:ascii="Century Gothic"/>
        </w:rPr>
        <w:t>e nekretnina</w:t>
      </w:r>
      <w:r w:rsidRPr="000C4DB6">
        <w:rPr>
          <w:rFonts w:cs="Times New Roman" w:eastAsia="Calibri" w:hAnsi="Century Gothic" w:ascii="Century Gothic"/>
        </w:rPr>
        <w:t>. Postupci vode se pred Općinskim sudovima i to:</w:t>
      </w:r>
    </w:p>
    <w:p w:rsidRDefault="000C4DB6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  <w:color w:val="FF0000"/>
        </w:rPr>
      </w:pPr>
    </w:p>
    <w:p w:rsidRDefault="000C4DB6" w:rsidP="000C4DB6" w:rsidR="000C4DB6" w:rsidRPr="000C4DB6">
      <w:pPr>
        <w:numPr>
          <w:ilvl w:val="0"/>
          <w:numId w:val="19"/>
        </w:numPr>
        <w:spacing w:lineRule="auto" w:line="240" w:after="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>Općinskim sudom u Koprivnici posl. broj Ovr-1352/2018 ovrhovoditelja Zagrebačka banka d.d. OIB: 92963223473, Zagreb, Trg bana Josipa Jelačića 10, protiv  ovršenika  FELIX PROJEKT d.o.o. OIB: 43475535899, Deanovec (Ivanić-Grad), J.Cobovića 31, radi ovrhe na nekretnini u zk.ul. 6560 i zk.ul.</w:t>
      </w:r>
      <w:r w:rsidRPr="000C4DB6">
        <w:t xml:space="preserve"> </w:t>
      </w:r>
      <w:r w:rsidRPr="000C4DB6">
        <w:rPr>
          <w:rFonts w:cs="Times New Roman" w:eastAsia="Calibri" w:hAnsi="Century Gothic" w:ascii="Century Gothic"/>
        </w:rPr>
        <w:t>7324 k.o. Molve. U tijeku je prva elektronska   javna dražba koja traje do</w:t>
      </w:r>
      <w:r w:rsidRPr="000C4DB6">
        <w:rPr>
          <w:rFonts w:cs="Times New Roman" w:eastAsia="Calibri" w:hAnsi="Helvetica" w:ascii="Helvetica"/>
          <w:sz w:val="18"/>
          <w:szCs w:val="18"/>
          <w:shd w:fill="FFFFFF" w:color="auto" w:val="clear"/>
        </w:rPr>
        <w:t xml:space="preserve"> </w:t>
      </w:r>
      <w:r w:rsidRPr="000C4DB6">
        <w:rPr>
          <w:rFonts w:cs="Times New Roman" w:eastAsia="Calibri" w:hAnsi="Century Gothic" w:ascii="Century Gothic"/>
          <w:shd w:fill="FFFFFF" w:color="auto" w:val="clear"/>
        </w:rPr>
        <w:t>21.05.2019 u 23:59:59 sati.</w:t>
      </w:r>
    </w:p>
    <w:p w:rsidRDefault="000C4DB6" w:rsidP="000C4DB6" w:rsidR="000C4DB6" w:rsidRPr="000C4DB6">
      <w:pPr>
        <w:numPr>
          <w:ilvl w:val="0"/>
          <w:numId w:val="19"/>
        </w:numPr>
        <w:spacing w:lineRule="auto" w:line="240" w:after="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 xml:space="preserve"> pred Općinskim sudom u Velikoj Gorici, Stalna služba u Ivanić Gradu poslovni broj Ovr-2161/2017 ovrhovoditelja Zagrebačka banka d.d. OIB: 92963223473, Zagreb, Trg bana Josipa Jelačića 10 protiv  ovršenika  FELIX PROJEKT d.o.o. OIB: 43475535899, Deanovec (Ivanić-Grad), J.Cobovića 31, radi ovrhe na nekretnini u zk.ul.32, k.o. Šarampov. U tijeku je prva elektronska javna dražba koja traje do 20.05. 2019. u 23:59:59 sati.</w:t>
      </w:r>
    </w:p>
    <w:p w:rsidRDefault="000A11A4" w:rsidP="000C4DB6" w:rsidR="000A11A4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</w:p>
    <w:p w:rsidRDefault="000C4DB6" w:rsidP="000A11A4" w:rsidR="000C4DB6" w:rsidRPr="000C4DB6">
      <w:pPr>
        <w:spacing w:lineRule="auto" w:line="240" w:after="120"/>
        <w:ind w:firstLine="645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>Slijedom iznijetog, imovina po završnoj stečajnoj bilanci na dan 15.05.2019. godine ukupno iznosi 2.002.000,00 kn, a odnosi se na nekretnine u vlasništvu stečajnog dužnika koje se prodaju na prijedlog razlučnog vjerovnika u gore naznačenim ovršnim postupcima.</w:t>
      </w: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 xml:space="preserve"> III. ZAVRŠNI IZVJEŠTAJ STEČAJNOGA UPRAVITELJA </w:t>
      </w: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</w:p>
    <w:p w:rsidRDefault="000C4DB6" w:rsidP="000A11A4" w:rsidR="000C4DB6" w:rsidRPr="000C4DB6">
      <w:pPr>
        <w:spacing w:lineRule="auto" w:line="240" w:after="120"/>
        <w:ind w:firstLine="708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 xml:space="preserve">Stečajni postupak nad dužnikom otvoren je Rješenjem Trgovačkog suda u Zagrebu poslovni broj St-5738/16 od 02. lipnja 2017. godine.  </w:t>
      </w:r>
    </w:p>
    <w:p w:rsidRDefault="000C4DB6" w:rsidP="000A11A4" w:rsidR="000C4DB6" w:rsidRPr="000C4DB6">
      <w:pPr>
        <w:spacing w:lineRule="auto" w:line="240" w:after="120"/>
        <w:ind w:firstLine="708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>Dana 27. rujna 2017. godine rješenjem suda promijenjen je stečajni upravitelj a rješenjem od 29. rujna 2017. godine ispitno i izvještajno ročište određeni su za dan 8. studenoga 2017. godine.</w:t>
      </w:r>
    </w:p>
    <w:p w:rsidRDefault="000C4DB6" w:rsidP="000A11A4" w:rsidR="000C4DB6" w:rsidRPr="000C4DB6">
      <w:pPr>
        <w:spacing w:lineRule="auto" w:line="240" w:after="120"/>
        <w:ind w:firstLine="708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>Na dan otvaranja stečajnog postupka stečajni dužnik nije imao zaposlenih radnika.</w:t>
      </w:r>
    </w:p>
    <w:p w:rsidRDefault="000C4DB6" w:rsidP="000A11A4" w:rsidR="000A11A4">
      <w:pPr>
        <w:spacing w:lineRule="auto" w:line="240" w:after="120"/>
        <w:ind w:firstLine="708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lastRenderedPageBreak/>
        <w:t xml:space="preserve">U ovom stečajnom postupku održano je Ispitno i izvještajno ročište dana 08. studenoga 2017. godine na kojem su ročištu ispitane tražbine stečajnih vjerovnika, te </w:t>
      </w:r>
    </w:p>
    <w:p w:rsidRDefault="000A11A4" w:rsidP="000A11A4" w:rsidR="000A11A4">
      <w:pPr>
        <w:spacing w:lineRule="auto" w:line="240" w:after="120"/>
        <w:ind w:firstLine="708"/>
        <w:jc w:val="both"/>
        <w:rPr>
          <w:rFonts w:cs="Times New Roman" w:eastAsia="Calibri" w:hAnsi="Century Gothic" w:ascii="Century Gothic"/>
        </w:rPr>
      </w:pPr>
    </w:p>
    <w:p w:rsidRDefault="000A11A4" w:rsidP="000A11A4" w:rsidR="000A11A4">
      <w:pPr>
        <w:spacing w:lineRule="auto" w:line="240" w:after="120"/>
        <w:ind w:firstLine="708"/>
        <w:jc w:val="both"/>
        <w:rPr>
          <w:rFonts w:cs="Times New Roman" w:eastAsia="Calibri" w:hAnsi="Century Gothic" w:ascii="Century Gothic"/>
        </w:rPr>
      </w:pPr>
    </w:p>
    <w:p w:rsidRDefault="000A11A4" w:rsidP="000A11A4" w:rsidR="000A11A4">
      <w:pPr>
        <w:spacing w:lineRule="auto" w:line="240" w:after="120"/>
        <w:ind w:firstLine="708"/>
        <w:jc w:val="both"/>
        <w:rPr>
          <w:rFonts w:cs="Times New Roman" w:eastAsia="Calibri" w:hAnsi="Century Gothic" w:ascii="Century Gothic"/>
        </w:rPr>
      </w:pPr>
    </w:p>
    <w:p w:rsidRDefault="000C4DB6" w:rsidP="000A11A4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 xml:space="preserve">je sastavljen pregled imovine i obveza stečajnog dužnika sukladno čl. 223. Stečajnog zakona sa iskazanim stanjem imovine u iznosu od 2.012.145,49  i obveza u iznosu od     </w:t>
      </w:r>
      <w:r w:rsidRPr="000C4DB6">
        <w:rPr>
          <w:rFonts w:eastAsiaTheme="minorEastAsia" w:cs="Tahoma" w:hAnsi="Century Gothic" w:ascii="Century Gothic"/>
        </w:rPr>
        <w:t xml:space="preserve"> </w:t>
      </w:r>
      <w:r w:rsidRPr="000A11A4">
        <w:rPr>
          <w:rFonts w:cs="Tahoma" w:eastAsia="Calibri" w:hAnsi="Century Gothic" w:ascii="Century Gothic"/>
        </w:rPr>
        <w:fldChar w:fldCharType="begin"/>
      </w:r>
      <w:r w:rsidRPr="000A11A4">
        <w:rPr>
          <w:rFonts w:cs="Tahoma" w:eastAsia="Calibri" w:hAnsi="Century Gothic" w:ascii="Century Gothic"/>
        </w:rPr>
        <w:instrText xml:space="preserve"> =SUM(ABOVE) </w:instrText>
      </w:r>
      <w:r w:rsidRPr="000A11A4">
        <w:rPr>
          <w:rFonts w:cs="Tahoma" w:eastAsia="Calibri" w:hAnsi="Century Gothic" w:ascii="Century Gothic"/>
        </w:rPr>
        <w:fldChar w:fldCharType="separate"/>
      </w:r>
      <w:r w:rsidRPr="000A11A4">
        <w:rPr>
          <w:rFonts w:cs="Tahoma" w:eastAsia="Calibri" w:hAnsi="Century Gothic" w:ascii="Century Gothic"/>
          <w:noProof/>
        </w:rPr>
        <w:t>2.268.</w:t>
      </w:r>
      <w:r w:rsidRPr="000A11A4">
        <w:rPr>
          <w:rFonts w:cs="Tahoma" w:eastAsia="Calibri" w:hAnsi="Century Gothic" w:ascii="Century Gothic"/>
        </w:rPr>
        <w:fldChar w:fldCharType="end"/>
      </w:r>
      <w:r w:rsidRPr="000A11A4">
        <w:rPr>
          <w:rFonts w:cs="Tahoma" w:eastAsia="Calibri" w:hAnsi="Century Gothic" w:ascii="Century Gothic"/>
        </w:rPr>
        <w:t>435,21</w:t>
      </w:r>
      <w:r w:rsidRPr="000C4DB6">
        <w:rPr>
          <w:rFonts w:cs="Tahoma" w:eastAsia="Calibri" w:hAnsi="Century Gothic" w:ascii="Century Gothic"/>
          <w:b/>
          <w:sz w:val="24"/>
          <w:szCs w:val="24"/>
        </w:rPr>
        <w:t xml:space="preserve"> </w:t>
      </w:r>
      <w:r w:rsidRPr="000C4DB6">
        <w:rPr>
          <w:rFonts w:cs="Times New Roman" w:eastAsia="Calibri" w:hAnsi="Century Gothic" w:ascii="Century Gothic"/>
        </w:rPr>
        <w:t>kuna temeljem ispitanih i priznatih tražbina vjerovnika koje su svrstane u tražbine II višeg isplatnog reda.</w:t>
      </w:r>
    </w:p>
    <w:p w:rsidRDefault="000C4DB6" w:rsidP="000A11A4" w:rsidR="000C4DB6" w:rsidRPr="000C4DB6">
      <w:pPr>
        <w:spacing w:lineRule="auto" w:line="240" w:after="120"/>
        <w:ind w:firstLine="708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 xml:space="preserve">Slijedom iznijetog, obveze stečajnog dužnika na dan 15.05.2019. godine iznose </w:t>
      </w:r>
      <w:r w:rsidRPr="000A11A4">
        <w:rPr>
          <w:rFonts w:eastAsiaTheme="minorEastAsia" w:hAnsi="Century Gothic" w:ascii="Century Gothic"/>
          <w:noProof/>
        </w:rPr>
        <w:t>2.277.053,59</w:t>
      </w:r>
      <w:r w:rsidRPr="000C4DB6">
        <w:rPr>
          <w:rFonts w:cs="Times New Roman" w:eastAsia="Calibri" w:hAnsi="Century Gothic" w:ascii="Century Gothic"/>
        </w:rPr>
        <w:t xml:space="preserve"> kn i odnose se na:</w:t>
      </w: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>-</w:t>
      </w:r>
      <w:r w:rsidRPr="000C4DB6">
        <w:rPr>
          <w:rFonts w:cs="Times New Roman" w:eastAsia="Calibri" w:hAnsi="Century Gothic" w:ascii="Century Gothic"/>
        </w:rPr>
        <w:tab/>
        <w:t xml:space="preserve">obveze prema dobavljačima temeljem prijavljenih i ispitanih tražbina u iznosu </w:t>
      </w:r>
      <w:r w:rsidRPr="000C4DB6">
        <w:rPr>
          <w:rFonts w:cs="Times New Roman" w:eastAsia="Calibri" w:hAnsi="Century Gothic" w:ascii="Century Gothic"/>
        </w:rPr>
        <w:tab/>
        <w:t>od 21.403,60 kn,</w:t>
      </w: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>-</w:t>
      </w:r>
      <w:r w:rsidRPr="000C4DB6">
        <w:rPr>
          <w:rFonts w:cs="Times New Roman" w:eastAsia="Calibri" w:hAnsi="Century Gothic" w:ascii="Century Gothic"/>
        </w:rPr>
        <w:tab/>
        <w:t>obveze prema bankama i financijskim institucijama u iznosu 2.288.179,31 kn,</w:t>
      </w: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>-</w:t>
      </w:r>
      <w:r w:rsidRPr="000C4DB6">
        <w:rPr>
          <w:rFonts w:cs="Times New Roman" w:eastAsia="Calibri" w:hAnsi="Century Gothic" w:ascii="Century Gothic"/>
        </w:rPr>
        <w:tab/>
        <w:t xml:space="preserve">obveze za poreze i doprinose temeljem prijavljenih i ispitanih tražbina u iznosu </w:t>
      </w:r>
      <w:r w:rsidRPr="000C4DB6">
        <w:rPr>
          <w:rFonts w:cs="Times New Roman" w:eastAsia="Calibri" w:hAnsi="Century Gothic" w:ascii="Century Gothic"/>
        </w:rPr>
        <w:tab/>
        <w:t>od 23.263,28  kn,</w:t>
      </w: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>-</w:t>
      </w:r>
      <w:r w:rsidRPr="000C4DB6">
        <w:rPr>
          <w:rFonts w:cs="Times New Roman" w:eastAsia="Calibri" w:hAnsi="Century Gothic" w:ascii="Century Gothic"/>
        </w:rPr>
        <w:tab/>
        <w:t>obveze za nepodmirene troškove  stečajnog postupka u iznosu od 8.618,38  kn.</w:t>
      </w: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right="113"/>
        <w:jc w:val="both"/>
        <w:rPr>
          <w:rFonts w:cs="Tahoma" w:eastAsia="Arial Unicode MS" w:hAnsi="Century Gothic" w:ascii="Century Gothic"/>
          <w:b/>
          <w:bdr w:val="nil"/>
        </w:rPr>
      </w:pPr>
      <w:r w:rsidRPr="000C4DB6">
        <w:rPr>
          <w:rFonts w:cs="Tahoma" w:eastAsia="Arial Unicode MS" w:hAnsi="Century Gothic" w:ascii="Century Gothic"/>
          <w:b/>
          <w:bdr w:val="nil"/>
        </w:rPr>
        <w:t xml:space="preserve">IV.ZAVRŠNI (DIOBNI) POPIS (VJEROVNICI II. VIŠEG ISPLATNOG REDA) </w:t>
      </w:r>
    </w:p>
    <w:p w:rsidRDefault="000C4DB6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0C4DB6" w:rsidP="000A11A4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firstLine="708"/>
        <w:jc w:val="both"/>
        <w:rPr>
          <w:rFonts w:cs="Arial Unicode MS" w:eastAsia="Arial Unicode MS" w:hAnsi="Century Gothic" w:ascii="Century Gothic"/>
          <w:color w:val="000000"/>
          <w:bdr w:val="nil"/>
          <w:lang w:eastAsia="hr-HR"/>
        </w:rPr>
      </w:pPr>
      <w:r w:rsidRPr="000C4DB6">
        <w:rPr>
          <w:rFonts w:cs="Arial Unicode MS" w:eastAsia="Arial Unicode MS" w:hAnsi="Century Gothic" w:ascii="Century Gothic"/>
          <w:color w:val="000000"/>
          <w:u w:color="000000"/>
          <w:bdr w:val="nil"/>
          <w:lang w:eastAsia="hr-HR"/>
        </w:rPr>
        <w:t xml:space="preserve">Obzirom da u tijeku stečajnog postupka zbog </w:t>
      </w:r>
      <w:r w:rsidRPr="000C4DB6">
        <w:rPr>
          <w:rFonts w:cs="Times New Roman" w:eastAsia="Calibri" w:hAnsi="Century Gothic" w:ascii="Century Gothic"/>
        </w:rPr>
        <w:t xml:space="preserve">nedostatnosti mase i za namirenje troškova stečajnoga postupka </w:t>
      </w:r>
      <w:r w:rsidRPr="000C4DB6">
        <w:rPr>
          <w:rFonts w:cs="Arial Unicode MS" w:eastAsia="Arial Unicode MS" w:hAnsi="Century Gothic" w:ascii="Century Gothic"/>
          <w:color w:val="000000"/>
          <w:bdr w:val="nil"/>
          <w:lang w:eastAsia="hr-HR"/>
        </w:rPr>
        <w:t>nije došlo do namirenja vjerovnika, to se u nastavku daje završni popis utvrđenih tražbina vjerovnika II. višeg isplatnog reda.</w:t>
      </w:r>
    </w:p>
    <w:p w:rsidRDefault="000C4DB6" w:rsidP="000C4DB6" w:rsidR="000C4DB6" w:rsidRPr="000C4DB6">
      <w:pPr>
        <w:spacing w:lineRule="auto" w:line="240" w:after="120"/>
        <w:jc w:val="both"/>
        <w:rPr>
          <w:rFonts w:cs="Tahoma" w:eastAsia="Arial Unicode MS" w:hAnsi="Century Gothic" w:ascii="Century Gothic"/>
          <w:b/>
          <w:bdr w:val="nil"/>
        </w:rPr>
      </w:pPr>
    </w:p>
    <w:tbl>
      <w:tblPr>
        <w:tblpPr w:tblpY="1" w:tblpXSpec="center" w:vertAnchor="text" w:rightFromText="180" w:leftFromText="180"/>
        <w:tblOverlap w:val="never"/>
        <w:tblW w:type="pct" w:w="492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20"/>
        <w:gridCol w:w="3197"/>
        <w:gridCol w:w="1744"/>
        <w:gridCol w:w="2035"/>
        <w:gridCol w:w="1453"/>
      </w:tblGrid>
      <w:tr w:rsidTr="000C4DB6" w:rsidR="000C4DB6" w:rsidRPr="000C4DB6">
        <w:trPr>
          <w:jc w:val="center"/>
        </w:trPr>
        <w:tc>
          <w:tcPr>
            <w:tcW w:type="pct" w:w="394"/>
            <w:shd w:themeFillShade="A6" w:themeFill="background1" w:fill="A6A6A6" w:color="auto" w:val="clear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Redni broj</w:t>
            </w:r>
          </w:p>
        </w:tc>
        <w:tc>
          <w:tcPr>
            <w:tcW w:type="pct" w:w="1747"/>
            <w:shd w:themeFillShade="A6" w:themeFill="background1" w:fill="A6A6A6" w:color="auto" w:val="clear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953"/>
            <w:shd w:themeFillShade="A6" w:themeFill="background1" w:fill="A6A6A6" w:color="auto" w:val="clear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1112"/>
            <w:shd w:themeFillShade="A6" w:themeFill="background1" w:fill="A6A6A6" w:color="auto" w:val="clear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Adresa / sjedište vjerovnika</w:t>
            </w:r>
          </w:p>
        </w:tc>
        <w:tc>
          <w:tcPr>
            <w:tcW w:type="pct" w:w="794"/>
            <w:shd w:themeFillShade="A6" w:themeFill="background1" w:fill="A6A6A6" w:color="auto" w:val="clear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Iznos utvrđene tražbine (kn)</w:t>
            </w: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</w:rPr>
              <w:footnoteReference w:id="1"/>
            </w:r>
          </w:p>
        </w:tc>
      </w:tr>
      <w:tr w:rsidTr="000C4DB6" w:rsidR="000C4DB6" w:rsidRPr="000C4DB6">
        <w:trPr>
          <w:jc w:val="center"/>
        </w:trPr>
        <w:tc>
          <w:tcPr>
            <w:tcW w:type="pct" w:w="3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pct" w:w="1747"/>
            <w:shd w:themeFill="background1" w:fill="FFFFFF" w:color="auto" w:val="clear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HRVATSKE VODE, VODNOGOSPODARSKI ODJEL ZA MURU I GORNJU DRAVU</w:t>
            </w:r>
          </w:p>
        </w:tc>
        <w:tc>
          <w:tcPr>
            <w:tcW w:type="pct" w:w="953"/>
            <w:shd w:themeFill="background1" w:fill="FFFFFF" w:color="auto" w:val="clear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28921383001</w:t>
            </w:r>
          </w:p>
        </w:tc>
        <w:tc>
          <w:tcPr>
            <w:tcW w:type="pct" w:w="1112"/>
            <w:shd w:themeFill="background1" w:fill="FFFFFF" w:color="auto" w:val="clear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18"/>
                <w:szCs w:val="18"/>
              </w:rPr>
            </w:pPr>
            <w:r w:rsidRPr="000C4DB6">
              <w:rPr>
                <w:rFonts w:cs="Times New Roman" w:eastAsia="Times New Roman" w:hAnsi="Century Gothic" w:ascii="Century Gothic"/>
                <w:sz w:val="18"/>
                <w:szCs w:val="18"/>
              </w:rPr>
              <w:t>Varaždin, Međimurska 26b</w:t>
            </w:r>
          </w:p>
        </w:tc>
        <w:tc>
          <w:tcPr>
            <w:tcW w:type="pct" w:w="794"/>
            <w:shd w:themeFill="background1" w:fill="FFFFFF" w:color="auto" w:val="clear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right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4.942,24</w:t>
            </w:r>
          </w:p>
        </w:tc>
      </w:tr>
      <w:tr w:rsidTr="000C4DB6" w:rsidR="000C4DB6" w:rsidRPr="000C4DB6">
        <w:trPr>
          <w:jc w:val="center"/>
        </w:trPr>
        <w:tc>
          <w:tcPr>
            <w:tcW w:type="pct" w:w="3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2.</w:t>
            </w:r>
          </w:p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</w:p>
        </w:tc>
        <w:tc>
          <w:tcPr>
            <w:tcW w:type="pct" w:w="1747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ZAGREBAČKA BANKA d.d.</w:t>
            </w:r>
          </w:p>
        </w:tc>
        <w:tc>
          <w:tcPr>
            <w:tcW w:type="pct" w:w="953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92963223473</w:t>
            </w:r>
          </w:p>
        </w:tc>
        <w:tc>
          <w:tcPr>
            <w:tcW w:type="pct" w:w="1112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Zagreb, Trg bana J. Jelačića 10</w:t>
            </w:r>
          </w:p>
        </w:tc>
        <w:tc>
          <w:tcPr>
            <w:tcW w:type="pct" w:w="7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right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2.001.589,02</w:t>
            </w:r>
          </w:p>
        </w:tc>
      </w:tr>
      <w:tr w:rsidTr="000C4DB6" w:rsidR="000C4DB6" w:rsidRPr="000C4DB6">
        <w:trPr>
          <w:jc w:val="center"/>
        </w:trPr>
        <w:tc>
          <w:tcPr>
            <w:tcW w:type="pct" w:w="3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pct" w:w="1747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ALLIANZ ZAGREB d.d.</w:t>
            </w:r>
          </w:p>
        </w:tc>
        <w:tc>
          <w:tcPr>
            <w:tcW w:type="pct" w:w="953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23759810849</w:t>
            </w:r>
          </w:p>
        </w:tc>
        <w:tc>
          <w:tcPr>
            <w:tcW w:type="pct" w:w="1112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Zagreb, Heinzelova 70</w:t>
            </w:r>
          </w:p>
        </w:tc>
        <w:tc>
          <w:tcPr>
            <w:tcW w:type="pct" w:w="7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right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10.993,35</w:t>
            </w:r>
          </w:p>
        </w:tc>
      </w:tr>
      <w:tr w:rsidTr="000C4DB6" w:rsidR="000C4DB6" w:rsidRPr="000C4DB6">
        <w:trPr>
          <w:jc w:val="center"/>
        </w:trPr>
        <w:tc>
          <w:tcPr>
            <w:tcW w:type="pct" w:w="3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4.</w:t>
            </w:r>
          </w:p>
        </w:tc>
        <w:tc>
          <w:tcPr>
            <w:tcW w:type="pct" w:w="1747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STYRIA MEDIJSKI SERVISI d.o.o.</w:t>
            </w:r>
          </w:p>
        </w:tc>
        <w:tc>
          <w:tcPr>
            <w:tcW w:type="pct" w:w="953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29005509482</w:t>
            </w:r>
          </w:p>
        </w:tc>
        <w:tc>
          <w:tcPr>
            <w:tcW w:type="pct" w:w="1112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Zagreb, Oreškovićeva 6H</w:t>
            </w:r>
          </w:p>
        </w:tc>
        <w:tc>
          <w:tcPr>
            <w:tcW w:type="pct" w:w="7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right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1.276,71</w:t>
            </w:r>
          </w:p>
        </w:tc>
      </w:tr>
      <w:tr w:rsidTr="000C4DB6" w:rsidR="000C4DB6" w:rsidRPr="000C4DB6">
        <w:trPr>
          <w:jc w:val="center"/>
        </w:trPr>
        <w:tc>
          <w:tcPr>
            <w:tcW w:type="pct" w:w="3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5.</w:t>
            </w:r>
          </w:p>
        </w:tc>
        <w:tc>
          <w:tcPr>
            <w:tcW w:type="pct" w:w="1747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SVEA EKONOMI d.o.o.</w:t>
            </w:r>
          </w:p>
        </w:tc>
        <w:tc>
          <w:tcPr>
            <w:tcW w:type="pct" w:w="953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17863542417</w:t>
            </w:r>
          </w:p>
        </w:tc>
        <w:tc>
          <w:tcPr>
            <w:tcW w:type="pct" w:w="1112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Zagreb, Ulica Damira Tomljanovića Gavrana 11</w:t>
            </w:r>
          </w:p>
        </w:tc>
        <w:tc>
          <w:tcPr>
            <w:tcW w:type="pct" w:w="7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right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5.489,55</w:t>
            </w:r>
          </w:p>
        </w:tc>
      </w:tr>
      <w:tr w:rsidTr="000C4DB6" w:rsidR="000C4DB6" w:rsidRPr="000C4DB6">
        <w:trPr>
          <w:jc w:val="center"/>
        </w:trPr>
        <w:tc>
          <w:tcPr>
            <w:tcW w:type="pct" w:w="3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pct" w:w="1747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HRVATSKI TELEKOM d.d.</w:t>
            </w:r>
          </w:p>
        </w:tc>
        <w:tc>
          <w:tcPr>
            <w:tcW w:type="pct" w:w="953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81793146560</w:t>
            </w:r>
          </w:p>
        </w:tc>
        <w:tc>
          <w:tcPr>
            <w:tcW w:type="pct" w:w="1112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Zagreb, Roberta Frangeša Mihanovića 9</w:t>
            </w:r>
          </w:p>
        </w:tc>
        <w:tc>
          <w:tcPr>
            <w:tcW w:type="pct" w:w="7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right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3.643,99</w:t>
            </w:r>
          </w:p>
        </w:tc>
      </w:tr>
      <w:tr w:rsidTr="000C4DB6" w:rsidR="000C4DB6" w:rsidRPr="000C4DB6">
        <w:trPr>
          <w:jc w:val="center"/>
        </w:trPr>
        <w:tc>
          <w:tcPr>
            <w:tcW w:type="pct" w:w="3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7.</w:t>
            </w:r>
          </w:p>
        </w:tc>
        <w:tc>
          <w:tcPr>
            <w:tcW w:type="pct" w:w="1747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OTP BANKA HRVATSKA d.d. ZADAR</w:t>
            </w:r>
          </w:p>
        </w:tc>
        <w:tc>
          <w:tcPr>
            <w:tcW w:type="pct" w:w="953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52508873833</w:t>
            </w:r>
          </w:p>
        </w:tc>
        <w:tc>
          <w:tcPr>
            <w:tcW w:type="pct" w:w="1112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Zadar, Domovinskog rata 3</w:t>
            </w:r>
          </w:p>
        </w:tc>
        <w:tc>
          <w:tcPr>
            <w:tcW w:type="pct" w:w="7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right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222.179,31</w:t>
            </w:r>
          </w:p>
        </w:tc>
      </w:tr>
      <w:tr w:rsidTr="000C4DB6" w:rsidR="000C4DB6" w:rsidRPr="000C4DB6">
        <w:trPr>
          <w:jc w:val="center"/>
        </w:trPr>
        <w:tc>
          <w:tcPr>
            <w:tcW w:type="pct" w:w="3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8.</w:t>
            </w:r>
          </w:p>
        </w:tc>
        <w:tc>
          <w:tcPr>
            <w:tcW w:type="pct" w:w="1747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RH, MINISTARSTVO FINANCIJA, POREZNA UPRAVA ZASTUPANO PO ŽDO U VELIKOJ GORICI</w:t>
            </w:r>
          </w:p>
        </w:tc>
        <w:tc>
          <w:tcPr>
            <w:tcW w:type="pct" w:w="953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center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18683136487</w:t>
            </w:r>
          </w:p>
        </w:tc>
        <w:tc>
          <w:tcPr>
            <w:tcW w:type="pct" w:w="1112"/>
            <w:vAlign w:val="center"/>
          </w:tcPr>
          <w:p w:rsidRDefault="000C4DB6" w:rsidP="000C4DB6" w:rsidR="000C4DB6" w:rsidRPr="000C4DB6">
            <w:pPr>
              <w:spacing w:lineRule="auto" w:line="240" w:after="80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Velika Gorica, Hrvatske bratske zajednice 1</w:t>
            </w:r>
          </w:p>
        </w:tc>
        <w:tc>
          <w:tcPr>
            <w:tcW w:type="pct" w:w="794"/>
            <w:vAlign w:val="center"/>
          </w:tcPr>
          <w:p w:rsidRDefault="000C4DB6" w:rsidP="000C4DB6" w:rsidR="000C4DB6" w:rsidRPr="000C4DB6">
            <w:pPr>
              <w:spacing w:lineRule="auto" w:line="240" w:after="80"/>
              <w:jc w:val="right"/>
              <w:rPr>
                <w:rFonts w:cs="Times New Roman" w:eastAsia="Times New Roman" w:hAnsi="Century Gothic" w:ascii="Century Gothic"/>
                <w:sz w:val="20"/>
                <w:szCs w:val="20"/>
              </w:rPr>
            </w:pPr>
            <w:r w:rsidRPr="000C4DB6">
              <w:rPr>
                <w:rFonts w:cs="Times New Roman" w:eastAsia="Times New Roman" w:hAnsi="Century Gothic" w:ascii="Century Gothic"/>
                <w:sz w:val="20"/>
                <w:szCs w:val="20"/>
              </w:rPr>
              <w:t>18.321,04</w:t>
            </w:r>
          </w:p>
        </w:tc>
      </w:tr>
    </w:tbl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</w:rPr>
      </w:pPr>
    </w:p>
    <w:p w:rsidRDefault="00FD4F88" w:rsidP="00FD4F88" w:rsidR="000C4DB6">
      <w:pPr>
        <w:spacing w:lineRule="auto" w:line="240" w:after="120"/>
        <w:jc w:val="center"/>
        <w:rPr>
          <w:rFonts w:cs="Times New Roman" w:eastAsia="Calibri" w:hAnsi="Century Gothic" w:ascii="Century Gothic"/>
        </w:rPr>
      </w:pPr>
      <w:r>
        <w:rPr>
          <w:rFonts w:cs="Times New Roman" w:eastAsia="Calibri" w:hAnsi="Century Gothic" w:ascii="Century Gothic"/>
        </w:rPr>
        <w:t xml:space="preserve">                                                                                              </w:t>
      </w:r>
      <w:r w:rsidR="000A11A4">
        <w:rPr>
          <w:rFonts w:cs="Times New Roman" w:eastAsia="Calibri" w:hAnsi="Century Gothic" w:ascii="Century Gothic"/>
        </w:rPr>
        <w:t>STEČAJNI UPRAVITELJ</w:t>
      </w:r>
    </w:p>
    <w:p w:rsidRDefault="000A11A4" w:rsidP="000A11A4" w:rsidR="000A11A4">
      <w:pPr>
        <w:spacing w:lineRule="auto" w:line="240" w:after="120"/>
        <w:jc w:val="right"/>
        <w:rPr>
          <w:rFonts w:cs="Times New Roman" w:eastAsia="Calibri" w:hAnsi="Century Gothic" w:ascii="Century Gothic"/>
        </w:rPr>
      </w:pPr>
    </w:p>
    <w:p w:rsidRDefault="00FD4F88" w:rsidP="00FD4F88" w:rsidR="000A11A4" w:rsidRPr="000C4DB6">
      <w:pPr>
        <w:spacing w:lineRule="auto" w:line="240" w:after="120"/>
        <w:ind w:firstLine="708" w:left="5664"/>
        <w:rPr>
          <w:rFonts w:cs="Times New Roman" w:eastAsia="Calibri" w:hAnsi="Century Gothic" w:ascii="Century Gothic"/>
        </w:rPr>
      </w:pPr>
      <w:r>
        <w:rPr>
          <w:rFonts w:cs="Times New Roman" w:eastAsia="Calibri" w:hAnsi="Century Gothic" w:ascii="Century Gothic"/>
        </w:rPr>
        <w:t xml:space="preserve">        </w:t>
      </w:r>
      <w:r w:rsidR="000A11A4">
        <w:rPr>
          <w:rFonts w:cs="Times New Roman" w:eastAsia="Calibri" w:hAnsi="Century Gothic" w:ascii="Century Gothic"/>
        </w:rPr>
        <w:t>Darko Šket</w:t>
      </w: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Century Gothic" w:ascii="Century Gothic"/>
          <w:i/>
        </w:rPr>
      </w:pPr>
    </w:p>
    <w:p w:rsidRDefault="000A11A4" w:rsidP="000C4DB6" w:rsidR="000C4DB6" w:rsidRPr="000C4DB6">
      <w:pPr>
        <w:spacing w:lineRule="auto" w:line="240" w:after="120"/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Century Gothic" w:ascii="Century Gothic"/>
        </w:rPr>
        <w:t xml:space="preserve"> </w:t>
      </w:r>
    </w:p>
    <w:p w:rsidRDefault="000C4DB6" w:rsidP="000C4DB6" w:rsidR="000C4DB6" w:rsidRPr="000C4DB6">
      <w:pPr>
        <w:spacing w:lineRule="auto" w:line="360" w:after="80"/>
        <w:jc w:val="right"/>
        <w:rPr>
          <w:rFonts w:cs="Times New Roman" w:eastAsia="Calibri" w:hAnsi="Calibri" w:ascii="Calibri"/>
          <w:i/>
        </w:rPr>
      </w:pPr>
    </w:p>
    <w:p w:rsidRDefault="000A11A4" w:rsidP="000C4DB6" w:rsidR="000C4DB6" w:rsidRPr="000C4DB6">
      <w:pPr>
        <w:spacing w:lineRule="auto" w:line="240" w:after="0"/>
        <w:jc w:val="both"/>
        <w:rPr>
          <w:rFonts w:eastAsia="Calibri" w:hAnsi="Century Gothic" w:ascii="Century Gothic"/>
        </w:rPr>
      </w:pPr>
      <w:r>
        <w:rPr>
          <w:rFonts w:cs="Times New Roman" w:eastAsia="Calibri" w:hAnsi="Times New Roman" w:ascii="Times New Roman"/>
          <w:sz w:val="24"/>
        </w:rPr>
        <w:t xml:space="preserve"> </w:t>
      </w:r>
    </w:p>
    <w:p w:rsidRDefault="00FD4F88" w:rsidP="000C4DB6" w:rsidR="000C4DB6" w:rsidRPr="000C4DB6">
      <w:pPr>
        <w:spacing w:lineRule="auto" w:line="276"/>
        <w:contextualSpacing/>
        <w:jc w:val="both"/>
        <w:rPr>
          <w:rFonts w:cs="Times New Roman" w:eastAsia="Calibri" w:hAnsi="Century Gothic" w:ascii="Century Gothic"/>
        </w:rPr>
      </w:pPr>
      <w:r>
        <w:rPr>
          <w:rFonts w:eastAsia="Calibri" w:hAnsi="Century Gothic" w:ascii="Century Gothic"/>
          <w:lang w:val="pl-PL"/>
        </w:rPr>
        <w:t xml:space="preserve"> </w:t>
      </w:r>
    </w:p>
    <w:p w:rsidRDefault="000C4DB6" w:rsidP="000C4DB6" w:rsidR="000C4DB6" w:rsidRPr="000C4DB6">
      <w:pPr>
        <w:spacing w:lineRule="auto" w:line="276"/>
        <w:contextualSpacing/>
        <w:jc w:val="both"/>
        <w:rPr>
          <w:rFonts w:cs="Times New Roman" w:eastAsia="Calibri" w:hAnsi="Century Gothic" w:ascii="Century Gothic"/>
        </w:rPr>
      </w:pPr>
    </w:p>
    <w:p w:rsidRDefault="000C4DB6" w:rsidP="000C4DB6" w:rsidR="000C4DB6" w:rsidRPr="000C4DB6">
      <w:pPr>
        <w:spacing w:lineRule="auto" w:line="276"/>
        <w:contextualSpacing/>
        <w:jc w:val="both"/>
        <w:rPr>
          <w:rFonts w:cs="Times New Roman" w:eastAsia="Calibri" w:hAnsi="Century Gothic" w:ascii="Century Gothic"/>
        </w:rPr>
      </w:pPr>
    </w:p>
    <w:p w:rsidRDefault="000C4DB6" w:rsidP="000C4DB6" w:rsidR="000C4DB6" w:rsidRPr="000C4DB6">
      <w:pPr>
        <w:spacing w:lineRule="auto" w:line="276"/>
        <w:contextualSpacing/>
        <w:jc w:val="both"/>
        <w:rPr>
          <w:rFonts w:cs="Times New Roman" w:eastAsia="Calibri" w:hAnsi="Century Gothic" w:ascii="Century Gothic"/>
        </w:rPr>
      </w:pPr>
    </w:p>
    <w:p w:rsidRDefault="000C4DB6" w:rsidP="000C4DB6" w:rsidR="000C4DB6" w:rsidRPr="000C4DB6">
      <w:pPr>
        <w:spacing w:lineRule="auto" w:line="276"/>
        <w:contextualSpacing/>
        <w:jc w:val="both"/>
        <w:rPr>
          <w:rFonts w:cs="Times New Roman" w:eastAsia="Calibri" w:hAnsi="Century Gothic" w:ascii="Century Gothic"/>
        </w:rPr>
      </w:pPr>
    </w:p>
    <w:p w:rsidRDefault="000C4DB6" w:rsidP="000C4DB6" w:rsidR="000C4DB6" w:rsidRPr="000C4DB6">
      <w:pPr>
        <w:spacing w:lineRule="auto" w:line="276"/>
        <w:contextualSpacing/>
        <w:jc w:val="both"/>
        <w:rPr>
          <w:rFonts w:cs="Times New Roman" w:eastAsia="Calibri" w:hAnsi="Century Gothic" w:ascii="Century Gothic"/>
        </w:rPr>
      </w:pPr>
    </w:p>
    <w:p w:rsidRDefault="00FD4F88" w:rsidP="000C4DB6" w:rsidR="000C4DB6" w:rsidRPr="000C4DB6">
      <w:pPr>
        <w:tabs>
          <w:tab w:pos="2464" w:val="left"/>
        </w:tabs>
        <w:spacing w:lineRule="auto" w:line="276"/>
        <w:rPr>
          <w:rFonts w:eastAsia="Arial" w:hAnsi="Century Gothic" w:ascii="Century Gothic"/>
          <w:bCs/>
        </w:rPr>
      </w:pPr>
      <w:r>
        <w:rPr>
          <w:rFonts w:eastAsiaTheme="minorEastAsia" w:hAnsi="Century Gothic" w:ascii="Century Gothic"/>
        </w:rPr>
        <w:t xml:space="preserve"> </w:t>
      </w:r>
    </w:p>
    <w:p w:rsidRDefault="00FD4F88" w:rsidP="000C4DB6" w:rsidR="000C4DB6" w:rsidRPr="000C4DB6">
      <w:pPr>
        <w:spacing w:lineRule="auto" w:line="276"/>
        <w:jc w:val="both"/>
        <w:rPr>
          <w:rFonts w:eastAsiaTheme="minorEastAsia" w:cs="Arial" w:hAnsi="Century Gothic" w:ascii="Century Gothic"/>
        </w:rPr>
      </w:pPr>
      <w:r>
        <w:rPr>
          <w:rFonts w:cs="Times New Roman" w:eastAsia="Times New Roman" w:hAnsi="Century Gothic" w:ascii="Century Gothic"/>
          <w:lang w:eastAsia="hr-HR"/>
        </w:rPr>
        <w:t xml:space="preserve"> </w:t>
      </w:r>
    </w:p>
    <w:p w:rsidRDefault="000C4DB6" w:rsidP="000C4DB6" w:rsidR="000C4DB6" w:rsidRPr="000C4DB6">
      <w:pPr>
        <w:spacing w:lineRule="auto" w:line="276"/>
        <w:jc w:val="both"/>
        <w:rPr>
          <w:rFonts w:eastAsiaTheme="minorEastAsia" w:cs="Arial" w:hAnsi="Century Gothic" w:ascii="Century Gothic"/>
        </w:rPr>
      </w:pPr>
    </w:p>
    <w:p w:rsidRDefault="00FD4F88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</w:rPr>
      </w:pPr>
      <w:r>
        <w:rPr>
          <w:rFonts w:cs="Times New Roman" w:eastAsia="Times New Roman" w:hAnsi="Century Gothic" w:ascii="Century Gothic"/>
          <w:lang w:eastAsia="hr-HR"/>
        </w:rPr>
        <w:t xml:space="preserve"> </w:t>
      </w:r>
    </w:p>
    <w:p w:rsidRDefault="000C4DB6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</w:rPr>
      </w:pPr>
    </w:p>
    <w:p w:rsidRDefault="000C4DB6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</w:rPr>
      </w:pPr>
    </w:p>
    <w:p w:rsidRDefault="00FD4F88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</w:rPr>
      </w:pPr>
      <w:r>
        <w:rPr>
          <w:rFonts w:cs="Times New Roman" w:eastAsia="Calibri" w:hAnsi="Century Gothic" w:ascii="Century Gothic"/>
        </w:rPr>
        <w:t xml:space="preserve"> </w:t>
      </w:r>
    </w:p>
    <w:p w:rsidRDefault="000C4DB6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  <w:color w:val="FF0000"/>
        </w:rPr>
      </w:pPr>
    </w:p>
    <w:p w:rsidRDefault="00FD4F88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</w:rPr>
      </w:pPr>
      <w:r>
        <w:rPr>
          <w:rFonts w:cs="Times New Roman" w:eastAsia="Calibri" w:hAnsi="Century Gothic" w:ascii="Century Gothic"/>
        </w:rPr>
        <w:t xml:space="preserve"> </w:t>
      </w:r>
    </w:p>
    <w:p w:rsidRDefault="000C4DB6" w:rsidP="000C4DB6" w:rsidR="000C4DB6" w:rsidRPr="000C4DB6">
      <w:pPr>
        <w:spacing w:lineRule="auto" w:line="240" w:after="0"/>
        <w:jc w:val="both"/>
        <w:rPr>
          <w:rFonts w:cs="Times New Roman" w:eastAsia="Calibri" w:hAnsi="Century Gothic" w:ascii="Century Gothic"/>
        </w:rPr>
      </w:pPr>
      <w:r w:rsidRPr="000C4DB6">
        <w:rPr>
          <w:rFonts w:cs="Times New Roman" w:eastAsia="Calibri" w:hAnsi="Century Gothic" w:ascii="Century Gothic"/>
        </w:rPr>
        <w:t xml:space="preserve"> </w:t>
      </w:r>
    </w:p>
    <w:p w:rsidRDefault="000C4DB6" w:rsidP="000C4DB6" w:rsidR="000C4DB6" w:rsidRPr="000C4DB6">
      <w:pPr>
        <w:spacing w:lineRule="auto" w:line="36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4F88" w:rsidP="000C4DB6" w:rsidR="000C4DB6" w:rsidRPr="000C4DB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right="113"/>
        <w:jc w:val="both"/>
        <w:rPr>
          <w:rFonts w:cs="Tahoma" w:eastAsia="Arial Unicode MS" w:hAnsi="Tahoma" w:ascii="Tahoma"/>
          <w:b/>
          <w:sz w:val="20"/>
          <w:szCs w:val="20"/>
          <w:bdr w:val="ni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</w:t>
      </w:r>
    </w:p>
    <w:p w:rsidRDefault="000C4DB6" w:rsidP="000C4DB6" w:rsidR="000C4DB6" w:rsidRPr="000C4DB6">
      <w:pPr>
        <w:spacing w:lineRule="auto" w:line="240" w:after="12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4F88" w:rsidP="000C4DB6" w:rsidR="000C4DB6" w:rsidRPr="000C4DB6">
      <w:pPr>
        <w:spacing w:lineRule="auto" w:line="240" w:after="80"/>
        <w:rPr>
          <w:rFonts w:cs="Times New Roman" w:eastAsia="Calibri" w:hAnsi="Calibri" w:ascii="Calibri"/>
        </w:rPr>
      </w:pPr>
      <w:r>
        <w:rPr>
          <w:rFonts w:cs="Tahoma" w:eastAsia="Arial Unicode MS" w:hAnsi="Tahoma" w:ascii="Tahoma"/>
          <w:b/>
          <w:sz w:val="20"/>
          <w:szCs w:val="20"/>
          <w:bdr w:val="nil"/>
        </w:rPr>
        <w:t xml:space="preserve"> </w:t>
      </w:r>
    </w:p>
    <w:p w:rsidRDefault="00740D03" w:rsidR="00740D03"/>
    <w:sectPr w:rsidSect="000C4DB6" w:rsidR="00740D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DB6" w:rsidP="000C4DB6" w:rsidR="000C4DB6">
      <w:pPr>
        <w:spacing w:lineRule="auto" w:line="240" w:after="0"/>
      </w:pPr>
      <w:r>
        <w:separator/>
      </w:r>
    </w:p>
  </w:endnote>
  <w:endnote w:id="0" w:type="continuationSeparator">
    <w:p w:rsidRDefault="000C4DB6" w:rsidP="000C4DB6" w:rsidR="000C4D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DB6" w:rsidP="000C4DB6" w:rsidR="000C4DB6">
      <w:pPr>
        <w:spacing w:lineRule="auto" w:line="240" w:after="0"/>
      </w:pPr>
      <w:r>
        <w:separator/>
      </w:r>
    </w:p>
  </w:footnote>
  <w:footnote w:id="0" w:type="continuationSeparator">
    <w:p w:rsidRDefault="000C4DB6" w:rsidP="000C4DB6" w:rsidR="000C4DB6">
      <w:pPr>
        <w:spacing w:lineRule="auto" w:line="240" w:after="0"/>
      </w:pPr>
      <w:r>
        <w:continuationSeparator/>
      </w:r>
    </w:p>
  </w:footnote>
  <w:footnote w:id="1">
    <w:p w:rsidRDefault="000C4DB6" w:rsidP="000C4DB6" w:rsidR="000C4DB6" w:rsidRPr="00B40BEB">
      <w:pPr>
        <w:pStyle w:val="Tekstfusnote"/>
      </w:pPr>
      <w:r>
        <w:rPr>
          <w:rStyle w:val="Referencafusnote"/>
        </w:rPr>
        <w:t xml:space="preserve"> 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7D0B"/>
    <w:multiLevelType w:val="hybridMultilevel"/>
    <w:tmpl w:val="28281072"/>
    <w:lvl w:tplc="48CABF9A" w:ilvl="0">
      <w:start w:val="1"/>
      <w:numFmt w:val="decimal"/>
      <w:lvlText w:val="%1."/>
      <w:lvlJc w:val="left"/>
      <w:pPr>
        <w:ind w:hanging="645" w:left="64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118560D6"/>
    <w:multiLevelType w:val="hybridMultilevel"/>
    <w:tmpl w:val="6F10522C"/>
    <w:lvl w:tplc="041A000B" w:ilvl="0">
      <w:start w:val="1"/>
      <w:numFmt w:val="bullet"/>
      <w:lvlText w:val=""/>
      <w:lvlJc w:val="left"/>
      <w:pPr>
        <w:ind w:hanging="360" w:left="106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1DF588E"/>
    <w:multiLevelType w:val="hybridMultilevel"/>
    <w:tmpl w:val="111CAD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28C4119"/>
    <w:multiLevelType w:val="hybridMultilevel"/>
    <w:tmpl w:val="5D76F0F4"/>
    <w:lvl w:tplc="B14E82E0" w:ilvl="0">
      <w:numFmt w:val="bullet"/>
      <w:lvlText w:val="-"/>
      <w:lvlJc w:val="left"/>
      <w:pPr>
        <w:ind w:hanging="360" w:left="720"/>
      </w:pPr>
      <w:rPr>
        <w:rFonts w:cs="Times New Roman" w:eastAsia="Calibri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6A25F3"/>
    <w:multiLevelType w:val="hybridMultilevel"/>
    <w:tmpl w:val="273C9236"/>
    <w:lvl w:tplc="041A0009" w:ilvl="0">
      <w:start w:val="1"/>
      <w:numFmt w:val="bullet"/>
      <w:lvlText w:val=""/>
      <w:lvlJc w:val="left"/>
      <w:pPr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1B5A020C"/>
    <w:multiLevelType w:val="hybridMultilevel"/>
    <w:tmpl w:val="D098D8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4E5857"/>
    <w:multiLevelType w:val="hybridMultilevel"/>
    <w:tmpl w:val="B656BA8E"/>
    <w:lvl w:tplc="041A0009" w:ilvl="0">
      <w:start w:val="1"/>
      <w:numFmt w:val="bullet"/>
      <w:lvlText w:val=""/>
      <w:lvlJc w:val="left"/>
      <w:pPr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8">
    <w:nsid w:val="2EDD206A"/>
    <w:multiLevelType w:val="hybridMultilevel"/>
    <w:tmpl w:val="D640FB98"/>
    <w:lvl w:tplc="1E06538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AF10AF2E" w:ilvl="1">
      <w:start w:val="1"/>
      <w:numFmt w:val="lowerLetter"/>
      <w:lvlText w:val="%2)"/>
      <w:lvlJc w:val="left"/>
      <w:pPr>
        <w:ind w:hanging="360" w:left="502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985206"/>
    <w:multiLevelType w:val="hybridMultilevel"/>
    <w:tmpl w:val="6E30A638"/>
    <w:lvl w:tplc="2FBED9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7A0B4A"/>
    <w:multiLevelType w:val="hybridMultilevel"/>
    <w:tmpl w:val="1D246C14"/>
    <w:lvl w:tplc="0ABC38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F1961A3"/>
    <w:multiLevelType w:val="hybridMultilevel"/>
    <w:tmpl w:val="10D4FE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6A14F20"/>
    <w:multiLevelType w:val="hybridMultilevel"/>
    <w:tmpl w:val="6BCE3288"/>
    <w:lvl w:tplc="041A000B" w:ilvl="0">
      <w:start w:val="1"/>
      <w:numFmt w:val="bullet"/>
      <w:lvlText w:val=""/>
      <w:lvlJc w:val="left"/>
      <w:pPr>
        <w:ind w:hanging="360" w:left="106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44A5D23"/>
    <w:multiLevelType w:val="hybridMultilevel"/>
    <w:tmpl w:val="AA308092"/>
    <w:styleLink w:val="Importiranistil11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5C185EA9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5">
    <w:nsid w:val="5D0B260F"/>
    <w:multiLevelType w:val="hybridMultilevel"/>
    <w:tmpl w:val="A64654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D8806CD"/>
    <w:multiLevelType w:val="hybridMultilevel"/>
    <w:tmpl w:val="390A8574"/>
    <w:lvl w:tplc="1C762B02" w:ilvl="0">
      <w:start w:val="1"/>
      <w:numFmt w:val="decimal"/>
      <w:lvlText w:val="%1."/>
      <w:lvlJc w:val="left"/>
      <w:pPr>
        <w:ind w:hanging="360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45"/>
      </w:pPr>
    </w:lvl>
    <w:lvl w:tentative="true" w:tplc="041A001B" w:ilvl="2">
      <w:start w:val="1"/>
      <w:numFmt w:val="lowerRoman"/>
      <w:lvlText w:val="%3."/>
      <w:lvlJc w:val="right"/>
      <w:pPr>
        <w:ind w:hanging="180" w:left="2265"/>
      </w:pPr>
    </w:lvl>
    <w:lvl w:tentative="true" w:tplc="041A000F" w:ilvl="3">
      <w:start w:val="1"/>
      <w:numFmt w:val="decimal"/>
      <w:lvlText w:val="%4."/>
      <w:lvlJc w:val="left"/>
      <w:pPr>
        <w:ind w:hanging="360" w:left="2985"/>
      </w:pPr>
    </w:lvl>
    <w:lvl w:tentative="true" w:tplc="041A0019" w:ilvl="4">
      <w:start w:val="1"/>
      <w:numFmt w:val="lowerLetter"/>
      <w:lvlText w:val="%5."/>
      <w:lvlJc w:val="left"/>
      <w:pPr>
        <w:ind w:hanging="360" w:left="3705"/>
      </w:pPr>
    </w:lvl>
    <w:lvl w:tentative="true" w:tplc="041A001B" w:ilvl="5">
      <w:start w:val="1"/>
      <w:numFmt w:val="lowerRoman"/>
      <w:lvlText w:val="%6."/>
      <w:lvlJc w:val="right"/>
      <w:pPr>
        <w:ind w:hanging="180" w:left="4425"/>
      </w:pPr>
    </w:lvl>
    <w:lvl w:tentative="true" w:tplc="041A000F" w:ilvl="6">
      <w:start w:val="1"/>
      <w:numFmt w:val="decimal"/>
      <w:lvlText w:val="%7."/>
      <w:lvlJc w:val="left"/>
      <w:pPr>
        <w:ind w:hanging="360" w:left="5145"/>
      </w:pPr>
    </w:lvl>
    <w:lvl w:tentative="true" w:tplc="041A0019" w:ilvl="7">
      <w:start w:val="1"/>
      <w:numFmt w:val="lowerLetter"/>
      <w:lvlText w:val="%8."/>
      <w:lvlJc w:val="left"/>
      <w:pPr>
        <w:ind w:hanging="360" w:left="5865"/>
      </w:pPr>
    </w:lvl>
    <w:lvl w:tentative="true" w:tplc="041A001B" w:ilvl="8">
      <w:start w:val="1"/>
      <w:numFmt w:val="lowerRoman"/>
      <w:lvlText w:val="%9."/>
      <w:lvlJc w:val="right"/>
      <w:pPr>
        <w:ind w:hanging="180" w:left="6585"/>
      </w:pPr>
    </w:lvl>
  </w:abstractNum>
  <w:abstractNum w:abstractNumId="17">
    <w:nsid w:val="60172A82"/>
    <w:multiLevelType w:val="hybridMultilevel"/>
    <w:tmpl w:val="3C4E0C2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EAB5ABF"/>
    <w:multiLevelType w:val="hybridMultilevel"/>
    <w:tmpl w:val="52447460"/>
    <w:lvl w:tplc="D3482A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F123B5"/>
    <w:multiLevelType w:val="hybridMultilevel"/>
    <w:tmpl w:val="A3D4A00A"/>
    <w:lvl w:tplc="556C8AC2" w:ilvl="0">
      <w:start w:val="1"/>
      <w:numFmt w:val="decimal"/>
      <w:lvlText w:val="%1."/>
      <w:lvlJc w:val="left"/>
      <w:pPr>
        <w:ind w:hanging="360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5"/>
      </w:pPr>
    </w:lvl>
    <w:lvl w:tentative="true" w:tplc="041A001B" w:ilvl="2">
      <w:start w:val="1"/>
      <w:numFmt w:val="lowerRoman"/>
      <w:lvlText w:val="%3."/>
      <w:lvlJc w:val="right"/>
      <w:pPr>
        <w:ind w:hanging="180" w:left="2445"/>
      </w:pPr>
    </w:lvl>
    <w:lvl w:tentative="true" w:tplc="041A000F" w:ilvl="3">
      <w:start w:val="1"/>
      <w:numFmt w:val="decimal"/>
      <w:lvlText w:val="%4."/>
      <w:lvlJc w:val="left"/>
      <w:pPr>
        <w:ind w:hanging="360" w:left="3165"/>
      </w:pPr>
    </w:lvl>
    <w:lvl w:tentative="true" w:tplc="041A0019" w:ilvl="4">
      <w:start w:val="1"/>
      <w:numFmt w:val="lowerLetter"/>
      <w:lvlText w:val="%5."/>
      <w:lvlJc w:val="left"/>
      <w:pPr>
        <w:ind w:hanging="360" w:left="3885"/>
      </w:pPr>
    </w:lvl>
    <w:lvl w:tentative="true" w:tplc="041A001B" w:ilvl="5">
      <w:start w:val="1"/>
      <w:numFmt w:val="lowerRoman"/>
      <w:lvlText w:val="%6."/>
      <w:lvlJc w:val="right"/>
      <w:pPr>
        <w:ind w:hanging="180" w:left="4605"/>
      </w:pPr>
    </w:lvl>
    <w:lvl w:tentative="true" w:tplc="041A000F" w:ilvl="6">
      <w:start w:val="1"/>
      <w:numFmt w:val="decimal"/>
      <w:lvlText w:val="%7."/>
      <w:lvlJc w:val="left"/>
      <w:pPr>
        <w:ind w:hanging="360" w:left="5325"/>
      </w:pPr>
    </w:lvl>
    <w:lvl w:tentative="true" w:tplc="041A0019" w:ilvl="7">
      <w:start w:val="1"/>
      <w:numFmt w:val="lowerLetter"/>
      <w:lvlText w:val="%8."/>
      <w:lvlJc w:val="left"/>
      <w:pPr>
        <w:ind w:hanging="360" w:left="6045"/>
      </w:pPr>
    </w:lvl>
    <w:lvl w:tentative="true" w:tplc="041A001B" w:ilvl="8">
      <w:start w:val="1"/>
      <w:numFmt w:val="lowerRoman"/>
      <w:lvlText w:val="%9."/>
      <w:lvlJc w:val="right"/>
      <w:pPr>
        <w:ind w:hanging="180" w:left="6765"/>
      </w:pPr>
    </w:lvl>
  </w:abstractNum>
  <w:abstractNum w:abstractNumId="20">
    <w:nsid w:val="7E6A08F8"/>
    <w:multiLevelType w:val="hybridMultilevel"/>
    <w:tmpl w:val="AA308092"/>
    <w:numStyleLink w:val="Importiranistil11"/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14"/>
  </w:num>
  <w:num w:numId="6">
    <w:abstractNumId w:val="5"/>
  </w:num>
  <w:num w:numId="7">
    <w:abstractNumId w:val="18"/>
  </w:num>
  <w:num w:numId="8">
    <w:abstractNumId w:val="16"/>
  </w:num>
  <w:num w:numId="9">
    <w:abstractNumId w:val="15"/>
  </w:num>
  <w:num w:numId="10">
    <w:abstractNumId w:val="13"/>
  </w:num>
  <w:num w:numId="11">
    <w:abstractNumId w:val="20"/>
  </w:num>
  <w:num w:numId="12">
    <w:abstractNumId w:val="17"/>
  </w:num>
  <w:num w:numId="13">
    <w:abstractNumId w:val="8"/>
  </w:num>
  <w:num w:numId="14">
    <w:abstractNumId w:val="10"/>
  </w:num>
  <w:num w:numId="15">
    <w:abstractNumId w:val="1"/>
  </w:num>
  <w:num w:numId="16">
    <w:abstractNumId w:val="12"/>
  </w:num>
  <w:num w:numId="17">
    <w:abstractNumId w:val="6"/>
  </w:num>
  <w:num w:numId="18">
    <w:abstractNumId w:val="4"/>
  </w:num>
  <w:num w:numId="19">
    <w:abstractNumId w:val="0"/>
  </w:num>
  <w:num w:numId="20">
    <w:abstractNumId w:val="3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DB6"/>
    <w:rsid w:val="000A11A4"/>
    <w:rsid w:val="000C4DB6"/>
    <w:rsid w:val="00740D03"/>
    <w:rsid w:val="00D80022"/>
    <w:rsid w:val="00FD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opisa1" w:type="numbering">
    <w:name w:val="Bez popisa1"/>
    <w:next w:val="Bezpopisa"/>
    <w:uiPriority w:val="99"/>
    <w:semiHidden/>
    <w:unhideWhenUsed/>
    <w:rsid w:val="000C4DB6"/>
  </w:style>
  <w:style w:styleId="Zaglavlje" w:type="paragraph">
    <w:name w:val="header"/>
    <w:basedOn w:val="Normal"/>
    <w:link w:val="ZaglavljeChar"/>
    <w:uiPriority w:val="99"/>
    <w:unhideWhenUsed/>
    <w:rsid w:val="000C4DB6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0C4DB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0C4DB6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0C4DB6"/>
    <w:rPr>
      <w:rFonts w:cs="Times New Roman" w:eastAsia="Calibri" w:hAnsi="Calibri" w:ascii="Calibri"/>
    </w:rPr>
  </w:style>
  <w:style w:customStyle="true" w:styleId="TableNormal1" w:type="table">
    <w:name w:val="Table Normal1"/>
    <w:rsid w:val="000C4DB6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val="nil"/>
      <w:lang w:eastAsia="hr-HR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11" w:type="numbering">
    <w:name w:val="Importirani stil 1.1"/>
    <w:rsid w:val="000C4DB6"/>
    <w:pPr>
      <w:numPr>
        <w:numId w:val="10"/>
      </w:numPr>
    </w:pPr>
  </w:style>
  <w:style w:customStyle="true" w:styleId="TableNormal2" w:type="table">
    <w:name w:val="Table Normal2"/>
    <w:rsid w:val="000C4DB6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val="nil"/>
      <w:lang w:eastAsia="hr-HR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Bezproreda" w:type="paragraph">
    <w:name w:val="No Spacing"/>
    <w:uiPriority w:val="1"/>
    <w:qFormat/>
    <w:rsid w:val="000C4DB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0C4DB6"/>
    <w:pPr>
      <w:spacing w:lineRule="auto" w:line="240" w:after="80"/>
      <w:ind w:left="720"/>
      <w:contextualSpacing/>
    </w:pPr>
    <w:rPr>
      <w:rFonts w:cs="Times New Roman" w:eastAsia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0C4DB6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0C4DB6"/>
    <w:rPr>
      <w:sz w:val="20"/>
      <w:szCs w:val="20"/>
    </w:rPr>
  </w:style>
  <w:style w:styleId="Referencafusnote" w:type="character">
    <w:name w:val="footnote reference"/>
    <w:uiPriority w:val="99"/>
    <w:semiHidden/>
    <w:rsid w:val="000C4DB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80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02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022"/>
    <w:rPr>
      <w:rFonts w:cs="Times New Roman" w:eastAsia="Calibri" w:hAnsi="Century Gothic" w:ascii="Century Gothic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022"/>
    <w:rPr>
      <w:rFonts w:cs="Times New Roman" w:eastAsia="Calibri" w:hAnsi="Century Gothic" w:ascii="Century Gothic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022"/>
    <w:rPr>
      <w:rFonts w:cs="Times New Roman" w:eastAsia="Calibri" w:hAnsi="Century Gothic" w:ascii="Century Gothic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opisa1" w:type="numbering">
    <w:name w:val="Bez popisa1"/>
    <w:next w:val="Bezpopisa"/>
    <w:uiPriority w:val="99"/>
    <w:semiHidden/>
    <w:unhideWhenUsed/>
    <w:rsid w:val="000C4DB6"/>
  </w:style>
  <w:style w:styleId="Zaglavlje" w:type="paragraph">
    <w:name w:val="header"/>
    <w:basedOn w:val="Normal"/>
    <w:link w:val="ZaglavljeChar"/>
    <w:uiPriority w:val="99"/>
    <w:unhideWhenUsed/>
    <w:rsid w:val="000C4DB6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0C4DB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0C4DB6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0C4DB6"/>
    <w:rPr>
      <w:rFonts w:ascii="Calibri" w:cs="Times New Roman" w:eastAsia="Calibri" w:hAnsi="Calibri"/>
    </w:rPr>
  </w:style>
  <w:style w:customStyle="1" w:styleId="TableNormal1" w:type="table">
    <w:name w:val="Table Normal1"/>
    <w:rsid w:val="000C4DB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val="nil"/>
      <w:lang w:eastAsia="hr-HR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11" w:type="numbering">
    <w:name w:val="Importirani stil 1.1"/>
    <w:rsid w:val="000C4DB6"/>
    <w:pPr>
      <w:numPr>
        <w:numId w:val="10"/>
      </w:numPr>
    </w:pPr>
  </w:style>
  <w:style w:customStyle="1" w:styleId="TableNormal2" w:type="table">
    <w:name w:val="Table Normal2"/>
    <w:rsid w:val="000C4DB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val="nil"/>
      <w:lang w:eastAsia="hr-HR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Bezproreda" w:type="paragraph">
    <w:name w:val="No Spacing"/>
    <w:uiPriority w:val="1"/>
    <w:qFormat/>
    <w:rsid w:val="000C4DB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0C4DB6"/>
    <w:pPr>
      <w:spacing w:after="80" w:line="240" w:lineRule="auto"/>
      <w:ind w:left="720"/>
      <w:contextualSpacing/>
    </w:pPr>
    <w:rPr>
      <w:rFonts w:ascii="Calibri" w:cs="Times New Roman" w:eastAsia="Calibri" w:hAnsi="Calibri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0C4DB6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0C4DB6"/>
    <w:rPr>
      <w:sz w:val="20"/>
      <w:szCs w:val="20"/>
    </w:rPr>
  </w:style>
  <w:style w:styleId="Referencafusnote" w:type="character">
    <w:name w:val="footnote reference"/>
    <w:uiPriority w:val="99"/>
    <w:semiHidden/>
    <w:rsid w:val="000C4DB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80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02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022"/>
    <w:rPr>
      <w:rFonts w:ascii="Century Gothic" w:cs="Times New Roman" w:eastAsia="Calibri" w:hAnsi="Century Gothic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022"/>
    <w:rPr>
      <w:rFonts w:ascii="Century Gothic" w:cs="Times New Roman" w:eastAsia="Calibri" w:hAnsi="Century Gothic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022"/>
    <w:rPr>
      <w:rFonts w:ascii="Century Gothic" w:cs="Times New Roman" w:eastAsia="Calibri" w:hAnsi="Century Gothic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1331</properties:Words>
  <properties:Characters>7862</properties:Characters>
  <properties:Lines>341</properties:Lines>
  <properties:Paragraphs>163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2019-05-15T16:43:00Z</dcterms:created>
  <dc:creator>kupa1</dc:creator>
  <dc:description/>
  <cp:keywords/>
  <cp:lastModifiedBy>Monika Grbac</cp:lastModifiedBy>
  <dcterms:modified xmlns:xsi="http://www.w3.org/2001/XMLSchema-instance" xsi:type="dcterms:W3CDTF">2019-05-17T11:16:00Z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St-5738/2016-63 / Podnesak - Završni račun (ZAVRŠNI RAČUN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