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9b0d" w14:paraId="b869b0d" w:rsidRDefault="00AB48E3" w:rsidR="006370A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6370AC" w:rsidR="006370AC">
      <w:pPr>
        <w:jc w:val="center"/>
        <w:rPr>
          <w:rFonts w:hAnsi="Times New Roman" w:ascii="Times New Roman"/>
          <w:b/>
          <w:sz w:val="28"/>
        </w:rPr>
      </w:pPr>
    </w:p>
    <w:p w:rsidRDefault="00AB48E3" w:rsidR="006370AC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VARAŽDINU</w:t>
      </w:r>
    </w:p>
    <w:p w:rsidRDefault="00AB48E3" w:rsidR="006370AC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St-232/17</w:t>
      </w:r>
    </w:p>
    <w:p w:rsidRDefault="00AB48E3" w:rsidR="006370AC"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AB48E3" w:rsidR="006370AC">
      <w:pPr>
        <w:jc w:val="both"/>
      </w:pPr>
      <w:r>
        <w:rPr>
          <w:rFonts w:hAnsi="Times New Roman" w:ascii="Times New Roman"/>
          <w:b/>
          <w:bCs/>
          <w:sz w:val="24"/>
          <w:szCs w:val="24"/>
          <w:lang w:val="pl-PL"/>
        </w:rPr>
        <w:t>KAMEN-LUKAČIĆ d.o.o., Gornjani 58, Kloštar Vojakovački, OIB: 10879596145</w:t>
      </w:r>
    </w:p>
    <w:p w:rsidRDefault="006370AC" w:rsidR="006370A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AB48E3" w:rsidR="006370AC">
      <w:pPr>
        <w:jc w:val="center"/>
      </w:pPr>
      <w:bookmarkStart w:name="__DdeLink__748_809725869" w:id="1"/>
      <w:bookmarkEnd w:id="1"/>
      <w:r>
        <w:rPr>
          <w:rFonts w:hAnsi="Times New Roman" w:ascii="Times New Roman"/>
          <w:b/>
          <w:sz w:val="24"/>
          <w:szCs w:val="24"/>
          <w:lang w:val="pl-PL"/>
        </w:rPr>
        <w:t xml:space="preserve">TABLICA PRIJAVLJENIH </w:t>
      </w:r>
      <w:r>
        <w:rPr>
          <w:rFonts w:hAnsi="Times New Roman" w:ascii="Times New Roman"/>
          <w:b/>
          <w:sz w:val="24"/>
          <w:szCs w:val="24"/>
          <w:lang w:val="pl-PL"/>
        </w:rPr>
        <w:t>TRAŽBINA VJEROVNIKA</w:t>
      </w:r>
    </w:p>
    <w:p w:rsidRDefault="00AB48E3" w:rsidR="006370A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6370AC" w:rsidR="006370AC">
      <w:pPr>
        <w:jc w:val="center"/>
        <w:rPr>
          <w:b/>
        </w:rPr>
      </w:pPr>
    </w:p>
    <w:p w:rsidRDefault="006370AC" w:rsidR="006370AC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W w:type="dxa" w:w="14575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-5"/>
        </w:tblCellMar>
        <w:tblLook w:val="00A0" w:noVBand="0" w:noHBand="0" w:lastColumn="0" w:firstColumn="1" w:lastRow="0" w:firstRow="1"/>
      </w:tblPr>
      <w:tblGrid>
        <w:gridCol w:w="894"/>
        <w:gridCol w:w="1464"/>
        <w:gridCol w:w="1129"/>
        <w:gridCol w:w="1495"/>
        <w:gridCol w:w="1187"/>
        <w:gridCol w:w="1668"/>
        <w:gridCol w:w="1227"/>
        <w:gridCol w:w="1724"/>
        <w:gridCol w:w="1119"/>
        <w:gridCol w:w="1068"/>
        <w:gridCol w:w="1600"/>
      </w:tblGrid>
      <w:tr w:rsidR="006370AC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Adresa / sjedište vjerovnika</w:t>
            </w: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  <w:vAlign w:val="center"/>
          </w:tcPr>
          <w:p w:rsidRDefault="00AB48E3" w:rsidR="006370AC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Oznaka ovršne isprave ako se tražbine zasniva na ovršnoj ispravi</w:t>
            </w:r>
          </w:p>
        </w:tc>
      </w:tr>
      <w:tr w:rsidR="006370AC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MINISTARSTVO FINANCIJA, Porezna uprava, Područni ured Sjeverna Hrvatska</w:t>
            </w:r>
          </w:p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Varaždin,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Graberje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1</w:t>
            </w: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1.621.415,03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Knjigovodstvena kartica poreznog obveznika  - PDV, porez na dobit, pri.nap.su.pr., članarina HGK</w:t>
            </w: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1.621.415,03</w:t>
            </w: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Knjigovodstvena kartica poreznog obveznika  - PDV, porez na dobit, pri.nap.su.pr., članarina HGK</w:t>
            </w: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</w:t>
            </w:r>
            <w:r>
              <w:rPr>
                <w:rFonts w:hAnsi="Times New Roman" w:ascii="Times New Roman"/>
                <w:sz w:val="16"/>
                <w:szCs w:val="16"/>
              </w:rPr>
              <w:t>00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Minist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financija, Porezna uprava, PU Koprivnica, Ispostava Križevci, Klasa: UP/I-415-01/13-01/68 od 04.06.2013., Porezno rješenje Min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financ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, Porezna uprava, PU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Korpivnica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, Klasa: UP/I-471-02/13-01/35 od 14.01.2014., Rješenje o osiguranju Opći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nskog suda u Koprivnici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.-1486/13 od 13.08.2013., Rješenje Općinskog suda u Koprivnici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-351/16 od 18.05.2016.</w:t>
            </w:r>
          </w:p>
        </w:tc>
      </w:tr>
      <w:tr w:rsidR="006370AC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ENERGOSPEKTAR d.o.o.</w:t>
            </w: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40966163739</w:t>
            </w: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Zagreb, Alberta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Fortisa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1</w:t>
            </w: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323.181,57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sastoji se od: 222.409,50 glavnica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84.448,07 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kamate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8.824,00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trokšovi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ovršnog postupka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4.500,00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trokšovi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vještačenja procjena vrijednosti nekretnine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2.500,00 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trošak sastave prijave tražbina odvjetnika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500,00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trošak sudske pristojbe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Glavnica temeljem Ugovora o kupoprodaji 013/2010 i kamate, trošak ovršnog postupka,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troškovi vještačenja, troškovi sastava prijave tražbine, troškovi sudske pristojbe </w:t>
            </w: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315.681,57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sastoji se od: 222.409,50 glavnica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84.448,07 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kamate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8.824,00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trokšovi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ovršnog postupka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Glavnica temeljem Ugovora o kupoprodaji 013/2010 i kamate, trošak </w:t>
            </w:r>
            <w:r>
              <w:rPr>
                <w:rFonts w:hAnsi="Times New Roman" w:ascii="Times New Roman"/>
                <w:sz w:val="16"/>
                <w:szCs w:val="16"/>
              </w:rPr>
              <w:t>ovršnog postupka</w:t>
            </w: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7.500,00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sastoji se od: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4.500,00 osporava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2.500,00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odbacuje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500,00</w:t>
            </w: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odbacuje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troškovi vještačenja nekretnine – nije poznato koji je to trošak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bookmarkStart w:name="__UnoMark__702_1871140226" w:id="2"/>
            <w:bookmarkEnd w:id="2"/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prijavljen niži isplatni red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prijavljen niži isplatni red</w:t>
            </w:r>
          </w:p>
          <w:p w:rsidRDefault="006370AC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Sporazum o osiguranju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novčane tražbine zasnivanjem založnog prava na nekretnini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-13524/12 od 03.07.2012.</w:t>
            </w:r>
          </w:p>
        </w:tc>
      </w:tr>
      <w:tr w:rsidR="006370AC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TEHNO-PARTNER d.o.o.</w:t>
            </w: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37366676729</w:t>
            </w: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Varaždin, Cehovska 12</w:t>
            </w: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9.451,54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Račun, obračun kamata, izvod iz poslovnih knjiga</w:t>
            </w: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9.451,54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Prijavljena tražbina odnosi se na račun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3810/01/1 sa datumom  21.10.2013. godine, datum dospijeća 20.11.2013. godine. Osporava se zbog proteka više od 3 godine od datuma dospijeća - ZASTARA</w:t>
            </w: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R="006370AC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TRIGLAV OSIGURANJE D.D.</w:t>
            </w: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29743547503</w:t>
            </w: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Zagreb, Antuna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Heinza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4</w:t>
            </w: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237.302,43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bookmarkStart w:name="__DdeLink__627_2145252732" w:id="3"/>
            <w:bookmarkEnd w:id="3"/>
            <w:r>
              <w:rPr>
                <w:rFonts w:hAnsi="Times New Roman" w:ascii="Times New Roman"/>
                <w:sz w:val="16"/>
                <w:szCs w:val="16"/>
              </w:rPr>
              <w:t xml:space="preserve">Izvadak otvorenih stavaka,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obračun kamata, računi, presuda TSBJ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-549/2012, Rješenje o ovrsi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-613/14, Presuda TSVŽ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-41/15</w:t>
            </w: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237.302,43</w:t>
            </w: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Izvadak otvorenih stavaka, obračun kamata, računi, presuda TSBJ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-549/2012, Rješenje o ovrsi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-613/14, Presuda TSVŽ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-41/15</w:t>
            </w: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</w:t>
            </w:r>
            <w:r>
              <w:rPr>
                <w:rFonts w:hAnsi="Times New Roman" w:ascii="Times New Roman"/>
                <w:sz w:val="16"/>
                <w:szCs w:val="16"/>
              </w:rPr>
              <w:t>00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Presuda TSBJ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-549/2012 pravomoćna i ovršna 24.03.2016., Rješenje o ovrsi Posl.br.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-613/14, Presuda TSVŽ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-41/15</w:t>
            </w:r>
          </w:p>
        </w:tc>
      </w:tr>
      <w:tr w:rsidR="006370AC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STEČAJNA MASA HIDROPROMET d.o.o.</w:t>
            </w: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75410097803</w:t>
            </w: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Osijek, Vijenac Ivana Meštrovića 50</w:t>
            </w: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41.941,86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bookmarkStart w:name="__DdeLink__2258_809725869" w:id="4"/>
            <w:bookmarkEnd w:id="4"/>
            <w:r>
              <w:rPr>
                <w:rFonts w:hAnsi="Times New Roman" w:ascii="Times New Roman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-60/14, </w:t>
            </w:r>
            <w:r>
              <w:rPr>
                <w:rFonts w:hAnsi="Times New Roman" w:ascii="Times New Roman"/>
                <w:sz w:val="16"/>
                <w:szCs w:val="16"/>
              </w:rPr>
              <w:t>obračun kamata</w:t>
            </w: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41.941,86</w:t>
            </w: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-60/14, obračun kamata</w:t>
            </w: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-60/14 - pravomoćno</w:t>
            </w:r>
          </w:p>
        </w:tc>
      </w:tr>
      <w:tr w:rsidR="006370AC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PODRAVSKA BANKA d.d.</w:t>
            </w: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97326283154</w:t>
            </w: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Koprivnica, Opatička 3</w:t>
            </w: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1.040,90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Ugovor o otvaranju i vođenju poslovnog računa, izvadak iz poslovnih </w:t>
            </w:r>
            <w:r>
              <w:rPr>
                <w:rFonts w:hAnsi="Times New Roman" w:ascii="Times New Roman"/>
                <w:sz w:val="16"/>
                <w:szCs w:val="16"/>
              </w:rPr>
              <w:t>knjiga</w:t>
            </w: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1.040,90</w:t>
            </w: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Ugovor o otvaranju i vođenju poslovnog računa</w:t>
            </w: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</w:pPr>
          </w:p>
        </w:tc>
      </w:tr>
      <w:tr w:rsidR="006370AC">
        <w:trPr>
          <w:trHeight w:val="50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3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5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20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2.234.333,33</w:t>
            </w:r>
          </w:p>
        </w:tc>
        <w:tc>
          <w:tcPr>
            <w:tcW w:type="dxa" w:w="16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2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2.217.381,79</w:t>
            </w:r>
          </w:p>
        </w:tc>
        <w:tc>
          <w:tcPr>
            <w:tcW w:type="dxa" w:w="17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1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AB48E3" w:rsidR="006370AC">
            <w:pPr>
              <w:pStyle w:val="Bezproreda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16.951,54</w:t>
            </w:r>
          </w:p>
        </w:tc>
        <w:tc>
          <w:tcPr>
            <w:tcW w:type="dxa" w:w="10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-5"/>
            </w:tcMar>
          </w:tcPr>
          <w:p w:rsidRDefault="006370AC" w:rsidR="006370AC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6370AC" w:rsidR="006370AC">
      <w:pPr>
        <w:jc w:val="center"/>
        <w:rPr>
          <w:rFonts w:hAnsi="Times New Roman" w:ascii="Times New Roman"/>
          <w:sz w:val="18"/>
          <w:szCs w:val="18"/>
        </w:rPr>
      </w:pPr>
    </w:p>
    <w:p w:rsidRDefault="006370AC" w:rsidR="006370AC">
      <w:pPr>
        <w:rPr>
          <w:rFonts w:hAnsi="Times New Roman" w:ascii="Times New Roman"/>
          <w:sz w:val="24"/>
        </w:rPr>
      </w:pPr>
    </w:p>
    <w:p w:rsidRDefault="006370AC" w:rsidR="006370AC">
      <w:pPr>
        <w:rPr>
          <w:rFonts w:hAnsi="Times New Roman" w:ascii="Times New Roman"/>
          <w:sz w:val="24"/>
        </w:rPr>
      </w:pPr>
    </w:p>
    <w:p w:rsidRDefault="00AB48E3" w:rsidR="006370A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18"/>
          <w:szCs w:val="18"/>
        </w:rPr>
        <w:t xml:space="preserve">Mjesto i datum </w:t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  <w:t>Stečajni upravitelj</w:t>
      </w:r>
    </w:p>
    <w:p w:rsidRDefault="00AB48E3" w:rsidR="006370AC">
      <w:r>
        <w:rPr>
          <w:rFonts w:hAnsi="Times New Roman" w:ascii="Times New Roman"/>
          <w:sz w:val="18"/>
          <w:szCs w:val="18"/>
        </w:rPr>
        <w:t>Čakovec,  05.03.2018.</w:t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  <w:t xml:space="preserve">Vesna Baranašić Horvat, </w:t>
      </w:r>
      <w:proofErr w:type="spellStart"/>
      <w:r>
        <w:rPr>
          <w:rFonts w:hAnsi="Times New Roman" w:ascii="Times New Roman"/>
          <w:sz w:val="18"/>
          <w:szCs w:val="18"/>
        </w:rPr>
        <w:t>mag.oec</w:t>
      </w:r>
      <w:proofErr w:type="spellEnd"/>
      <w:r>
        <w:rPr>
          <w:rFonts w:hAnsi="Times New Roman" w:ascii="Times New Roman"/>
          <w:sz w:val="18"/>
          <w:szCs w:val="18"/>
        </w:rPr>
        <w:t>.</w:t>
      </w:r>
    </w:p>
    <w:p w:rsidRDefault="006370AC" w:rsidR="006370AC"/>
    <w:sectPr w:rsidR="006370AC">
      <w:pgSz w:orient="landscape" w:h="11906" w:w="16838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9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0AC"/>
    <w:rsid w:val="006370AC"/>
    <w:rsid w:val="00AB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Liberation Serif" w:ascii="Liberation Serif"/>
        <w:szCs w:val="24"/>
        <w:lang w:bidi="hi-IN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overflowPunct w:val="false"/>
      <w:spacing w:after="80"/>
    </w:pPr>
    <w:rPr>
      <w:rFonts w:hAnsiTheme="minorHAnsi" w:asciiTheme="minorHAnsi" w:cs="Times New Roman" w:eastAsia="Calibri"/>
      <w:color w:val="00000A"/>
      <w:sz w:val="22"/>
      <w:szCs w:val="22"/>
      <w:lang w:bidi="ar-SA" w:eastAsia="en-US"/>
    </w:rPr>
  </w:style>
  <w:style w:styleId="Naslov1" w:type="paragraph">
    <w:name w:val="heading 1"/>
    <w:basedOn w:val="Heading"/>
    <w:qFormat/>
    <w:pPr>
      <w:widowControl w:val="false"/>
      <w:outlineLvl w:val="0"/>
    </w:pPr>
    <w:rPr>
      <w:rFonts w:eastAsia="SimSun" w:hAnsi="Liberation Serif" w:ascii="Liberation Serif"/>
      <w:sz w:val="22"/>
      <w:szCs w:val="24"/>
      <w:lang w:bidi="hi-IN" w:eastAsia="zh-CN"/>
    </w:rPr>
  </w:style>
  <w:style w:styleId="Naslov2" w:type="paragraph">
    <w:name w:val="heading 2"/>
    <w:basedOn w:val="Heading"/>
    <w:qFormat/>
    <w:pPr>
      <w:widowControl w:val="false"/>
      <w:outlineLvl w:val="1"/>
    </w:pPr>
    <w:rPr>
      <w:rFonts w:eastAsia="SimSun" w:hAnsi="Liberation Serif" w:ascii="Liberation Serif"/>
      <w:sz w:val="22"/>
      <w:szCs w:val="24"/>
      <w:lang w:bidi="hi-IN" w:eastAsia="zh-CN"/>
    </w:rPr>
  </w:style>
  <w:style w:styleId="Naslov3" w:type="paragraph">
    <w:name w:val="heading 3"/>
    <w:basedOn w:val="Heading"/>
    <w:qFormat/>
    <w:pPr>
      <w:widowControl w:val="false"/>
      <w:outlineLvl w:val="2"/>
    </w:pPr>
    <w:rPr>
      <w:rFonts w:eastAsia="SimSun" w:hAnsi="Liberation Serif" w:ascii="Liberation Serif"/>
      <w:sz w:val="22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qFormat/>
    <w:rPr>
      <w:vertAlign w:val="superscript"/>
    </w:rPr>
  </w:style>
  <w:style w:customStyle="true" w:styleId="Sidrozavrnebiljeke" w:type="character">
    <w:name w:val="Sidro završne bilješke"/>
    <w:qFormat/>
    <w:rPr>
      <w:vertAlign w:val="superscript"/>
    </w:rPr>
  </w:style>
  <w:style w:customStyle="true" w:styleId="Znakovizavrnebiljeke" w:type="character">
    <w:name w:val="Znakovi završne bilješke"/>
    <w:qFormat/>
  </w:style>
  <w:style w:customStyle="true" w:styleId="Character20style" w:type="character">
    <w:name w:val="Character_20_style"/>
    <w:qFormat/>
  </w:style>
  <w:style w:customStyle="true" w:styleId="FootnoteCharacters" w:type="character">
    <w:name w:val="Footnote Characters"/>
    <w:qFormat/>
  </w:style>
  <w:style w:customStyle="true" w:styleId="FootnoteAnchor" w:type="character">
    <w:name w:val="Footnote Anchor"/>
    <w:rPr>
      <w:vertAlign w:val="superscript"/>
    </w:rPr>
  </w:style>
  <w:style w:customStyle="true" w:styleId="EndnoteAnchor" w:type="character">
    <w:name w:val="Endnote Anchor"/>
    <w:rPr>
      <w:vertAlign w:val="superscript"/>
    </w:rPr>
  </w:style>
  <w:style w:customStyle="true" w:styleId="EndnoteCharacters" w:type="character">
    <w:name w:val="Endnote Characters"/>
    <w:qFormat/>
  </w:style>
  <w:style w:customStyle="true" w:styleId="Heading" w:type="paragraph">
    <w:name w:val="Heading"/>
    <w:basedOn w:val="Normal"/>
    <w:next w:val="TextBody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Normal"/>
    <w:pPr>
      <w:spacing w:lineRule="auto" w:line="288" w:after="140"/>
    </w:pPr>
  </w:style>
  <w:style w:styleId="Popis" w:type="paragraph">
    <w:name w:val="List"/>
    <w:basedOn w:val="TextBody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customStyle="true" w:styleId="Stilnaslova" w:type="paragraph">
    <w:name w:val="Stil naslova"/>
    <w:basedOn w:val="Normal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overflowPunct w:val="false"/>
      <w:spacing w:after="80"/>
    </w:pPr>
    <w:rPr>
      <w:rFonts w:hAnsiTheme="minorHAnsi" w:asciiTheme="minorHAnsi" w:cs="Times New Roman" w:eastAsia="Times New Roman"/>
      <w:color w:val="00000A"/>
      <w:sz w:val="22"/>
      <w:szCs w:val="22"/>
      <w:lang w:bidi="ar-SA"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Footnote" w:type="paragraph">
    <w:name w:val="Footnote"/>
    <w:basedOn w:val="Normal"/>
  </w:style>
  <w:style w:customStyle="true" w:styleId="Sadrajokvira" w:type="paragraph">
    <w:name w:val="Sadržaj okvira"/>
    <w:basedOn w:val="Normal"/>
    <w:qFormat/>
  </w:style>
  <w:style w:customStyle="true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</w:style>
  <w:style w:customStyle="true" w:styleId="Default" w:type="paragraph">
    <w:name w:val="Default"/>
    <w:qFormat/>
    <w:pPr>
      <w:widowControl w:val="false"/>
      <w:suppressAutoHyphens/>
      <w:overflowPunct w:val="false"/>
    </w:pPr>
    <w:rPr>
      <w:rFonts w:cs="Liberation Serif;Times New Roma" w:eastAsia="Liberation Serif;Times New Roma" w:hAnsi="Times New Roman" w:ascii="Times New Roman"/>
      <w:color w:val="000000"/>
      <w:sz w:val="24"/>
      <w:lang w:eastAsia="hi-IN"/>
    </w:rPr>
  </w:style>
  <w:style w:customStyle="true" w:styleId="FrameContents" w:type="paragraph">
    <w:name w:val="Frame Contents"/>
    <w:basedOn w:val="Normal"/>
    <w:qFormat/>
  </w:style>
  <w:style w:customStyle="true" w:styleId="Quotations" w:type="paragraph">
    <w:name w:val="Quotations"/>
    <w:basedOn w:val="Normal"/>
    <w:qFormat/>
  </w:style>
  <w:style w:customStyle="true" w:styleId="TableContents" w:type="paragraph">
    <w:name w:val="Table Contents"/>
    <w:basedOn w:val="Normal"/>
    <w:qFormat/>
  </w:style>
  <w:style w:customStyle="true" w:styleId="TableHeading" w:type="paragraph">
    <w:name w:val="Table Heading"/>
    <w:basedOn w:val="TableContents"/>
    <w:qFormat/>
  </w:style>
  <w:style w:customStyle="true" w:styleId="WW8Num2" w:type="numbering">
    <w:name w:val="WW8Num2"/>
    <w:qFormat/>
  </w:style>
  <w:style w:styleId="Tekstrezerviranogmjesta" w:type="character">
    <w:name w:val="Placeholder Text"/>
    <w:basedOn w:val="Zadanifontodlomka"/>
    <w:uiPriority w:val="99"/>
    <w:semiHidden/>
    <w:rsid w:val="00AB4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8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8E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8E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8E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Arial" w:eastAsia="SimSun" w:hAnsi="Liberation Serif"/>
        <w:szCs w:val="24"/>
        <w:lang w:bidi="hi-IN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overflowPunct w:val="0"/>
      <w:spacing w:after="80"/>
    </w:pPr>
    <w:rPr>
      <w:rFonts w:asciiTheme="minorHAnsi" w:cs="Times New Roman" w:eastAsia="Calibri" w:hAnsiTheme="minorHAnsi"/>
      <w:color w:val="00000A"/>
      <w:sz w:val="22"/>
      <w:szCs w:val="22"/>
      <w:lang w:bidi="ar-SA" w:eastAsia="en-US"/>
    </w:rPr>
  </w:style>
  <w:style w:styleId="Naslov1" w:type="paragraph">
    <w:name w:val="heading 1"/>
    <w:basedOn w:val="Heading"/>
    <w:qFormat/>
    <w:pPr>
      <w:widowControl w:val="0"/>
      <w:outlineLvl w:val="0"/>
    </w:pPr>
    <w:rPr>
      <w:rFonts w:ascii="Liberation Serif" w:eastAsia="SimSun" w:hAnsi="Liberation Serif"/>
      <w:sz w:val="22"/>
      <w:szCs w:val="24"/>
      <w:lang w:bidi="hi-IN" w:eastAsia="zh-CN"/>
    </w:rPr>
  </w:style>
  <w:style w:styleId="Naslov2" w:type="paragraph">
    <w:name w:val="heading 2"/>
    <w:basedOn w:val="Heading"/>
    <w:qFormat/>
    <w:pPr>
      <w:widowControl w:val="0"/>
      <w:outlineLvl w:val="1"/>
    </w:pPr>
    <w:rPr>
      <w:rFonts w:ascii="Liberation Serif" w:eastAsia="SimSun" w:hAnsi="Liberation Serif"/>
      <w:sz w:val="22"/>
      <w:szCs w:val="24"/>
      <w:lang w:bidi="hi-IN" w:eastAsia="zh-CN"/>
    </w:rPr>
  </w:style>
  <w:style w:styleId="Naslov3" w:type="paragraph">
    <w:name w:val="heading 3"/>
    <w:basedOn w:val="Heading"/>
    <w:qFormat/>
    <w:pPr>
      <w:widowControl w:val="0"/>
      <w:outlineLvl w:val="2"/>
    </w:pPr>
    <w:rPr>
      <w:rFonts w:ascii="Liberation Serif" w:eastAsia="SimSun" w:hAnsi="Liberation Serif"/>
      <w:sz w:val="22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1" w:styleId="Znakovifusnote" w:type="character">
    <w:name w:val="Znakovi fusnote"/>
    <w:qFormat/>
  </w:style>
  <w:style w:customStyle="1" w:styleId="Sidrofusnote" w:type="character">
    <w:name w:val="Sidro fusnote"/>
    <w:qFormat/>
    <w:rPr>
      <w:vertAlign w:val="superscript"/>
    </w:rPr>
  </w:style>
  <w:style w:customStyle="1" w:styleId="Sidrozavrnebiljeke" w:type="character">
    <w:name w:val="Sidro završne bilješke"/>
    <w:qFormat/>
    <w:rPr>
      <w:vertAlign w:val="superscript"/>
    </w:rPr>
  </w:style>
  <w:style w:customStyle="1" w:styleId="Znakovizavrnebiljeke" w:type="character">
    <w:name w:val="Znakovi završne bilješke"/>
    <w:qFormat/>
  </w:style>
  <w:style w:customStyle="1" w:styleId="Character20style" w:type="character">
    <w:name w:val="Character_20_style"/>
    <w:qFormat/>
  </w:style>
  <w:style w:customStyle="1" w:styleId="FootnoteCharacters" w:type="character">
    <w:name w:val="Footnote Characters"/>
    <w:qFormat/>
  </w:style>
  <w:style w:customStyle="1" w:styleId="FootnoteAnchor" w:type="character">
    <w:name w:val="Footnote Anchor"/>
    <w:rPr>
      <w:vertAlign w:val="superscript"/>
    </w:rPr>
  </w:style>
  <w:style w:customStyle="1" w:styleId="EndnoteAnchor" w:type="character">
    <w:name w:val="Endnote Anchor"/>
    <w:rPr>
      <w:vertAlign w:val="superscript"/>
    </w:rPr>
  </w:style>
  <w:style w:customStyle="1" w:styleId="EndnoteCharacters" w:type="character">
    <w:name w:val="Endnote Characters"/>
    <w:qFormat/>
  </w:style>
  <w:style w:customStyle="1" w:styleId="Heading" w:type="paragraph">
    <w:name w:val="Heading"/>
    <w:basedOn w:val="Normal"/>
    <w:next w:val="TextBody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customStyle="1" w:styleId="TextBody" w:type="paragraph">
    <w:name w:val="Text Body"/>
    <w:basedOn w:val="Normal"/>
    <w:pPr>
      <w:spacing w:after="140" w:line="288" w:lineRule="auto"/>
    </w:pPr>
  </w:style>
  <w:style w:styleId="Popis" w:type="paragraph">
    <w:name w:val="List"/>
    <w:basedOn w:val="TextBody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customStyle="1" w:styleId="Stilnaslova" w:type="paragraph">
    <w:name w:val="Stil naslova"/>
    <w:basedOn w:val="Normal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overflowPunct w:val="0"/>
      <w:spacing w:after="80"/>
    </w:pPr>
    <w:rPr>
      <w:rFonts w:asciiTheme="minorHAnsi" w:cs="Times New Roman" w:eastAsia="Times New Roman" w:hAnsiTheme="minorHAnsi"/>
      <w:color w:val="00000A"/>
      <w:sz w:val="22"/>
      <w:szCs w:val="22"/>
      <w:lang w:bidi="ar-SA"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Footnote" w:type="paragraph">
    <w:name w:val="Footnote"/>
    <w:basedOn w:val="Normal"/>
  </w:style>
  <w:style w:customStyle="1" w:styleId="Sadrajokvira" w:type="paragraph">
    <w:name w:val="Sadržaj okvira"/>
    <w:basedOn w:val="Normal"/>
    <w:qFormat/>
  </w:style>
  <w:style w:customStyle="1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</w:style>
  <w:style w:customStyle="1" w:styleId="Default" w:type="paragraph">
    <w:name w:val="Default"/>
    <w:qFormat/>
    <w:pPr>
      <w:widowControl w:val="0"/>
      <w:suppressAutoHyphens/>
      <w:overflowPunct w:val="0"/>
    </w:pPr>
    <w:rPr>
      <w:rFonts w:ascii="Times New Roman" w:cs="Liberation Serif;Times New Roma" w:eastAsia="Liberation Serif;Times New Roma" w:hAnsi="Times New Roman"/>
      <w:color w:val="000000"/>
      <w:sz w:val="24"/>
      <w:lang w:eastAsia="hi-IN"/>
    </w:rPr>
  </w:style>
  <w:style w:customStyle="1" w:styleId="FrameContents" w:type="paragraph">
    <w:name w:val="Frame Contents"/>
    <w:basedOn w:val="Normal"/>
    <w:qFormat/>
  </w:style>
  <w:style w:customStyle="1" w:styleId="Quotations" w:type="paragraph">
    <w:name w:val="Quotations"/>
    <w:basedOn w:val="Normal"/>
    <w:qFormat/>
  </w:style>
  <w:style w:customStyle="1" w:styleId="TableContents" w:type="paragraph">
    <w:name w:val="Table Contents"/>
    <w:basedOn w:val="Normal"/>
    <w:qFormat/>
  </w:style>
  <w:style w:customStyle="1" w:styleId="TableHeading" w:type="paragraph">
    <w:name w:val="Table Heading"/>
    <w:basedOn w:val="TableContents"/>
    <w:qFormat/>
  </w:style>
  <w:style w:customStyle="1" w:styleId="WW8Num2" w:type="numbering">
    <w:name w:val="WW8Num2"/>
    <w:qFormat/>
  </w:style>
  <w:style w:styleId="Tekstrezerviranogmjesta" w:type="character">
    <w:name w:val="Placeholder Text"/>
    <w:basedOn w:val="Zadanifontodlomka"/>
    <w:uiPriority w:val="99"/>
    <w:semiHidden/>
    <w:rsid w:val="00AB4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8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8E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8E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8E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476</properties:Words>
  <properties:Characters>3241</properties:Characters>
  <properties:Lines>293</properties:Lines>
  <properties:Paragraphs>109</properties:Paragraphs>
  <properties:TotalTime>387</properties:TotalTime>
  <properties:ScaleCrop>false</properties:ScaleCrop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dc:language>hr-HR</dc:language>
  <cp:lastModifiedBy>Tatjana Rukelj</cp:lastModifiedBy>
  <cp:lastPrinted>2018-03-06T10:10:00Z</cp:lastPrinted>
  <dcterms:modified xmlns:xsi="http://www.w3.org/2001/XMLSchema-instance" xsi:type="dcterms:W3CDTF">2018-03-08T11:20:00Z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St-232/2017-20 / Podnesak - Tablica prijavljenih i osporenih tražbina (O19 Tablice prijavljenih tražbina, razlučnih i izlučnih prava (čl. 259. st. 1. SZ) KAMEN-LUKAČIĆ doo u stečaju II VIŠI ISPLATNI RED.docx)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