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CC3D32" w:rsidR="00CC3D32">
        <w:tc>
          <w:tcPr>
            <w:tcW w:type="dxa" w:w="2985"/>
            <w:hideMark/>
          </w:tcPr>
          <w:p w:rsidRDefault="00CC3D32" w:rsidR="00CC3D3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C3D32" w:rsidR="00CC3D32">
            <w:pPr>
              <w:spacing w:lineRule="auto" w:line="240" w:after="0"/>
              <w:jc w:val="center"/>
              <w:rPr>
                <w:rFonts w:hAnsi="Times New Roman" w:ascii="Times New Roman"/>
                <w:sz w:val="24"/>
                <w:szCs w:val="24"/>
              </w:rPr>
            </w:pPr>
            <w:r>
              <w:rPr>
                <w:rFonts w:hAnsi="Times New Roman" w:ascii="Times New Roman"/>
                <w:sz w:val="24"/>
                <w:szCs w:val="24"/>
              </w:rPr>
              <w:t>Republika Hrvatska</w:t>
            </w:r>
          </w:p>
          <w:p w:rsidRDefault="00CC3D32" w:rsidR="00CC3D32">
            <w:pPr>
              <w:spacing w:lineRule="auto" w:line="240" w:after="0"/>
              <w:jc w:val="center"/>
              <w:rPr>
                <w:rFonts w:hAnsi="Times New Roman" w:ascii="Times New Roman"/>
                <w:sz w:val="24"/>
                <w:szCs w:val="24"/>
              </w:rPr>
            </w:pPr>
            <w:r>
              <w:rPr>
                <w:rFonts w:hAnsi="Times New Roman" w:ascii="Times New Roman"/>
                <w:sz w:val="24"/>
                <w:szCs w:val="24"/>
              </w:rPr>
              <w:t>Trgovački sud u Varaždinu</w:t>
            </w:r>
          </w:p>
          <w:p w:rsidRDefault="00CC3D32" w:rsidR="00CC3D32">
            <w:pPr>
              <w:spacing w:lineRule="auto" w:line="240" w:after="0"/>
              <w:jc w:val="center"/>
              <w:rPr>
                <w:rFonts w:hAnsi="Times New Roman" w:ascii="Times New Roman"/>
                <w:sz w:val="24"/>
                <w:szCs w:val="24"/>
              </w:rPr>
            </w:pPr>
            <w:r>
              <w:rPr>
                <w:rFonts w:hAnsi="Times New Roman" w:ascii="Times New Roman"/>
                <w:sz w:val="24"/>
                <w:szCs w:val="24"/>
              </w:rPr>
              <w:t>Varaždin, Braće Radić 2</w:t>
            </w:r>
          </w:p>
        </w:tc>
      </w:tr>
    </w:tbl>
    <w:p w14:textId="4b606ea" w14:paraId="4b606ea" w:rsidRDefault="00CC3D32" w:rsidP="00CC3D32" w:rsidR="00CC3D32">
      <w:pPr>
        <w:spacing w:lineRule="auto" w:line="240" w:after="0"/>
        <w:jc w:val="right"/>
        <w15:collapsed w:val="false"/>
        <w:rPr>
          <w:rFonts w:hAnsi="Times New Roman" w:ascii="Times New Roman"/>
          <w:sz w:val="12"/>
          <w:szCs w:val="24"/>
        </w:rPr>
      </w:pPr>
      <w:r>
        <w:rPr>
          <w:rFonts w:hAnsi="Times New Roman" w:ascii="Times New Roman"/>
          <w:sz w:val="12"/>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CC3D32" w:rsidR="00CC3D32">
        <w:trPr>
          <w:jc w:val="right"/>
        </w:trPr>
        <w:tc>
          <w:tcPr>
            <w:tcW w:type="dxa" w:w="4320"/>
            <w:hideMark/>
          </w:tcPr>
          <w:p w:rsidRDefault="001D6856" w:rsidR="00CC3D32">
            <w:pPr>
              <w:pStyle w:val="VSVerzija"/>
              <w:jc w:val="center"/>
            </w:pPr>
            <w:r>
              <w:t xml:space="preserve">                </w:t>
            </w:r>
            <w:r w:rsidR="00CC3D32">
              <w:t>Poslovni broj:  6 St-152/2014-77</w:t>
            </w:r>
          </w:p>
        </w:tc>
      </w:tr>
    </w:tbl>
    <w:p w:rsidRDefault="00AE649C" w:rsidP="004F27AE" w:rsidR="00AE649C">
      <w:pPr>
        <w:pStyle w:val="NormaleSPIS"/>
      </w:pPr>
    </w:p>
    <w:p w:rsidRDefault="0028652B" w:rsidP="004F27AE" w:rsidR="0028652B">
      <w:pPr>
        <w:pStyle w:val="NormaleSPIS"/>
      </w:pPr>
    </w:p>
    <w:p w:rsidRDefault="00CC3D32" w:rsidP="00CC3D32" w:rsidR="00CC3D32" w:rsidRPr="00CC3D32">
      <w:pPr>
        <w:pStyle w:val="SudNaziv"/>
        <w:jc w:val="center"/>
        <w:rPr>
          <w:rFonts w:hAnsi="Times New Roman" w:ascii="Times New Roman"/>
          <w:b w:val="false"/>
          <w:sz w:val="24"/>
          <w:szCs w:val="24"/>
        </w:rPr>
      </w:pPr>
      <w:r w:rsidRPr="00CC3D32">
        <w:rPr>
          <w:rFonts w:hAnsi="Times New Roman" w:ascii="Times New Roman"/>
          <w:b w:val="false"/>
          <w:sz w:val="24"/>
          <w:szCs w:val="24"/>
        </w:rPr>
        <w:t>R E P U B L I K A      H R V A T S K A</w:t>
      </w:r>
    </w:p>
    <w:p w:rsidRDefault="00CC3D32" w:rsidP="00CC3D32" w:rsidR="00CC3D32" w:rsidRPr="00CC3D32">
      <w:pPr>
        <w:pStyle w:val="SudNaziv"/>
        <w:jc w:val="center"/>
        <w:rPr>
          <w:rFonts w:hAnsi="Times New Roman" w:ascii="Times New Roman"/>
          <w:b w:val="false"/>
          <w:sz w:val="24"/>
          <w:szCs w:val="24"/>
        </w:rPr>
      </w:pPr>
    </w:p>
    <w:p w:rsidRDefault="00CC3D32" w:rsidP="00CC3D32" w:rsidR="00CC3D32" w:rsidRPr="00CC3D32">
      <w:pPr>
        <w:pStyle w:val="SudNaziv"/>
        <w:jc w:val="center"/>
        <w:rPr>
          <w:rFonts w:hAnsi="Times New Roman" w:ascii="Times New Roman"/>
          <w:b w:val="false"/>
          <w:sz w:val="24"/>
          <w:szCs w:val="24"/>
        </w:rPr>
      </w:pPr>
      <w:r w:rsidRPr="00CC3D32">
        <w:rPr>
          <w:rFonts w:hAnsi="Times New Roman" w:ascii="Times New Roman"/>
          <w:b w:val="false"/>
          <w:sz w:val="24"/>
          <w:szCs w:val="24"/>
        </w:rPr>
        <w:t>R  J  E  Š  E  N  J  E</w:t>
      </w:r>
    </w:p>
    <w:p w:rsidRDefault="00CC3D32" w:rsidP="00CC3D32" w:rsidR="00CC3D32" w:rsidRPr="00CC3D32">
      <w:pPr>
        <w:pStyle w:val="SudNaziv"/>
        <w:jc w:val="center"/>
        <w:rPr>
          <w:rFonts w:hAnsi="Times New Roman" w:ascii="Times New Roman"/>
          <w:sz w:val="24"/>
          <w:szCs w:val="24"/>
        </w:rPr>
      </w:pPr>
    </w:p>
    <w:p w:rsidRDefault="00CC3D32" w:rsidP="00CC3D32" w:rsidR="00CC3D32" w:rsidRPr="00CC3D32">
      <w:pPr>
        <w:pStyle w:val="SudSjedite"/>
      </w:pPr>
      <w:r w:rsidRPr="00CC3D32">
        <w:tab/>
      </w:r>
    </w:p>
    <w:p w:rsidRDefault="001D6856" w:rsidP="00CC3D32" w:rsidR="00CC3D32" w:rsidRPr="00CC3D32">
      <w:pPr>
        <w:spacing w:after="0"/>
        <w:ind w:firstLine="708"/>
        <w:jc w:val="both"/>
        <w:rPr>
          <w:rFonts w:hAnsi="Times New Roman" w:ascii="Times New Roman"/>
          <w:sz w:val="24"/>
          <w:szCs w:val="24"/>
        </w:rPr>
      </w:pPr>
      <w:r>
        <w:rPr>
          <w:rFonts w:hAnsi="Times New Roman" w:ascii="Times New Roman"/>
          <w:bCs/>
          <w:sz w:val="24"/>
          <w:szCs w:val="24"/>
        </w:rPr>
        <w:t>Trgovački sud u Varaždinu</w:t>
      </w:r>
      <w:r w:rsidR="00CC3D32" w:rsidRPr="00CC3D32">
        <w:rPr>
          <w:rFonts w:hAnsi="Times New Roman" w:ascii="Times New Roman"/>
          <w:bCs/>
          <w:sz w:val="24"/>
          <w:szCs w:val="24"/>
        </w:rPr>
        <w:t>,</w:t>
      </w:r>
      <w:r w:rsidR="00CC3D32" w:rsidRPr="00CC3D32">
        <w:rPr>
          <w:rFonts w:hAnsi="Times New Roman" w:ascii="Times New Roman"/>
          <w:sz w:val="24"/>
          <w:szCs w:val="24"/>
        </w:rPr>
        <w:t xml:space="preserve"> po s</w:t>
      </w:r>
      <w:r>
        <w:rPr>
          <w:rFonts w:hAnsi="Times New Roman" w:ascii="Times New Roman"/>
          <w:sz w:val="24"/>
          <w:szCs w:val="24"/>
        </w:rPr>
        <w:t xml:space="preserve">ucu toga suda Hugu </w:t>
      </w:r>
      <w:proofErr w:type="spellStart"/>
      <w:r>
        <w:rPr>
          <w:rFonts w:hAnsi="Times New Roman" w:ascii="Times New Roman"/>
          <w:sz w:val="24"/>
          <w:szCs w:val="24"/>
        </w:rPr>
        <w:t>Wedemeyeru</w:t>
      </w:r>
      <w:proofErr w:type="spellEnd"/>
      <w:r>
        <w:rPr>
          <w:rFonts w:hAnsi="Times New Roman" w:ascii="Times New Roman"/>
          <w:sz w:val="24"/>
          <w:szCs w:val="24"/>
        </w:rPr>
        <w:t xml:space="preserve">, </w:t>
      </w:r>
      <w:r w:rsidR="00CC3D32" w:rsidRPr="00CC3D32">
        <w:rPr>
          <w:rFonts w:hAnsi="Times New Roman" w:ascii="Times New Roman"/>
          <w:sz w:val="24"/>
          <w:szCs w:val="24"/>
        </w:rPr>
        <w:t>u stečajnom postupku nad stečajnim dužnikom</w:t>
      </w:r>
      <w:r w:rsidR="0028652B">
        <w:rPr>
          <w:rFonts w:hAnsi="Times New Roman" w:ascii="Times New Roman"/>
          <w:sz w:val="24"/>
          <w:szCs w:val="24"/>
        </w:rPr>
        <w:t xml:space="preserve"> </w:t>
      </w:r>
      <w:r w:rsidR="0028652B" w:rsidRPr="0028652B">
        <w:rPr>
          <w:rFonts w:hAnsi="Times New Roman" w:ascii="Times New Roman"/>
          <w:sz w:val="24"/>
          <w:szCs w:val="24"/>
        </w:rPr>
        <w:t xml:space="preserve">ARKADA d.o.o. za građevinarstvo, trgovinu i ugostiteljstvo, u stečaju, iz </w:t>
      </w:r>
      <w:proofErr w:type="spellStart"/>
      <w:r w:rsidR="0028652B" w:rsidRPr="0028652B">
        <w:rPr>
          <w:rFonts w:hAnsi="Times New Roman" w:ascii="Times New Roman"/>
          <w:sz w:val="24"/>
          <w:szCs w:val="24"/>
        </w:rPr>
        <w:t>Sračinca</w:t>
      </w:r>
      <w:proofErr w:type="spellEnd"/>
      <w:r w:rsidR="0028652B" w:rsidRPr="0028652B">
        <w:rPr>
          <w:rFonts w:hAnsi="Times New Roman" w:ascii="Times New Roman"/>
          <w:sz w:val="24"/>
          <w:szCs w:val="24"/>
        </w:rPr>
        <w:t xml:space="preserve">, Varaždinska 205, OIB: 24031642606, kojeg zastupa stečajni upravitelj Daniel </w:t>
      </w:r>
      <w:proofErr w:type="spellStart"/>
      <w:r w:rsidR="0028652B" w:rsidRPr="0028652B">
        <w:rPr>
          <w:rFonts w:hAnsi="Times New Roman" w:ascii="Times New Roman"/>
          <w:sz w:val="24"/>
          <w:szCs w:val="24"/>
        </w:rPr>
        <w:t>Dekov</w:t>
      </w:r>
      <w:r w:rsidR="0028652B">
        <w:rPr>
          <w:rFonts w:hAnsi="Times New Roman" w:ascii="Times New Roman"/>
          <w:sz w:val="24"/>
          <w:szCs w:val="24"/>
        </w:rPr>
        <w:t>ić</w:t>
      </w:r>
      <w:proofErr w:type="spellEnd"/>
      <w:r w:rsidR="0028652B">
        <w:rPr>
          <w:rFonts w:hAnsi="Times New Roman" w:ascii="Times New Roman"/>
          <w:sz w:val="24"/>
          <w:szCs w:val="24"/>
        </w:rPr>
        <w:t>, iz Zagreba, Novačka br. 329</w:t>
      </w:r>
      <w:r w:rsidR="00CC3D32" w:rsidRPr="0028652B">
        <w:rPr>
          <w:rFonts w:hAnsi="Times New Roman" w:ascii="Times New Roman"/>
          <w:sz w:val="24"/>
          <w:szCs w:val="24"/>
        </w:rPr>
        <w:t>,</w:t>
      </w:r>
      <w:r w:rsidR="00CC3D32" w:rsidRPr="00CC3D32">
        <w:rPr>
          <w:rFonts w:hAnsi="Times New Roman" w:ascii="Times New Roman"/>
          <w:sz w:val="24"/>
          <w:szCs w:val="24"/>
        </w:rPr>
        <w:t xml:space="preserve"> povodom zahtjeva stečajnog upravitelja za određivanje na</w:t>
      </w:r>
      <w:r w:rsidR="0028652B">
        <w:rPr>
          <w:rFonts w:hAnsi="Times New Roman" w:ascii="Times New Roman"/>
          <w:sz w:val="24"/>
          <w:szCs w:val="24"/>
        </w:rPr>
        <w:t>grade, izvan ročišta 23. ožujka</w:t>
      </w:r>
      <w:r w:rsidR="00CC3D32" w:rsidRPr="00CC3D32">
        <w:rPr>
          <w:rFonts w:hAnsi="Times New Roman" w:ascii="Times New Roman"/>
          <w:sz w:val="24"/>
          <w:szCs w:val="24"/>
        </w:rPr>
        <w:t xml:space="preserve"> 201</w:t>
      </w:r>
      <w:r w:rsidR="0028652B">
        <w:rPr>
          <w:rFonts w:hAnsi="Times New Roman" w:ascii="Times New Roman"/>
          <w:sz w:val="24"/>
          <w:szCs w:val="24"/>
        </w:rPr>
        <w:t>8</w:t>
      </w:r>
      <w:r w:rsidR="00CC3D32" w:rsidRPr="00CC3D32">
        <w:rPr>
          <w:rFonts w:hAnsi="Times New Roman" w:ascii="Times New Roman"/>
          <w:sz w:val="24"/>
          <w:szCs w:val="24"/>
        </w:rPr>
        <w:t>.</w:t>
      </w:r>
    </w:p>
    <w:p w:rsidRDefault="00CC3D32" w:rsidP="00CC3D32" w:rsidR="00CC3D32" w:rsidRPr="00CC3D32">
      <w:pPr>
        <w:spacing w:after="0"/>
        <w:rPr>
          <w:rFonts w:hAnsi="Times New Roman" w:ascii="Times New Roman"/>
          <w:sz w:val="24"/>
          <w:szCs w:val="24"/>
        </w:rPr>
      </w:pPr>
    </w:p>
    <w:p w:rsidRDefault="00CC3D32" w:rsidP="00CC3D32" w:rsidR="00CC3D32" w:rsidRPr="00CC3D32">
      <w:pPr>
        <w:spacing w:after="0"/>
        <w:rPr>
          <w:rFonts w:hAnsi="Times New Roman" w:ascii="Times New Roman"/>
          <w:sz w:val="24"/>
          <w:szCs w:val="24"/>
        </w:rPr>
      </w:pPr>
    </w:p>
    <w:p w:rsidRDefault="00CC3D32" w:rsidP="00CC3D32" w:rsidR="00CC3D32" w:rsidRPr="00CC3D32">
      <w:pPr>
        <w:spacing w:after="0"/>
        <w:jc w:val="center"/>
        <w:rPr>
          <w:rFonts w:hAnsi="Times New Roman" w:ascii="Times New Roman"/>
          <w:bCs/>
          <w:sz w:val="24"/>
          <w:szCs w:val="24"/>
        </w:rPr>
      </w:pPr>
      <w:r w:rsidRPr="00CC3D32">
        <w:rPr>
          <w:rFonts w:hAnsi="Times New Roman" w:ascii="Times New Roman"/>
          <w:bCs/>
          <w:sz w:val="24"/>
          <w:szCs w:val="24"/>
        </w:rPr>
        <w:t>r i j e š i o     j e</w:t>
      </w:r>
    </w:p>
    <w:p w:rsidRDefault="00CC3D32" w:rsidP="00CC3D32" w:rsidR="00CC3D32" w:rsidRPr="00CC3D32">
      <w:pPr>
        <w:spacing w:after="0"/>
        <w:jc w:val="center"/>
        <w:rPr>
          <w:rFonts w:hAnsi="Times New Roman" w:ascii="Times New Roman"/>
          <w:bCs/>
          <w:sz w:val="24"/>
          <w:szCs w:val="24"/>
        </w:rPr>
      </w:pPr>
    </w:p>
    <w:p w:rsidRDefault="00CC3D32" w:rsidP="00CC3D32" w:rsidR="00CC3D32" w:rsidRPr="00CC3D32">
      <w:pPr>
        <w:spacing w:after="0"/>
        <w:jc w:val="center"/>
        <w:rPr>
          <w:rFonts w:hAnsi="Times New Roman" w:ascii="Times New Roman"/>
          <w:b/>
          <w:bCs/>
          <w:sz w:val="24"/>
          <w:szCs w:val="24"/>
        </w:rPr>
      </w:pPr>
    </w:p>
    <w:p w:rsidRDefault="00E26712" w:rsidP="00E26712" w:rsidR="00E26712" w:rsidRPr="00CC3D32">
      <w:pPr>
        <w:spacing w:after="0"/>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 xml:space="preserve"> </w:t>
      </w:r>
      <w:r w:rsidR="00CC3D32" w:rsidRPr="00CC3D32">
        <w:rPr>
          <w:rFonts w:hAnsi="Times New Roman" w:ascii="Times New Roman"/>
          <w:sz w:val="24"/>
          <w:szCs w:val="24"/>
        </w:rPr>
        <w:t xml:space="preserve">Određuje se nagrada stečajnom upravitelju </w:t>
      </w:r>
      <w:r w:rsidR="0028652B" w:rsidRPr="0028652B">
        <w:rPr>
          <w:rFonts w:hAnsi="Times New Roman" w:ascii="Times New Roman"/>
          <w:sz w:val="24"/>
          <w:szCs w:val="24"/>
        </w:rPr>
        <w:t>Daniel</w:t>
      </w:r>
      <w:r w:rsidR="0028652B">
        <w:rPr>
          <w:rFonts w:hAnsi="Times New Roman" w:ascii="Times New Roman"/>
          <w:sz w:val="24"/>
          <w:szCs w:val="24"/>
        </w:rPr>
        <w:t>u</w:t>
      </w:r>
      <w:r w:rsidR="0028652B" w:rsidRPr="0028652B">
        <w:rPr>
          <w:rFonts w:hAnsi="Times New Roman" w:ascii="Times New Roman"/>
          <w:sz w:val="24"/>
          <w:szCs w:val="24"/>
        </w:rPr>
        <w:t xml:space="preserve"> </w:t>
      </w:r>
      <w:proofErr w:type="spellStart"/>
      <w:r w:rsidR="0028652B" w:rsidRPr="0028652B">
        <w:rPr>
          <w:rFonts w:hAnsi="Times New Roman" w:ascii="Times New Roman"/>
          <w:sz w:val="24"/>
          <w:szCs w:val="24"/>
        </w:rPr>
        <w:t>Dekov</w:t>
      </w:r>
      <w:r w:rsidR="0028652B">
        <w:rPr>
          <w:rFonts w:hAnsi="Times New Roman" w:ascii="Times New Roman"/>
          <w:sz w:val="24"/>
          <w:szCs w:val="24"/>
        </w:rPr>
        <w:t>iću</w:t>
      </w:r>
      <w:proofErr w:type="spellEnd"/>
      <w:r w:rsidR="0028652B">
        <w:rPr>
          <w:rFonts w:hAnsi="Times New Roman" w:ascii="Times New Roman"/>
          <w:sz w:val="24"/>
          <w:szCs w:val="24"/>
        </w:rPr>
        <w:t>, iz Zagreba, Novačka br. 329</w:t>
      </w:r>
      <w:r w:rsidR="00CC3D32" w:rsidRPr="00CC3D32">
        <w:rPr>
          <w:rFonts w:hAnsi="Times New Roman" w:ascii="Times New Roman"/>
          <w:sz w:val="24"/>
          <w:szCs w:val="24"/>
        </w:rPr>
        <w:t xml:space="preserve">, u ovom stečajnom postupku u iznosu od </w:t>
      </w:r>
      <w:r w:rsidR="0000654D">
        <w:rPr>
          <w:rFonts w:hAnsi="Times New Roman" w:ascii="Times New Roman"/>
          <w:sz w:val="24"/>
          <w:szCs w:val="24"/>
        </w:rPr>
        <w:t>57.131,38</w:t>
      </w:r>
      <w:r w:rsidR="00CC3D32" w:rsidRPr="00CC3D32">
        <w:rPr>
          <w:rFonts w:hAnsi="Times New Roman" w:ascii="Times New Roman"/>
          <w:sz w:val="24"/>
          <w:szCs w:val="24"/>
        </w:rPr>
        <w:t xml:space="preserve"> ku</w:t>
      </w:r>
      <w:r w:rsidR="00505D2E">
        <w:rPr>
          <w:rFonts w:hAnsi="Times New Roman" w:ascii="Times New Roman"/>
          <w:sz w:val="24"/>
          <w:szCs w:val="24"/>
        </w:rPr>
        <w:t>na, te naknada stvarnih troškova u iznosu od 7.566,00 kuna.</w:t>
      </w:r>
    </w:p>
    <w:p w:rsidRDefault="00CC3D32" w:rsidP="00CC3D32" w:rsidR="00CC3D32" w:rsidRPr="00CC3D32">
      <w:pPr>
        <w:spacing w:after="0"/>
        <w:rPr>
          <w:rFonts w:hAnsi="Times New Roman" w:ascii="Times New Roman"/>
          <w:sz w:val="24"/>
          <w:szCs w:val="24"/>
        </w:rPr>
      </w:pPr>
    </w:p>
    <w:p w:rsidRDefault="00CC3D32" w:rsidP="00CC3D32" w:rsidR="00CC3D32" w:rsidRPr="00CC3D32">
      <w:pPr>
        <w:spacing w:after="0"/>
        <w:jc w:val="center"/>
        <w:rPr>
          <w:rFonts w:hAnsi="Times New Roman" w:ascii="Times New Roman"/>
          <w:sz w:val="24"/>
          <w:szCs w:val="24"/>
        </w:rPr>
      </w:pPr>
      <w:r w:rsidRPr="00CC3D32">
        <w:rPr>
          <w:rFonts w:hAnsi="Times New Roman" w:ascii="Times New Roman"/>
          <w:sz w:val="24"/>
          <w:szCs w:val="24"/>
        </w:rPr>
        <w:t>Obrazloženje</w:t>
      </w:r>
    </w:p>
    <w:p w:rsidRDefault="00CC3D32" w:rsidP="00CC3D32" w:rsidR="00CC3D32" w:rsidRPr="00CC3D32">
      <w:pPr>
        <w:spacing w:after="0"/>
        <w:jc w:val="center"/>
        <w:rPr>
          <w:rFonts w:hAnsi="Times New Roman" w:ascii="Times New Roman"/>
          <w:sz w:val="24"/>
          <w:szCs w:val="24"/>
        </w:rPr>
      </w:pPr>
    </w:p>
    <w:p w:rsidRDefault="00CC3D32" w:rsidP="00481B4E" w:rsidR="00CC3D32">
      <w:pPr>
        <w:spacing w:after="0"/>
        <w:jc w:val="both"/>
        <w:rPr>
          <w:rFonts w:hAnsi="Times New Roman" w:ascii="Times New Roman"/>
          <w:sz w:val="24"/>
          <w:szCs w:val="24"/>
        </w:rPr>
      </w:pPr>
    </w:p>
    <w:p w:rsidRDefault="009A67E8" w:rsidP="00481B4E" w:rsidR="00EA4799">
      <w:pPr>
        <w:spacing w:after="0"/>
        <w:jc w:val="both"/>
        <w:rPr>
          <w:rFonts w:hAnsi="Times New Roman" w:ascii="Times New Roman"/>
          <w:sz w:val="24"/>
          <w:szCs w:val="24"/>
        </w:rPr>
      </w:pPr>
      <w:r>
        <w:rPr>
          <w:rFonts w:hAnsi="Times New Roman" w:ascii="Times New Roman"/>
          <w:sz w:val="24"/>
          <w:szCs w:val="24"/>
        </w:rPr>
        <w:tab/>
        <w:t xml:space="preserve">Stečajni </w:t>
      </w:r>
      <w:r w:rsidR="00481B4E">
        <w:rPr>
          <w:rFonts w:hAnsi="Times New Roman" w:ascii="Times New Roman"/>
          <w:sz w:val="24"/>
          <w:szCs w:val="24"/>
        </w:rPr>
        <w:t>je upravitelj 17. listopada 2017. dostavio u spis podnesak kojim je zatražio da mu se odredi nagrada u bruto iznosu od 57.131,38 kuna, kao i naknada troškova u iznosu od 7.566,00 kuna</w:t>
      </w:r>
      <w:r>
        <w:rPr>
          <w:rFonts w:hAnsi="Times New Roman" w:ascii="Times New Roman"/>
          <w:sz w:val="24"/>
          <w:szCs w:val="24"/>
        </w:rPr>
        <w:t>, pridodao je da je navedenu</w:t>
      </w:r>
      <w:r w:rsidR="005C21F0">
        <w:rPr>
          <w:rFonts w:hAnsi="Times New Roman" w:ascii="Times New Roman"/>
          <w:sz w:val="24"/>
          <w:szCs w:val="24"/>
        </w:rPr>
        <w:t xml:space="preserve"> nagradu </w:t>
      </w:r>
      <w:r>
        <w:rPr>
          <w:rFonts w:hAnsi="Times New Roman" w:ascii="Times New Roman"/>
          <w:sz w:val="24"/>
          <w:szCs w:val="24"/>
        </w:rPr>
        <w:t xml:space="preserve">zatražio sukladno Uredbi o kriterijima i načinu obračuna i plaćanja nagrada stečajnim upraviteljima (Narodne novine br. 105/15.), da se sukladno odredbi čl. 441. Stečajnog zakona na stečajne postupka koji su u tijeku primjenjuju odredbe Stečajnog zakona </w:t>
      </w:r>
      <w:r w:rsidRPr="00CC3D32">
        <w:rPr>
          <w:rFonts w:hAnsi="Times New Roman" w:ascii="Times New Roman"/>
          <w:sz w:val="24"/>
          <w:szCs w:val="24"/>
        </w:rPr>
        <w:t>(Narodne novine br. 44/96, 29/99, 129/00, 123/03, 82/06, 116/10, 125/12 i 133/12, dalje : SZ-a)</w:t>
      </w:r>
      <w:r w:rsidR="00C7634A">
        <w:rPr>
          <w:rFonts w:hAnsi="Times New Roman" w:ascii="Times New Roman"/>
          <w:sz w:val="24"/>
          <w:szCs w:val="24"/>
        </w:rPr>
        <w:t xml:space="preserve"> ako su radnje započete po tom zakonu, istaknuo je da mu nije određena konačna nagrada niti su radnje radi određivanja konačne nagrade započete po starom Stečajnom zakonu, pa da je stoga potrebno primijeniti odredbe novog Stečajnog zakona i odgovarajuće Uredbe</w:t>
      </w:r>
      <w:bookmarkStart w:name="_GoBack" w:id="0"/>
      <w:bookmarkEnd w:id="0"/>
      <w:r w:rsidR="00C7634A">
        <w:rPr>
          <w:rFonts w:hAnsi="Times New Roman" w:ascii="Times New Roman"/>
          <w:sz w:val="24"/>
          <w:szCs w:val="24"/>
        </w:rPr>
        <w:t>. Stečajni je upravitelj naveo</w:t>
      </w:r>
      <w:r w:rsidR="0047200A">
        <w:rPr>
          <w:rFonts w:hAnsi="Times New Roman" w:ascii="Times New Roman"/>
          <w:sz w:val="24"/>
          <w:szCs w:val="24"/>
        </w:rPr>
        <w:t xml:space="preserve"> da sukladno čl. 16. Uredbe do dana stupanja na snagu te Uredbe primjenjuju se odredbe Uredbe o kriterijima i načinu obračuna i plaćanja nagrada stečajnim upraviteljima (Narodne novine 189/03.), a da je </w:t>
      </w:r>
      <w:r w:rsidR="0047200A">
        <w:rPr>
          <w:rFonts w:hAnsi="Times New Roman" w:ascii="Times New Roman"/>
          <w:sz w:val="24"/>
          <w:szCs w:val="24"/>
        </w:rPr>
        <w:lastRenderedPageBreak/>
        <w:t>do dana stupanja na snagu nove Uredbe on naplatio tražbinu od dužnikova dužnika u visini od 54.144,28 kuna, pa da mu sukladno čl. 4. Uredbe pripada pravo na neto nagradu u iznosu od 8.624,64 kuna, da je na taj iznos potrebno obračunati pripadajuće doprinose, te da ukupna nagrada izračunata prema staroj Uredbi iznosi 13.364,40 kuna.</w:t>
      </w:r>
      <w:r w:rsidR="00EA4799">
        <w:rPr>
          <w:rFonts w:hAnsi="Times New Roman" w:ascii="Times New Roman"/>
          <w:sz w:val="24"/>
          <w:szCs w:val="24"/>
        </w:rPr>
        <w:t xml:space="preserve"> </w:t>
      </w:r>
    </w:p>
    <w:p w:rsidRDefault="00EA4799" w:rsidP="00481B4E" w:rsidR="00481B4E">
      <w:pPr>
        <w:spacing w:after="0"/>
        <w:jc w:val="both"/>
        <w:rPr>
          <w:rFonts w:hAnsi="Times New Roman" w:ascii="Times New Roman"/>
          <w:sz w:val="24"/>
          <w:szCs w:val="24"/>
        </w:rPr>
      </w:pPr>
      <w:r>
        <w:rPr>
          <w:rFonts w:hAnsi="Times New Roman" w:ascii="Times New Roman"/>
          <w:sz w:val="24"/>
          <w:szCs w:val="24"/>
        </w:rPr>
        <w:t>Nadalje je stečajni upravitelj naveo da osnovica za obračun nagrade stečajnom upravitelju prema novoj Uredbi iznosi 379.180,75 kuna, te da se sukladno čl. 7. Uredbe nagrada obračunava u bruto iznosu prema vrijednosti unovčene stečajne mase i utvrđene nagrade u postocima. Stečajni je upravitelj naveo da ukupni iznos nagrade koji tereti stečajnu masu iznosi 62.866,09 kuna bruto.</w:t>
      </w:r>
      <w:r w:rsidR="00301CB6">
        <w:rPr>
          <w:rFonts w:hAnsi="Times New Roman" w:ascii="Times New Roman"/>
          <w:sz w:val="24"/>
          <w:szCs w:val="24"/>
        </w:rPr>
        <w:t xml:space="preserve"> Isto tako stečajni je upravitelj naveo da mu je tijekom ovoga stečajnog postupka isplaćen predujam nagrade u iznosu od 5.734,71 kuna, pa da predlaže da se ukupan iznos nagrade umanji za navedeni isplaćeni iznos predujma i odredi u iznosu od 57.131,38 kuna.</w:t>
      </w:r>
    </w:p>
    <w:p w:rsidRDefault="00530DE8" w:rsidP="00481B4E" w:rsidR="00530DE8">
      <w:pPr>
        <w:spacing w:after="0"/>
        <w:jc w:val="both"/>
        <w:rPr>
          <w:rFonts w:hAnsi="Times New Roman" w:ascii="Times New Roman"/>
          <w:sz w:val="24"/>
          <w:szCs w:val="24"/>
        </w:rPr>
      </w:pPr>
      <w:r>
        <w:rPr>
          <w:rFonts w:hAnsi="Times New Roman" w:ascii="Times New Roman"/>
          <w:sz w:val="24"/>
          <w:szCs w:val="24"/>
        </w:rPr>
        <w:t>Na kraju je stečajni upravitelj naveo da su tijekom ovoga postupka njemu nastali i stvarni troškovi putovanja sukladno obračunima putnih naloga u ukupnom iznosu od 16.010,00 kuna od čega je podmiren iznos od 8.444,00 kuna, s time da je preostao nepodmireni iznos u visini od 7.566,00 kuna koji je predložio da mu se dosudi na ime stvarno nastalih troškova.</w:t>
      </w:r>
    </w:p>
    <w:p w:rsidRDefault="00530DE8" w:rsidP="00481B4E" w:rsidR="00530DE8">
      <w:pPr>
        <w:spacing w:after="0"/>
        <w:jc w:val="both"/>
        <w:rPr>
          <w:rFonts w:hAnsi="Times New Roman" w:ascii="Times New Roman"/>
          <w:sz w:val="24"/>
          <w:szCs w:val="24"/>
        </w:rPr>
      </w:pPr>
      <w:r>
        <w:rPr>
          <w:rFonts w:hAnsi="Times New Roman" w:ascii="Times New Roman"/>
          <w:sz w:val="24"/>
          <w:szCs w:val="24"/>
        </w:rPr>
        <w:tab/>
      </w:r>
      <w:r w:rsidR="00D63E00">
        <w:rPr>
          <w:rFonts w:hAnsi="Times New Roman" w:ascii="Times New Roman"/>
          <w:sz w:val="24"/>
          <w:szCs w:val="24"/>
        </w:rPr>
        <w:t xml:space="preserve">Stečajni je upravitelj, također, u spis </w:t>
      </w:r>
      <w:r w:rsidR="00E17DF7">
        <w:rPr>
          <w:rFonts w:hAnsi="Times New Roman" w:ascii="Times New Roman"/>
          <w:sz w:val="24"/>
          <w:szCs w:val="24"/>
        </w:rPr>
        <w:t>dostavio 5. siječnja 2018. završni račun uvidom u koji je sud utvrdio da je tijekom ovog postupka ostvaren ukupni prihod unovčenjem imovine steč</w:t>
      </w:r>
      <w:r w:rsidR="00B70BF2">
        <w:rPr>
          <w:rFonts w:hAnsi="Times New Roman" w:ascii="Times New Roman"/>
          <w:sz w:val="24"/>
          <w:szCs w:val="24"/>
        </w:rPr>
        <w:t>ajnog dužnika u iznosu od 433.401</w:t>
      </w:r>
      <w:r w:rsidR="00E17DF7">
        <w:rPr>
          <w:rFonts w:hAnsi="Times New Roman" w:ascii="Times New Roman"/>
          <w:sz w:val="24"/>
          <w:szCs w:val="24"/>
        </w:rPr>
        <w:t>,50 kuna</w:t>
      </w:r>
      <w:r w:rsidR="008D6621">
        <w:rPr>
          <w:rFonts w:hAnsi="Times New Roman" w:ascii="Times New Roman"/>
          <w:sz w:val="24"/>
          <w:szCs w:val="24"/>
        </w:rPr>
        <w:t>.</w:t>
      </w:r>
    </w:p>
    <w:p w:rsidRDefault="008D6621" w:rsidP="00481B4E" w:rsidR="00481B4E">
      <w:pPr>
        <w:spacing w:after="0"/>
        <w:jc w:val="both"/>
        <w:rPr>
          <w:rFonts w:hAnsi="Times New Roman" w:ascii="Times New Roman"/>
          <w:sz w:val="24"/>
          <w:szCs w:val="24"/>
        </w:rPr>
      </w:pPr>
      <w:r>
        <w:rPr>
          <w:rFonts w:hAnsi="Times New Roman" w:ascii="Times New Roman"/>
          <w:sz w:val="24"/>
          <w:szCs w:val="24"/>
        </w:rPr>
        <w:tab/>
      </w:r>
      <w:r w:rsidR="0086130C">
        <w:rPr>
          <w:rFonts w:hAnsi="Times New Roman" w:ascii="Times New Roman"/>
          <w:sz w:val="24"/>
          <w:szCs w:val="24"/>
        </w:rPr>
        <w:t>Odredbom čl. 16. st. 1., st. 2. i st. 3. Uredbe o kriterijima i načinu obračuna i plaćanja nagrade stečajnim upraviteljima (Narodne novine br. 105/15., dalje : Uredba) propisano je da danom stupanja na snagu ove Uredbe prestaje važiti Uredba o kriterijima i načinu obračuna i plaćanja nagrada stečajnim upraviteljima (Narodne novine br. 189/03.)</w:t>
      </w:r>
      <w:r w:rsidR="0082779C">
        <w:rPr>
          <w:rFonts w:hAnsi="Times New Roman" w:ascii="Times New Roman"/>
          <w:sz w:val="24"/>
          <w:szCs w:val="24"/>
        </w:rPr>
        <w:t>.</w:t>
      </w:r>
    </w:p>
    <w:p w:rsidRDefault="0082779C" w:rsidP="00481B4E" w:rsidR="0082779C">
      <w:pPr>
        <w:spacing w:after="0"/>
        <w:jc w:val="both"/>
        <w:rPr>
          <w:rFonts w:hAnsi="Times New Roman" w:ascii="Times New Roman"/>
          <w:sz w:val="24"/>
          <w:szCs w:val="24"/>
        </w:rPr>
      </w:pPr>
      <w:r>
        <w:rPr>
          <w:rFonts w:hAnsi="Times New Roman" w:ascii="Times New Roman"/>
          <w:sz w:val="24"/>
          <w:szCs w:val="24"/>
        </w:rPr>
        <w:tab/>
        <w:t>Za rad stečajnom upravitelju koji je obavljen do stupanja na snagu ove Uredbe obračunat će se nagrada po pravilima Uredbe o kriterijima i načinu obračuna i plaćanja nagrada stečajnim upraviteljima (Narodne novine br. 189/03.) pri čemu je sud dužan utvrditi postotak nagrade koja stečajnom upravitelju pripada prema pravilima te Uredbe.</w:t>
      </w:r>
    </w:p>
    <w:p w:rsidRDefault="0082779C" w:rsidP="00481B4E" w:rsidR="0086130C">
      <w:pPr>
        <w:spacing w:after="0"/>
        <w:jc w:val="both"/>
        <w:rPr>
          <w:rFonts w:hAnsi="Times New Roman" w:ascii="Times New Roman"/>
          <w:sz w:val="24"/>
          <w:szCs w:val="24"/>
        </w:rPr>
      </w:pPr>
      <w:r>
        <w:rPr>
          <w:rFonts w:hAnsi="Times New Roman" w:ascii="Times New Roman"/>
          <w:sz w:val="24"/>
          <w:szCs w:val="24"/>
        </w:rPr>
        <w:tab/>
        <w:t>Za poslove obavljene nakon stupanja na snagu ove Uredbe, nagrada će se odrediti po njenim pravilima, vodeći računa o postotku namirenja iz st. 2. ovoga članka.</w:t>
      </w:r>
    </w:p>
    <w:p w:rsidRDefault="001E4714" w:rsidP="00CC3D32" w:rsidR="008F04E1">
      <w:pPr>
        <w:spacing w:after="0"/>
        <w:jc w:val="both"/>
        <w:rPr>
          <w:rFonts w:hAnsi="Times New Roman" w:ascii="Times New Roman"/>
          <w:sz w:val="24"/>
          <w:szCs w:val="24"/>
        </w:rPr>
      </w:pPr>
      <w:r>
        <w:rPr>
          <w:rFonts w:hAnsi="Times New Roman" w:ascii="Times New Roman"/>
          <w:sz w:val="24"/>
          <w:szCs w:val="24"/>
        </w:rPr>
        <w:tab/>
        <w:t>Budući da je stečajni upravitelj do stupanja na snagu Uredbe (Narodne novine br. 105/15.) naplatio od dužnikovog dužnika Tehnika d.d. tražbinu u visini od 54.144,28 kuna, to se za navedeni iznos, a u svezi određivanja nagrade stečajnom upravitelju treba primijeniti čl. 4. Uredbe (N</w:t>
      </w:r>
      <w:r w:rsidR="009A50BE">
        <w:rPr>
          <w:rFonts w:hAnsi="Times New Roman" w:ascii="Times New Roman"/>
          <w:sz w:val="24"/>
          <w:szCs w:val="24"/>
        </w:rPr>
        <w:t>arodne novine br. 189/03.) gdje se</w:t>
      </w:r>
      <w:r>
        <w:rPr>
          <w:rFonts w:hAnsi="Times New Roman" w:ascii="Times New Roman"/>
          <w:sz w:val="24"/>
          <w:szCs w:val="24"/>
        </w:rPr>
        <w:t xml:space="preserve"> </w:t>
      </w:r>
      <w:r w:rsidR="008F04E1">
        <w:rPr>
          <w:rFonts w:hAnsi="Times New Roman" w:ascii="Times New Roman"/>
          <w:sz w:val="24"/>
          <w:szCs w:val="24"/>
        </w:rPr>
        <w:t xml:space="preserve">za vrijednost unovčene stečajne mase </w:t>
      </w:r>
      <w:r w:rsidR="00890484">
        <w:rPr>
          <w:rFonts w:hAnsi="Times New Roman" w:ascii="Times New Roman"/>
          <w:sz w:val="24"/>
          <w:szCs w:val="24"/>
        </w:rPr>
        <w:t>od 1.000,00 do 10.000,00 kuna</w:t>
      </w:r>
      <w:r w:rsidR="008F04E1">
        <w:rPr>
          <w:rFonts w:hAnsi="Times New Roman" w:ascii="Times New Roman"/>
          <w:sz w:val="24"/>
          <w:szCs w:val="24"/>
        </w:rPr>
        <w:t xml:space="preserve"> određuje</w:t>
      </w:r>
      <w:r w:rsidR="00CC3D32" w:rsidRPr="00CC3D32">
        <w:rPr>
          <w:rFonts w:hAnsi="Times New Roman" w:ascii="Times New Roman"/>
          <w:sz w:val="24"/>
          <w:szCs w:val="24"/>
        </w:rPr>
        <w:t xml:space="preserve"> nagrada u postotku od 15% do 20%, </w:t>
      </w:r>
      <w:r w:rsidR="008F04E1">
        <w:rPr>
          <w:rFonts w:hAnsi="Times New Roman" w:ascii="Times New Roman"/>
          <w:sz w:val="24"/>
          <w:szCs w:val="24"/>
        </w:rPr>
        <w:t xml:space="preserve">a </w:t>
      </w:r>
      <w:r w:rsidR="00CC3D32" w:rsidRPr="00CC3D32">
        <w:rPr>
          <w:rFonts w:hAnsi="Times New Roman" w:ascii="Times New Roman"/>
          <w:sz w:val="24"/>
          <w:szCs w:val="24"/>
        </w:rPr>
        <w:t>za vrijednost unovčene mase od 10.000,00 kuna do 100.000,0</w:t>
      </w:r>
      <w:r w:rsidR="008F04E1">
        <w:rPr>
          <w:rFonts w:hAnsi="Times New Roman" w:ascii="Times New Roman"/>
          <w:sz w:val="24"/>
          <w:szCs w:val="24"/>
        </w:rPr>
        <w:t>0 kuna u postotku od 10% do 15%</w:t>
      </w:r>
      <w:r w:rsidR="009A50BE">
        <w:rPr>
          <w:rFonts w:hAnsi="Times New Roman" w:ascii="Times New Roman"/>
          <w:sz w:val="24"/>
          <w:szCs w:val="24"/>
        </w:rPr>
        <w:t>, pa stoga ukupna neto nagrada prema toj Uredbi za navedenu vrijednost unovčene stečajne mase iznosi 8.621,64 kuna, a kad se na tu neto nagradu obračunaju i pripadajući doprinosi ukupna nagrada tada iznosi 13.364,40 kuna, a kako je to dokazao stečajni upravitelj dostavivši u spis obračun drugog dohotka</w:t>
      </w:r>
      <w:r w:rsidR="00284239">
        <w:rPr>
          <w:rFonts w:hAnsi="Times New Roman" w:ascii="Times New Roman"/>
          <w:sz w:val="24"/>
          <w:szCs w:val="24"/>
        </w:rPr>
        <w:t>.</w:t>
      </w:r>
    </w:p>
    <w:p w:rsidRDefault="00284239" w:rsidP="00CC3D32" w:rsidR="00284239">
      <w:pPr>
        <w:spacing w:after="0"/>
        <w:jc w:val="both"/>
        <w:rPr>
          <w:rFonts w:hAnsi="Times New Roman" w:ascii="Times New Roman"/>
          <w:sz w:val="24"/>
          <w:szCs w:val="24"/>
        </w:rPr>
      </w:pPr>
      <w:r>
        <w:rPr>
          <w:rFonts w:hAnsi="Times New Roman" w:ascii="Times New Roman"/>
          <w:sz w:val="24"/>
          <w:szCs w:val="24"/>
        </w:rPr>
        <w:tab/>
      </w:r>
      <w:r w:rsidR="009C0F92">
        <w:rPr>
          <w:rFonts w:hAnsi="Times New Roman" w:ascii="Times New Roman"/>
          <w:sz w:val="24"/>
          <w:szCs w:val="24"/>
        </w:rPr>
        <w:t xml:space="preserve">Za ostali rad koji je stečajni upravitelj obavio nakon stupanja na snagu Uredbe (Narodne novine br. 105/15.) </w:t>
      </w:r>
      <w:r w:rsidR="00C976F1">
        <w:rPr>
          <w:rFonts w:hAnsi="Times New Roman" w:ascii="Times New Roman"/>
          <w:sz w:val="24"/>
          <w:szCs w:val="24"/>
        </w:rPr>
        <w:t xml:space="preserve">primjenjivati će se odredbe navedene Uredbe gdje osnovica za </w:t>
      </w:r>
      <w:r w:rsidR="00C976F1">
        <w:rPr>
          <w:rFonts w:hAnsi="Times New Roman" w:ascii="Times New Roman"/>
          <w:sz w:val="24"/>
          <w:szCs w:val="24"/>
        </w:rPr>
        <w:lastRenderedPageBreak/>
        <w:t xml:space="preserve">obračun nagrade stečajnom upravitelju iznosi 379.180,75 kuna. Sukladno odredbi čl. 7. Uredbe (Narodne novine 105/15.) nagrada stečajnom upravitelju s osnove vrijednosti unovčene stečajne mase obračunava se primjenom tablice vrijednosti unovčene stečajne mase i nagrade u postocima gdje </w:t>
      </w:r>
      <w:r w:rsidR="00CC1667">
        <w:rPr>
          <w:rFonts w:hAnsi="Times New Roman" w:ascii="Times New Roman"/>
          <w:sz w:val="24"/>
          <w:szCs w:val="24"/>
        </w:rPr>
        <w:t xml:space="preserve">se </w:t>
      </w:r>
      <w:r w:rsidR="00C976F1">
        <w:rPr>
          <w:rFonts w:hAnsi="Times New Roman" w:ascii="Times New Roman"/>
          <w:sz w:val="24"/>
          <w:szCs w:val="24"/>
        </w:rPr>
        <w:t>do 100.000,00 kuna vrij</w:t>
      </w:r>
      <w:r w:rsidR="000C53CF">
        <w:rPr>
          <w:rFonts w:hAnsi="Times New Roman" w:ascii="Times New Roman"/>
          <w:sz w:val="24"/>
          <w:szCs w:val="24"/>
        </w:rPr>
        <w:t>ednosti unovčene stečajne mase</w:t>
      </w:r>
      <w:r w:rsidR="00C976F1">
        <w:rPr>
          <w:rFonts w:hAnsi="Times New Roman" w:ascii="Times New Roman"/>
          <w:sz w:val="24"/>
          <w:szCs w:val="24"/>
        </w:rPr>
        <w:t xml:space="preserve"> nagrada obračunava u visini od 16%</w:t>
      </w:r>
      <w:r w:rsidR="000C53CF">
        <w:rPr>
          <w:rFonts w:hAnsi="Times New Roman" w:ascii="Times New Roman"/>
          <w:sz w:val="24"/>
          <w:szCs w:val="24"/>
        </w:rPr>
        <w:t>, te se na razliku od 100.001,00 kuna do 300.000,00 kuna nag</w:t>
      </w:r>
      <w:r w:rsidR="00B225F5">
        <w:rPr>
          <w:rFonts w:hAnsi="Times New Roman" w:ascii="Times New Roman"/>
          <w:sz w:val="24"/>
          <w:szCs w:val="24"/>
        </w:rPr>
        <w:t xml:space="preserve">rada obračunava u visini od 12%. Navedenim obračunom dobije se ukupni iznos nagrade stečajnom upravitelju u visini od 62.866,09 kuna, a iz razloga što je tijekom ovog postupka stečajnom upravitelju isplaćen predujam nagrade u iznosu od 5.734,71 kuna, </w:t>
      </w:r>
      <w:r w:rsidR="00752296">
        <w:rPr>
          <w:rFonts w:hAnsi="Times New Roman" w:ascii="Times New Roman"/>
          <w:sz w:val="24"/>
          <w:szCs w:val="24"/>
        </w:rPr>
        <w:t>i to rješe</w:t>
      </w:r>
      <w:r w:rsidR="000A56C1">
        <w:rPr>
          <w:rFonts w:hAnsi="Times New Roman" w:ascii="Times New Roman"/>
          <w:sz w:val="24"/>
          <w:szCs w:val="24"/>
        </w:rPr>
        <w:t>njem ovoga suda poslovni broj 7</w:t>
      </w:r>
      <w:r w:rsidR="00752296">
        <w:rPr>
          <w:rFonts w:hAnsi="Times New Roman" w:ascii="Times New Roman"/>
          <w:sz w:val="24"/>
          <w:szCs w:val="24"/>
        </w:rPr>
        <w:t xml:space="preserve"> St-152/14-52 od 15. srpnja 2016., </w:t>
      </w:r>
      <w:r w:rsidR="00B225F5">
        <w:rPr>
          <w:rFonts w:hAnsi="Times New Roman" w:ascii="Times New Roman"/>
          <w:sz w:val="24"/>
          <w:szCs w:val="24"/>
        </w:rPr>
        <w:t xml:space="preserve">to stečajni upravitelj ima pravo na razliku </w:t>
      </w:r>
      <w:r w:rsidR="00C73A89">
        <w:rPr>
          <w:rFonts w:hAnsi="Times New Roman" w:ascii="Times New Roman"/>
          <w:sz w:val="24"/>
          <w:szCs w:val="24"/>
        </w:rPr>
        <w:t xml:space="preserve">na ime nagrade </w:t>
      </w:r>
      <w:r w:rsidR="00B225F5">
        <w:rPr>
          <w:rFonts w:hAnsi="Times New Roman" w:ascii="Times New Roman"/>
          <w:sz w:val="24"/>
          <w:szCs w:val="24"/>
        </w:rPr>
        <w:t>koja iznosi 57.131,38 kuna.</w:t>
      </w:r>
    </w:p>
    <w:p w:rsidRDefault="003E139D" w:rsidP="00CC3D32" w:rsidR="00C20B23">
      <w:pPr>
        <w:spacing w:after="0"/>
        <w:jc w:val="both"/>
        <w:rPr>
          <w:rFonts w:hAnsi="Times New Roman" w:ascii="Times New Roman"/>
          <w:sz w:val="24"/>
          <w:szCs w:val="24"/>
        </w:rPr>
      </w:pPr>
      <w:r>
        <w:rPr>
          <w:rFonts w:hAnsi="Times New Roman" w:ascii="Times New Roman"/>
          <w:sz w:val="24"/>
          <w:szCs w:val="24"/>
        </w:rPr>
        <w:tab/>
        <w:t>S obzirom na vrijednost unovčene stečajne mase u ovom stečajnom postupku, u visini, kako je navedeno 433.401,50 kuna, sud je utvrdio da je stečajni upravitelj izvršio obračun svoje nagrade sukladno odredbama navedenih Uredbi (Narodne novine br. 189/03. i 105/15.).</w:t>
      </w:r>
    </w:p>
    <w:p w:rsidRDefault="00571E53" w:rsidP="00CC3D32" w:rsidR="00571E53">
      <w:pPr>
        <w:spacing w:after="0"/>
        <w:jc w:val="both"/>
        <w:rPr>
          <w:rFonts w:hAnsi="Times New Roman" w:ascii="Times New Roman"/>
          <w:sz w:val="24"/>
          <w:szCs w:val="24"/>
        </w:rPr>
      </w:pPr>
      <w:r>
        <w:rPr>
          <w:rFonts w:hAnsi="Times New Roman" w:ascii="Times New Roman"/>
          <w:sz w:val="24"/>
          <w:szCs w:val="24"/>
        </w:rPr>
        <w:tab/>
        <w:t>Nadalje odredbom čl. 94. st. 1., st. 2. i st. 3.  Stečajnog zakona (Narodne novine br. 71/15. i 104/17., dalje : SZ-a</w:t>
      </w:r>
      <w:r w:rsidR="00EE2FB4">
        <w:rPr>
          <w:rFonts w:hAnsi="Times New Roman" w:ascii="Times New Roman"/>
          <w:sz w:val="24"/>
          <w:szCs w:val="24"/>
        </w:rPr>
        <w:t>)</w:t>
      </w:r>
      <w:r>
        <w:rPr>
          <w:rFonts w:hAnsi="Times New Roman" w:ascii="Times New Roman"/>
          <w:sz w:val="24"/>
          <w:szCs w:val="24"/>
        </w:rPr>
        <w:t xml:space="preserve"> propisano je da stečajni upravitelj ima pravo na nagradu za svoj rad i naknadu stvarnih troškova, da nagradu stečajnom upravitelju rješenjem određuje sud prema uredbi kojom Vlada Republike Hrvatske utvrđuje kriterije i način obračuna i plaćanja nagrade stečajnim upraviteljima, a naknadu troškova rješenjem određuje sud na temelju pisanoga, obrazloženoga i dokumentiranoga izvješća stečajnoga upravitelja.</w:t>
      </w:r>
    </w:p>
    <w:p w:rsidRDefault="00571E53" w:rsidP="00CC3D32" w:rsidR="00571E53">
      <w:pPr>
        <w:spacing w:after="0"/>
        <w:jc w:val="both"/>
        <w:rPr>
          <w:rFonts w:hAnsi="Times New Roman" w:ascii="Times New Roman"/>
          <w:sz w:val="24"/>
          <w:szCs w:val="24"/>
        </w:rPr>
      </w:pPr>
      <w:r>
        <w:rPr>
          <w:rFonts w:hAnsi="Times New Roman" w:ascii="Times New Roman"/>
          <w:sz w:val="24"/>
          <w:szCs w:val="24"/>
        </w:rPr>
        <w:tab/>
        <w:t>Stečajni je upravitelj zatražio i naknadu stvarnih troškova koji se odnose na troškove putovanja u iznosu od 7.566,00 kuna, a nastanak kojih je troškova isti dokumentirao putnim nalozima i dostavljenim računima za plaćene cestarine.</w:t>
      </w:r>
    </w:p>
    <w:p w:rsidRDefault="00571E53" w:rsidP="00CC3D32" w:rsidR="00571E53">
      <w:pPr>
        <w:spacing w:after="0"/>
        <w:jc w:val="both"/>
        <w:rPr>
          <w:rFonts w:hAnsi="Times New Roman" w:ascii="Times New Roman"/>
          <w:sz w:val="24"/>
          <w:szCs w:val="24"/>
        </w:rPr>
      </w:pPr>
      <w:r>
        <w:rPr>
          <w:rFonts w:hAnsi="Times New Roman" w:ascii="Times New Roman"/>
          <w:sz w:val="24"/>
          <w:szCs w:val="24"/>
        </w:rPr>
        <w:tab/>
        <w:t>Radi svega iznijetog, a budući da je navedeni izračun nagrade utemeljen na čl. 4. Uredbe (Narodne novine br. 189/03.) i čl. 7. Uredbe (Narodne novine br. 105/15.), te kako navedeni izračun nagrade ne premašuje</w:t>
      </w:r>
      <w:r w:rsidR="00E91D38">
        <w:rPr>
          <w:rFonts w:hAnsi="Times New Roman" w:ascii="Times New Roman"/>
          <w:sz w:val="24"/>
          <w:szCs w:val="24"/>
        </w:rPr>
        <w:t xml:space="preserve"> najviši </w:t>
      </w:r>
      <w:r>
        <w:rPr>
          <w:rFonts w:hAnsi="Times New Roman" w:ascii="Times New Roman"/>
          <w:sz w:val="24"/>
          <w:szCs w:val="24"/>
        </w:rPr>
        <w:t>iznos nagrade</w:t>
      </w:r>
      <w:r w:rsidR="00891980">
        <w:rPr>
          <w:rFonts w:hAnsi="Times New Roman" w:ascii="Times New Roman"/>
          <w:sz w:val="24"/>
          <w:szCs w:val="24"/>
        </w:rPr>
        <w:t>,</w:t>
      </w:r>
      <w:r w:rsidR="00E91D38">
        <w:rPr>
          <w:rFonts w:hAnsi="Times New Roman" w:ascii="Times New Roman"/>
          <w:sz w:val="24"/>
          <w:szCs w:val="24"/>
        </w:rPr>
        <w:t xml:space="preserve"> valjalo je temeljem odredbe čl. 4. Uredbe (Narodne novine br. 189/03.) i čl. 7. i čl. 16. Uredbe (Narodne novine br. 105/15.), te temeljem odredbe čl. 94. st. 1., st. 2. i st. 3. SZ-a, odlučiti kao</w:t>
      </w:r>
      <w:r w:rsidR="00A97125">
        <w:rPr>
          <w:rFonts w:hAnsi="Times New Roman" w:ascii="Times New Roman"/>
          <w:sz w:val="24"/>
          <w:szCs w:val="24"/>
        </w:rPr>
        <w:t xml:space="preserve"> u izreci</w:t>
      </w:r>
      <w:r w:rsidR="00E91D38">
        <w:rPr>
          <w:rFonts w:hAnsi="Times New Roman" w:ascii="Times New Roman"/>
          <w:sz w:val="24"/>
          <w:szCs w:val="24"/>
        </w:rPr>
        <w:t xml:space="preserve"> ovog rješenja.</w:t>
      </w:r>
    </w:p>
    <w:p w:rsidRDefault="00E91D38" w:rsidP="00A97125" w:rsidR="00CC3D32" w:rsidRPr="00CC3D32">
      <w:pPr>
        <w:spacing w:after="0"/>
        <w:jc w:val="both"/>
        <w:rPr>
          <w:rFonts w:hAnsi="Times New Roman" w:ascii="Times New Roman"/>
          <w:sz w:val="24"/>
          <w:szCs w:val="24"/>
        </w:rPr>
      </w:pPr>
      <w:r>
        <w:rPr>
          <w:rFonts w:hAnsi="Times New Roman" w:ascii="Times New Roman"/>
          <w:sz w:val="24"/>
          <w:szCs w:val="24"/>
        </w:rPr>
        <w:tab/>
      </w:r>
    </w:p>
    <w:p w:rsidRDefault="0028652B" w:rsidP="00CC3D32" w:rsidR="00CC3D32" w:rsidRPr="00CC3D32">
      <w:pPr>
        <w:spacing w:after="0"/>
        <w:jc w:val="center"/>
        <w:rPr>
          <w:rFonts w:hAnsi="Times New Roman" w:ascii="Times New Roman"/>
          <w:sz w:val="24"/>
          <w:szCs w:val="24"/>
        </w:rPr>
      </w:pPr>
      <w:r>
        <w:rPr>
          <w:rFonts w:hAnsi="Times New Roman" w:ascii="Times New Roman"/>
          <w:sz w:val="24"/>
          <w:szCs w:val="24"/>
        </w:rPr>
        <w:t>U Varaždinu 23. ožujka</w:t>
      </w:r>
      <w:r w:rsidR="00CC3D32" w:rsidRPr="00CC3D32">
        <w:rPr>
          <w:rFonts w:hAnsi="Times New Roman" w:ascii="Times New Roman"/>
          <w:sz w:val="24"/>
          <w:szCs w:val="24"/>
        </w:rPr>
        <w:t xml:space="preserve"> 201</w:t>
      </w:r>
      <w:r>
        <w:rPr>
          <w:rFonts w:hAnsi="Times New Roman" w:ascii="Times New Roman"/>
          <w:sz w:val="24"/>
          <w:szCs w:val="24"/>
        </w:rPr>
        <w:t>8</w:t>
      </w:r>
      <w:r w:rsidR="00CC3D32" w:rsidRPr="00CC3D32">
        <w:rPr>
          <w:rFonts w:hAnsi="Times New Roman" w:ascii="Times New Roman"/>
          <w:sz w:val="24"/>
          <w:szCs w:val="24"/>
        </w:rPr>
        <w:t>.</w:t>
      </w:r>
    </w:p>
    <w:p w:rsidRDefault="00CC3D32" w:rsidP="00CC3D32" w:rsidR="00CC3D32" w:rsidRPr="00CC3D32">
      <w:pPr>
        <w:spacing w:after="0"/>
        <w:rPr>
          <w:rFonts w:hAnsi="Times New Roman" w:ascii="Times New Roman"/>
          <w:sz w:val="24"/>
          <w:szCs w:val="24"/>
        </w:rPr>
      </w:pPr>
    </w:p>
    <w:p w:rsidRDefault="00CC3D32" w:rsidP="00CC3D32" w:rsidR="00CC3D32">
      <w:pPr>
        <w:spacing w:after="0"/>
        <w:rPr>
          <w:rFonts w:hAnsi="Times New Roman" w:ascii="Times New Roman"/>
          <w:sz w:val="24"/>
          <w:szCs w:val="24"/>
        </w:rPr>
      </w:pPr>
      <w:r w:rsidRPr="00CC3D32">
        <w:rPr>
          <w:rFonts w:hAnsi="Times New Roman" w:ascii="Times New Roman"/>
          <w:sz w:val="24"/>
          <w:szCs w:val="24"/>
        </w:rPr>
        <w:t xml:space="preserve"> </w:t>
      </w:r>
      <w:r w:rsidRPr="00CC3D32">
        <w:rPr>
          <w:rFonts w:hAnsi="Times New Roman" w:ascii="Times New Roman"/>
          <w:sz w:val="24"/>
          <w:szCs w:val="24"/>
        </w:rPr>
        <w:tab/>
      </w:r>
      <w:r w:rsidRPr="00CC3D32">
        <w:rPr>
          <w:rFonts w:hAnsi="Times New Roman" w:ascii="Times New Roman"/>
          <w:sz w:val="24"/>
          <w:szCs w:val="24"/>
        </w:rPr>
        <w:tab/>
      </w:r>
      <w:r w:rsidRPr="00CC3D32">
        <w:rPr>
          <w:rFonts w:hAnsi="Times New Roman" w:ascii="Times New Roman"/>
          <w:sz w:val="24"/>
          <w:szCs w:val="24"/>
        </w:rPr>
        <w:tab/>
      </w:r>
      <w:r w:rsidRPr="00CC3D32">
        <w:rPr>
          <w:rFonts w:hAnsi="Times New Roman" w:ascii="Times New Roman"/>
          <w:sz w:val="24"/>
          <w:szCs w:val="24"/>
        </w:rPr>
        <w:tab/>
      </w:r>
      <w:r w:rsidRPr="00CC3D32">
        <w:rPr>
          <w:rFonts w:hAnsi="Times New Roman" w:ascii="Times New Roman"/>
          <w:sz w:val="24"/>
          <w:szCs w:val="24"/>
        </w:rPr>
        <w:tab/>
      </w:r>
      <w:r w:rsidRPr="00CC3D32">
        <w:rPr>
          <w:rFonts w:hAnsi="Times New Roman" w:ascii="Times New Roman"/>
          <w:sz w:val="24"/>
          <w:szCs w:val="24"/>
        </w:rPr>
        <w:tab/>
      </w:r>
      <w:r w:rsidRPr="00CC3D32">
        <w:rPr>
          <w:rFonts w:hAnsi="Times New Roman" w:ascii="Times New Roman"/>
          <w:sz w:val="24"/>
          <w:szCs w:val="24"/>
        </w:rPr>
        <w:tab/>
      </w:r>
      <w:r w:rsidR="0028652B">
        <w:rPr>
          <w:rFonts w:hAnsi="Times New Roman" w:ascii="Times New Roman"/>
          <w:sz w:val="24"/>
          <w:szCs w:val="24"/>
        </w:rPr>
        <w:t xml:space="preserve">                         Sudac</w:t>
      </w:r>
      <w:r w:rsidRPr="00CC3D32">
        <w:rPr>
          <w:rFonts w:hAnsi="Times New Roman" w:ascii="Times New Roman"/>
          <w:sz w:val="24"/>
          <w:szCs w:val="24"/>
        </w:rPr>
        <w:t xml:space="preserve"> :</w:t>
      </w:r>
    </w:p>
    <w:p w:rsidRDefault="009C0406" w:rsidP="00CC3D32" w:rsidR="009C0406" w:rsidRPr="00CC3D32">
      <w:pPr>
        <w:spacing w:after="0"/>
        <w:rPr>
          <w:rFonts w:hAnsi="Times New Roman" w:ascii="Times New Roman"/>
          <w:sz w:val="24"/>
          <w:szCs w:val="24"/>
        </w:rPr>
      </w:pPr>
    </w:p>
    <w:p w:rsidRDefault="00CC3D32" w:rsidP="00CC3D32" w:rsidR="00CC3D32">
      <w:pPr>
        <w:spacing w:after="0"/>
        <w:jc w:val="center"/>
        <w:rPr>
          <w:rFonts w:hAnsi="Times New Roman" w:ascii="Times New Roman"/>
          <w:sz w:val="24"/>
          <w:szCs w:val="24"/>
        </w:rPr>
      </w:pPr>
      <w:r w:rsidRPr="00CC3D32">
        <w:rPr>
          <w:rFonts w:hAnsi="Times New Roman" w:ascii="Times New Roman"/>
          <w:sz w:val="24"/>
          <w:szCs w:val="24"/>
        </w:rPr>
        <w:t xml:space="preserve">                                                              </w:t>
      </w:r>
      <w:r w:rsidR="0028652B">
        <w:rPr>
          <w:rFonts w:hAnsi="Times New Roman" w:ascii="Times New Roman"/>
          <w:sz w:val="24"/>
          <w:szCs w:val="24"/>
        </w:rPr>
        <w:t xml:space="preserve">            </w:t>
      </w:r>
      <w:r w:rsidRPr="00CC3D32">
        <w:rPr>
          <w:rFonts w:hAnsi="Times New Roman" w:ascii="Times New Roman"/>
          <w:sz w:val="24"/>
          <w:szCs w:val="24"/>
        </w:rPr>
        <w:t xml:space="preserve">    Hugo Wedemeyer, v.r.</w:t>
      </w:r>
    </w:p>
    <w:p w:rsidRDefault="0028652B" w:rsidP="00CC3D32" w:rsidR="0028652B">
      <w:pPr>
        <w:spacing w:after="0"/>
        <w:jc w:val="center"/>
        <w:rPr>
          <w:rFonts w:hAnsi="Times New Roman" w:ascii="Times New Roman"/>
          <w:sz w:val="24"/>
          <w:szCs w:val="24"/>
        </w:rPr>
      </w:pPr>
    </w:p>
    <w:p w:rsidRDefault="0028652B" w:rsidP="00CC3D32" w:rsidR="0028652B" w:rsidRPr="00CC3D32">
      <w:pPr>
        <w:spacing w:after="0"/>
        <w:jc w:val="center"/>
        <w:rPr>
          <w:rFonts w:hAnsi="Times New Roman" w:ascii="Times New Roman"/>
          <w:sz w:val="24"/>
          <w:szCs w:val="24"/>
        </w:rPr>
      </w:pPr>
      <w:r>
        <w:rPr>
          <w:rFonts w:hAnsi="Times New Roman" w:ascii="Times New Roman"/>
          <w:sz w:val="24"/>
          <w:szCs w:val="24"/>
        </w:rPr>
        <w:t xml:space="preserve">                                                                                 Za točnost </w:t>
      </w:r>
      <w:proofErr w:type="spellStart"/>
      <w:r>
        <w:rPr>
          <w:rFonts w:hAnsi="Times New Roman" w:ascii="Times New Roman"/>
          <w:sz w:val="24"/>
          <w:szCs w:val="24"/>
        </w:rPr>
        <w:t>otpravka</w:t>
      </w:r>
      <w:proofErr w:type="spellEnd"/>
      <w:r>
        <w:rPr>
          <w:rFonts w:hAnsi="Times New Roman" w:ascii="Times New Roman"/>
          <w:sz w:val="24"/>
          <w:szCs w:val="24"/>
        </w:rPr>
        <w:t>-ovlašteni službenik :</w:t>
      </w:r>
    </w:p>
    <w:p w:rsidRDefault="00CC3D32" w:rsidP="00CC3D32" w:rsidR="00CC3D32" w:rsidRPr="00CC3D32">
      <w:pPr>
        <w:spacing w:after="0"/>
        <w:jc w:val="both"/>
        <w:rPr>
          <w:rFonts w:hAnsi="Times New Roman" w:ascii="Times New Roman"/>
          <w:sz w:val="24"/>
          <w:szCs w:val="24"/>
          <w:u w:val="single"/>
        </w:rPr>
      </w:pPr>
    </w:p>
    <w:p w:rsidRDefault="0035370B" w:rsidP="00CC3D32" w:rsidR="0035370B">
      <w:pPr>
        <w:spacing w:after="0"/>
        <w:jc w:val="both"/>
        <w:rPr>
          <w:rFonts w:hAnsi="Times New Roman" w:ascii="Times New Roman"/>
          <w:sz w:val="24"/>
          <w:szCs w:val="24"/>
        </w:rPr>
      </w:pPr>
    </w:p>
    <w:p w:rsidRDefault="0028652B" w:rsidP="00CC3D32" w:rsidR="00CC3D32" w:rsidRPr="0028652B">
      <w:pPr>
        <w:spacing w:after="0"/>
        <w:jc w:val="both"/>
        <w:rPr>
          <w:rFonts w:hAnsi="Times New Roman" w:ascii="Times New Roman"/>
          <w:sz w:val="24"/>
          <w:szCs w:val="24"/>
        </w:rPr>
      </w:pPr>
      <w:r>
        <w:rPr>
          <w:rFonts w:hAnsi="Times New Roman" w:ascii="Times New Roman"/>
          <w:sz w:val="24"/>
          <w:szCs w:val="24"/>
        </w:rPr>
        <w:t xml:space="preserve">Uputa  o  pravnom  lijeku </w:t>
      </w:r>
      <w:r w:rsidR="00CC3D32" w:rsidRPr="0028652B">
        <w:rPr>
          <w:rFonts w:hAnsi="Times New Roman" w:ascii="Times New Roman"/>
          <w:sz w:val="24"/>
          <w:szCs w:val="24"/>
        </w:rPr>
        <w:t xml:space="preserve"> :</w:t>
      </w:r>
    </w:p>
    <w:p w:rsidRDefault="00CC3D32" w:rsidP="0028652B" w:rsidR="00CC3D32" w:rsidRPr="00CC3D32">
      <w:pPr>
        <w:spacing w:after="0"/>
        <w:jc w:val="both"/>
        <w:rPr>
          <w:rFonts w:hAnsi="Times New Roman" w:ascii="Times New Roman"/>
          <w:sz w:val="24"/>
          <w:szCs w:val="24"/>
        </w:rPr>
      </w:pPr>
      <w:r w:rsidRPr="00CC3D32">
        <w:rPr>
          <w:rFonts w:hAnsi="Times New Roman" w:ascii="Times New Roman"/>
          <w:sz w:val="24"/>
          <w:szCs w:val="24"/>
        </w:rPr>
        <w:t>Protiv ovog rješenja stečajni upravitelj, dužnik pojedinac i svaki stečajni vjerovnik imaju pravo žalbe u roku od osam (8) dana od dana objave ovog rješenja na oglasnoj ploči ovog</w:t>
      </w:r>
      <w:r w:rsidR="00553E6D">
        <w:rPr>
          <w:rFonts w:hAnsi="Times New Roman" w:ascii="Times New Roman"/>
          <w:sz w:val="24"/>
          <w:szCs w:val="24"/>
        </w:rPr>
        <w:t>a</w:t>
      </w:r>
      <w:r w:rsidRPr="00CC3D32">
        <w:rPr>
          <w:rFonts w:hAnsi="Times New Roman" w:ascii="Times New Roman"/>
          <w:sz w:val="24"/>
          <w:szCs w:val="24"/>
        </w:rPr>
        <w:t xml:space="preserve"> suda.</w:t>
      </w:r>
    </w:p>
    <w:p w:rsidRDefault="00CC3D32" w:rsidP="00CC3D32" w:rsidR="00CC3D32">
      <w:pPr>
        <w:spacing w:after="0"/>
        <w:jc w:val="both"/>
        <w:rPr>
          <w:rFonts w:hAnsi="Times New Roman" w:ascii="Times New Roman"/>
          <w:sz w:val="24"/>
          <w:szCs w:val="24"/>
        </w:rPr>
      </w:pPr>
    </w:p>
    <w:p w:rsidRDefault="00553E6D" w:rsidP="00CC3D32" w:rsidR="00553E6D" w:rsidRPr="00CC3D32">
      <w:pPr>
        <w:spacing w:after="0"/>
        <w:jc w:val="both"/>
        <w:rPr>
          <w:rFonts w:hAnsi="Times New Roman" w:ascii="Times New Roman"/>
          <w:sz w:val="24"/>
          <w:szCs w:val="24"/>
        </w:rPr>
      </w:pPr>
    </w:p>
    <w:p w:rsidRDefault="00CC3D32" w:rsidP="00CC3D32" w:rsidR="00CC3D32" w:rsidRPr="00CC3D32">
      <w:pPr>
        <w:spacing w:after="0"/>
        <w:jc w:val="both"/>
        <w:rPr>
          <w:rFonts w:hAnsi="Times New Roman" w:ascii="Times New Roman"/>
          <w:sz w:val="24"/>
          <w:szCs w:val="24"/>
        </w:rPr>
      </w:pPr>
      <w:r w:rsidRPr="00CC3D32">
        <w:rPr>
          <w:rFonts w:hAnsi="Times New Roman" w:ascii="Times New Roman"/>
          <w:sz w:val="24"/>
          <w:szCs w:val="24"/>
        </w:rPr>
        <w:t>DNA :</w:t>
      </w:r>
    </w:p>
    <w:p w:rsidRDefault="00CC3D32" w:rsidP="00CC3D32" w:rsidR="00CC3D32" w:rsidRPr="00CC3D32">
      <w:pPr>
        <w:spacing w:after="0"/>
        <w:jc w:val="both"/>
        <w:rPr>
          <w:rFonts w:hAnsi="Times New Roman" w:ascii="Times New Roman"/>
          <w:sz w:val="24"/>
          <w:szCs w:val="24"/>
        </w:rPr>
      </w:pPr>
    </w:p>
    <w:p w:rsidRDefault="00CC3D32" w:rsidP="00CC3D32" w:rsidR="00CC3D32" w:rsidRPr="00CC3D32">
      <w:pPr>
        <w:spacing w:after="0"/>
        <w:jc w:val="both"/>
        <w:rPr>
          <w:rFonts w:hAnsi="Times New Roman" w:ascii="Times New Roman"/>
          <w:sz w:val="24"/>
          <w:szCs w:val="24"/>
        </w:rPr>
      </w:pPr>
      <w:r w:rsidRPr="00CC3D32">
        <w:rPr>
          <w:rFonts w:hAnsi="Times New Roman" w:ascii="Times New Roman"/>
          <w:sz w:val="24"/>
          <w:szCs w:val="24"/>
        </w:rPr>
        <w:t>St</w:t>
      </w:r>
      <w:r w:rsidR="0028652B">
        <w:rPr>
          <w:rFonts w:hAnsi="Times New Roman" w:ascii="Times New Roman"/>
          <w:sz w:val="24"/>
          <w:szCs w:val="24"/>
        </w:rPr>
        <w:t xml:space="preserve">ečajni upravitelj </w:t>
      </w:r>
      <w:r w:rsidR="0028652B" w:rsidRPr="0028652B">
        <w:rPr>
          <w:rFonts w:hAnsi="Times New Roman" w:ascii="Times New Roman"/>
          <w:sz w:val="24"/>
          <w:szCs w:val="24"/>
        </w:rPr>
        <w:t xml:space="preserve">Daniel </w:t>
      </w:r>
      <w:proofErr w:type="spellStart"/>
      <w:r w:rsidR="0028652B" w:rsidRPr="0028652B">
        <w:rPr>
          <w:rFonts w:hAnsi="Times New Roman" w:ascii="Times New Roman"/>
          <w:sz w:val="24"/>
          <w:szCs w:val="24"/>
        </w:rPr>
        <w:t>Dekov</w:t>
      </w:r>
      <w:r w:rsidR="0028652B">
        <w:rPr>
          <w:rFonts w:hAnsi="Times New Roman" w:ascii="Times New Roman"/>
          <w:sz w:val="24"/>
          <w:szCs w:val="24"/>
        </w:rPr>
        <w:t>ić</w:t>
      </w:r>
      <w:proofErr w:type="spellEnd"/>
      <w:r w:rsidR="0028652B">
        <w:rPr>
          <w:rFonts w:hAnsi="Times New Roman" w:ascii="Times New Roman"/>
          <w:sz w:val="24"/>
          <w:szCs w:val="24"/>
        </w:rPr>
        <w:t>, iz Zagreba, Novačka br. 329,</w:t>
      </w:r>
    </w:p>
    <w:p w:rsidRDefault="0028652B" w:rsidP="00CC3D32" w:rsidR="0028652B">
      <w:pPr>
        <w:spacing w:after="0"/>
        <w:jc w:val="both"/>
        <w:rPr>
          <w:rFonts w:hAnsi="Times New Roman" w:ascii="Times New Roman"/>
          <w:sz w:val="24"/>
          <w:szCs w:val="24"/>
        </w:rPr>
      </w:pPr>
    </w:p>
    <w:p w:rsidRDefault="0028652B" w:rsidP="00E91D38" w:rsidR="00CC3D32" w:rsidRPr="00CC3D32">
      <w:pPr>
        <w:spacing w:after="0"/>
        <w:jc w:val="both"/>
        <w:rPr>
          <w:rFonts w:hAnsi="Times New Roman" w:ascii="Times New Roman"/>
          <w:sz w:val="24"/>
          <w:szCs w:val="24"/>
        </w:rPr>
      </w:pPr>
      <w:r>
        <w:rPr>
          <w:rFonts w:hAnsi="Times New Roman" w:ascii="Times New Roman"/>
          <w:sz w:val="24"/>
          <w:szCs w:val="24"/>
        </w:rPr>
        <w:t>e-Oglasna ploča</w:t>
      </w:r>
      <w:r w:rsidR="00CC3D32" w:rsidRPr="00CC3D32">
        <w:rPr>
          <w:rFonts w:hAnsi="Times New Roman" w:ascii="Times New Roman"/>
          <w:sz w:val="24"/>
          <w:szCs w:val="24"/>
        </w:rPr>
        <w:t xml:space="preserve"> ovog</w:t>
      </w:r>
      <w:r>
        <w:rPr>
          <w:rFonts w:hAnsi="Times New Roman" w:ascii="Times New Roman"/>
          <w:sz w:val="24"/>
          <w:szCs w:val="24"/>
        </w:rPr>
        <w:t>a</w:t>
      </w:r>
      <w:r w:rsidR="00E91D38">
        <w:rPr>
          <w:rFonts w:hAnsi="Times New Roman" w:ascii="Times New Roman"/>
          <w:sz w:val="24"/>
          <w:szCs w:val="24"/>
        </w:rPr>
        <w:t xml:space="preserve"> suda,</w:t>
      </w:r>
    </w:p>
    <w:p w:rsidRDefault="00CC3D32" w:rsidP="00CC3D32" w:rsidR="00CC3D32" w:rsidRPr="00CC3D32">
      <w:pPr>
        <w:pStyle w:val="NormaleSPIS"/>
        <w:spacing w:after="0"/>
        <w:rPr>
          <w:rFonts w:cs="Times New Roman"/>
        </w:rPr>
      </w:pPr>
    </w:p>
    <w:p w:rsidRDefault="00CC3D32" w:rsidP="004F27AE" w:rsidR="00CC3D32" w:rsidRPr="00CC3D32">
      <w:pPr>
        <w:pStyle w:val="NormaleSPIS"/>
        <w:rPr>
          <w:rFonts w:cs="Times New Roman"/>
        </w:rPr>
      </w:pPr>
    </w:p>
    <w:sectPr w:rsidSect="00895AA7" w:rsidR="00CC3D32" w:rsidRPr="00CC3D32">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D69" w:rsidP="00537B78" w:rsidR="00A40D69">
      <w:r>
        <w:separator/>
      </w:r>
    </w:p>
  </w:endnote>
  <w:endnote w:id="0" w:type="continuationSeparator">
    <w:p w:rsidRDefault="00A40D69" w:rsidP="00537B78" w:rsidR="00A40D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5834346"/>
      <w:docPartObj>
        <w:docPartGallery w:val="Page Numbers (Bottom of Page)"/>
        <w:docPartUnique/>
      </w:docPartObj>
    </w:sdtPr>
    <w:sdtEndPr/>
    <w:sdtContent>
      <w:p w:rsidRDefault="00895AA7" w:rsidR="00895AA7">
        <w:pPr>
          <w:pStyle w:val="Podnoje"/>
        </w:pPr>
        <w:r>
          <w:fldChar w:fldCharType="begin"/>
        </w:r>
        <w:r>
          <w:instrText>PAGE   \* MERGEFORMAT</w:instrText>
        </w:r>
        <w:r>
          <w:fldChar w:fldCharType="separate"/>
        </w:r>
        <w:r w:rsidR="00667A09">
          <w:t>4</w:t>
        </w:r>
        <w:r>
          <w:fldChar w:fldCharType="end"/>
        </w:r>
      </w:p>
    </w:sdtContent>
  </w:sdt>
  <w:p w:rsidRDefault="00895AA7" w:rsidR="00895A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D69" w:rsidP="00537B78" w:rsidR="00A40D69">
      <w:r>
        <w:separator/>
      </w:r>
    </w:p>
  </w:footnote>
  <w:footnote w:id="0" w:type="continuationSeparator">
    <w:p w:rsidRDefault="00A40D69" w:rsidP="00537B78" w:rsidR="00A40D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5AA7" w:rsidR="008333A9">
    <w:pPr>
      <w:pStyle w:val="Zaglavlje"/>
    </w:pPr>
    <w:r>
      <w:rPr>
        <w:rStyle w:val="PozadinaSvijetloCrvena"/>
        <w:shd w:fill="auto" w:color="auto" w:val="clear"/>
      </w:rPr>
      <w:t>Poslovni broj : 6 St-152/2014-77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54D"/>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6C1"/>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3CF"/>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46C"/>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179"/>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856"/>
    <w:rsid w:val="001D7697"/>
    <w:rsid w:val="001E1CF7"/>
    <w:rsid w:val="001E34BF"/>
    <w:rsid w:val="001E4714"/>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239"/>
    <w:rsid w:val="00284965"/>
    <w:rsid w:val="002852E3"/>
    <w:rsid w:val="00285C1A"/>
    <w:rsid w:val="0028652B"/>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1CB6"/>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70B"/>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139D"/>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00A"/>
    <w:rsid w:val="0047283A"/>
    <w:rsid w:val="0047363C"/>
    <w:rsid w:val="00473674"/>
    <w:rsid w:val="00475964"/>
    <w:rsid w:val="00477C17"/>
    <w:rsid w:val="00481B4E"/>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D2E"/>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DE8"/>
    <w:rsid w:val="00531269"/>
    <w:rsid w:val="00533860"/>
    <w:rsid w:val="00536C20"/>
    <w:rsid w:val="00537B78"/>
    <w:rsid w:val="005437D7"/>
    <w:rsid w:val="00543CB6"/>
    <w:rsid w:val="00544E5B"/>
    <w:rsid w:val="00547C28"/>
    <w:rsid w:val="0055093A"/>
    <w:rsid w:val="00551A2D"/>
    <w:rsid w:val="00551CB3"/>
    <w:rsid w:val="0055354D"/>
    <w:rsid w:val="00553E6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1E53"/>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201"/>
    <w:rsid w:val="005A5653"/>
    <w:rsid w:val="005A6DD4"/>
    <w:rsid w:val="005B03D9"/>
    <w:rsid w:val="005B131C"/>
    <w:rsid w:val="005B25FD"/>
    <w:rsid w:val="005B456A"/>
    <w:rsid w:val="005B73ED"/>
    <w:rsid w:val="005B790A"/>
    <w:rsid w:val="005C21F0"/>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88F"/>
    <w:rsid w:val="00665B93"/>
    <w:rsid w:val="00666498"/>
    <w:rsid w:val="00667217"/>
    <w:rsid w:val="006679F6"/>
    <w:rsid w:val="00667A09"/>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2296"/>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2779C"/>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30C"/>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484"/>
    <w:rsid w:val="00891980"/>
    <w:rsid w:val="00894632"/>
    <w:rsid w:val="008958BE"/>
    <w:rsid w:val="00895AA7"/>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6621"/>
    <w:rsid w:val="008D7E86"/>
    <w:rsid w:val="008E0E4B"/>
    <w:rsid w:val="008E1604"/>
    <w:rsid w:val="008E1C3C"/>
    <w:rsid w:val="008E28B2"/>
    <w:rsid w:val="008E3BAB"/>
    <w:rsid w:val="008E623A"/>
    <w:rsid w:val="008E623D"/>
    <w:rsid w:val="008E6559"/>
    <w:rsid w:val="008E6AFD"/>
    <w:rsid w:val="008E71AD"/>
    <w:rsid w:val="008E74C8"/>
    <w:rsid w:val="008E7D67"/>
    <w:rsid w:val="008F04E1"/>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69A"/>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0BE"/>
    <w:rsid w:val="009A5B83"/>
    <w:rsid w:val="009A67E8"/>
    <w:rsid w:val="009A7E91"/>
    <w:rsid w:val="009B0D60"/>
    <w:rsid w:val="009B144F"/>
    <w:rsid w:val="009B4065"/>
    <w:rsid w:val="009B4118"/>
    <w:rsid w:val="009B43B8"/>
    <w:rsid w:val="009B5EB3"/>
    <w:rsid w:val="009B60F8"/>
    <w:rsid w:val="009B7EDD"/>
    <w:rsid w:val="009C0406"/>
    <w:rsid w:val="009C0F92"/>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2733E"/>
    <w:rsid w:val="00A308D8"/>
    <w:rsid w:val="00A30B1E"/>
    <w:rsid w:val="00A31459"/>
    <w:rsid w:val="00A33D17"/>
    <w:rsid w:val="00A346F9"/>
    <w:rsid w:val="00A34E56"/>
    <w:rsid w:val="00A3602D"/>
    <w:rsid w:val="00A37547"/>
    <w:rsid w:val="00A40026"/>
    <w:rsid w:val="00A40615"/>
    <w:rsid w:val="00A40D69"/>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97125"/>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25F5"/>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0BF2"/>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B23"/>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A89"/>
    <w:rsid w:val="00C76287"/>
    <w:rsid w:val="00C7634A"/>
    <w:rsid w:val="00C81731"/>
    <w:rsid w:val="00C817C4"/>
    <w:rsid w:val="00C8190F"/>
    <w:rsid w:val="00C81B43"/>
    <w:rsid w:val="00C8570D"/>
    <w:rsid w:val="00C85D2B"/>
    <w:rsid w:val="00C85E94"/>
    <w:rsid w:val="00C87C58"/>
    <w:rsid w:val="00C90455"/>
    <w:rsid w:val="00C933C7"/>
    <w:rsid w:val="00C93478"/>
    <w:rsid w:val="00C944C9"/>
    <w:rsid w:val="00C952A3"/>
    <w:rsid w:val="00C976F1"/>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667"/>
    <w:rsid w:val="00CC2AF0"/>
    <w:rsid w:val="00CC2C51"/>
    <w:rsid w:val="00CC2EE9"/>
    <w:rsid w:val="00CC36C9"/>
    <w:rsid w:val="00CC3D32"/>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3E00"/>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17DF7"/>
    <w:rsid w:val="00E20F1B"/>
    <w:rsid w:val="00E21417"/>
    <w:rsid w:val="00E23471"/>
    <w:rsid w:val="00E24F41"/>
    <w:rsid w:val="00E25846"/>
    <w:rsid w:val="00E26712"/>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1D38"/>
    <w:rsid w:val="00E94032"/>
    <w:rsid w:val="00E96434"/>
    <w:rsid w:val="00EA1715"/>
    <w:rsid w:val="00EA1A65"/>
    <w:rsid w:val="00EA1C6D"/>
    <w:rsid w:val="00EA2F47"/>
    <w:rsid w:val="00EA4799"/>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2FB4"/>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64F"/>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86AD6"/>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52E7"/>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C3D32"/>
    <w:rPr>
      <w:rFonts w:cs="Times New Roman" w:eastAsia="Calibri" w:hAnsi="Calibri" w:ascii="Calibri"/>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hAnsi="Times New Roman" w:ascii="Times New Roman"/>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eastAsiaTheme="minorHAnsi" w:hAnsi="Times New Roman" w:ascii="Times New Roman"/>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hAnsi="Times New Roman" w:asci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eastAsiaTheme="minorHAnsi" w:hAnsi="Times New Roman" w:ascii="Times New Roman"/>
      <w:caps/>
      <w:spacing w:val="100"/>
      <w:sz w:val="24"/>
      <w:szCs w:val="24"/>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eastAsiaTheme="minorHAnsi" w:hAnsi="Times New Roman" w:ascii="Times New Roman"/>
      <w:spacing w:val="100"/>
      <w:sz w:val="24"/>
      <w:szCs w:val="24"/>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eastAsiaTheme="minorHAnsi" w:hAnsi="Times New Roman" w:ascii="Times New Roman"/>
      <w:noProof/>
      <w:sz w:val="24"/>
      <w:szCs w:val="24"/>
    </w:rPr>
  </w:style>
  <w:style w:styleId="Tijeloteksta3" w:type="paragraph">
    <w:name w:val="Body Text 3"/>
    <w:basedOn w:val="Normal"/>
    <w:link w:val="Tijeloteksta3Char"/>
    <w:uiPriority w:val="99"/>
    <w:rsid w:val="00551CB3"/>
    <w:pPr>
      <w:numPr>
        <w:numId w:val="4"/>
      </w:numPr>
      <w:spacing w:lineRule="auto" w:line="240" w:after="120"/>
    </w:pPr>
    <w:rPr>
      <w:rFonts w:cstheme="minorBidi" w:eastAsiaTheme="minorHAnsi" w:hAnsi="Times New Roman" w:ascii="Times New Roman"/>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eastAsiaTheme="minorHAnsi" w:hAnsi="Times New Roman" w:ascii="Times New Roman"/>
      <w:sz w:val="24"/>
      <w:szCs w:val="24"/>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eastAsiaTheme="minorHAnsi" w:hAnsi="Times New Roman" w:ascii="Times New Roman"/>
      <w:noProof/>
      <w:sz w:val="20"/>
      <w:szCs w:val="24"/>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sz w:val="24"/>
      <w:szCs w:val="24"/>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eastAsiaTheme="minorHAnsi" w:hAnsi="Times New Roman" w:ascii="Times New Roman"/>
      <w:noProof/>
      <w:sz w:val="24"/>
      <w:szCs w:val="24"/>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eastAsiaTheme="minorHAnsi" w:hAnsi="Times New Roman" w:ascii="Times New Roman"/>
      <w:noProof/>
      <w:sz w:val="24"/>
      <w:szCs w:val="24"/>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eastAsiaTheme="minorHAnsi" w:hAnsi="Times New Roman" w:ascii="Times New Roman"/>
      <w:b/>
      <w:caps/>
      <w:spacing w:val="100"/>
      <w:sz w:val="24"/>
      <w:szCs w:val="24"/>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lineRule="auto" w:line="240" w:afterAutospacing="true" w:after="100" w:beforeAutospacing="true" w:before="100"/>
    </w:pPr>
    <w:rPr>
      <w:rFonts w:cstheme="minorBidi" w:eastAsiaTheme="minorHAnsi" w:hAnsi="Times New Roman" w:ascii="Times New Roman"/>
      <w:sz w:val="24"/>
      <w:szCs w:val="24"/>
    </w:rPr>
  </w:style>
  <w:style w:styleId="Obinouvueno" w:type="paragraph">
    <w:name w:val="Normal Indent"/>
    <w:basedOn w:val="Normal"/>
    <w:uiPriority w:val="99"/>
    <w:unhideWhenUsed/>
    <w:rsid w:val="00551CB3"/>
    <w:pPr>
      <w:spacing w:lineRule="auto" w:line="240" w:after="240"/>
      <w:ind w:left="720"/>
    </w:pPr>
    <w:rPr>
      <w:rFonts w:cstheme="minorBidi" w:eastAsiaTheme="minorHAnsi" w:hAnsi="Times New Roman" w:ascii="Times New Roman"/>
      <w:sz w:val="24"/>
      <w:szCs w:val="24"/>
    </w:r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eastAsiaTheme="minorHAnsi" w:hAnsi="Times New Roman" w:ascii="Times New Roman"/>
      <w:noProof/>
      <w:sz w:val="24"/>
      <w:szCs w:val="24"/>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eastAsiaTheme="minorHAnsi" w:hAnsi="Times New Roman" w:ascii="Times New Roman"/>
      <w:noProof/>
      <w:sz w:val="24"/>
      <w:szCs w:val="24"/>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eastAsiaTheme="minorHAnsi" w:hAnsi="Times New Roman" w:ascii="Times New Roman"/>
      <w:sz w:val="24"/>
      <w:szCs w:val="24"/>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eastAsiaTheme="minorHAnsi" w:hAnsi="Times New Roman" w:ascii="Times New Roman"/>
      <w:noProof/>
      <w:sz w:val="24"/>
      <w:szCs w:val="24"/>
    </w:rPr>
  </w:style>
  <w:style w:customStyle="true" w:styleId="ZapisniarPotpis" w:type="paragraph">
    <w:name w:val="ZapisničarPotpis"/>
    <w:basedOn w:val="Normal"/>
    <w:next w:val="Normal"/>
    <w:qFormat/>
    <w:rsid w:val="00EB0D4C"/>
    <w:pPr>
      <w:spacing w:lineRule="auto" w:line="240" w:after="120" w:before="360"/>
      <w:ind w:left="5387"/>
    </w:pPr>
    <w:rPr>
      <w:rFonts w:cstheme="minorBidi" w:eastAsiaTheme="minorHAnsi" w:hAnsi="Times New Roman" w:ascii="Times New Roman"/>
      <w:noProof/>
      <w:sz w:val="24"/>
      <w:szCs w:val="24"/>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eastAsiaTheme="minorHAnsi" w:hAnsi="Times New Roman" w:ascii="Times New Roman"/>
      <w:sz w:val="24"/>
      <w:szCs w:val="24"/>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hAnsi="Times New Roman" w:ascii="Times New Roman"/>
      <w:sz w:val="24"/>
      <w:szCs w:val="24"/>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eastAsiaTheme="minorHAnsi" w:hAnsi="Times New Roman" w:ascii="Times New Roman"/>
      <w:noProof/>
      <w:sz w:val="24"/>
      <w:szCs w:val="24"/>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eastAsiaTheme="minorHAnsi" w:hAnsi="Times New Roman" w:ascii="Times New Roman"/>
      <w:sz w:val="24"/>
      <w:szCs w:val="24"/>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lineRule="auto" w:line="240" w:after="240"/>
      <w:ind w:right="1152" w:left="1152"/>
    </w:pPr>
    <w:rPr>
      <w:rFonts w:cstheme="minorBidi" w:eastAsiaTheme="minorEastAsia" w:hAnsiTheme="minorHAnsi" w:asciiTheme="minorHAnsi"/>
      <w:i/>
      <w:iCs/>
      <w:color w:themeColor="accent1" w:val="4F81BD"/>
      <w:sz w:val="24"/>
      <w:szCs w:val="24"/>
    </w:rPr>
  </w:style>
  <w:style w:styleId="Tijeloteksta" w:type="paragraph">
    <w:name w:val="Body Text"/>
    <w:basedOn w:val="Normal"/>
    <w:link w:val="TijelotekstaChar"/>
    <w:uiPriority w:val="99"/>
    <w:unhideWhenUsed/>
    <w:rsid w:val="00551CB3"/>
    <w:pPr>
      <w:spacing w:lineRule="auto" w:line="240" w:after="120"/>
    </w:pPr>
    <w:rPr>
      <w:rFonts w:cstheme="minorBidi" w:eastAsiaTheme="minorHAnsi" w:hAnsi="Times New Roman" w:ascii="Times New Roman"/>
      <w:sz w:val="24"/>
      <w:szCs w:val="24"/>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hAnsi="Times New Roman" w:ascii="Times New Roman"/>
      <w:sz w:val="24"/>
      <w:szCs w:val="24"/>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eastAsiaTheme="minorHAnsi" w:hAnsi="Times New Roman" w:ascii="Times New Roman"/>
      <w:sz w:val="24"/>
      <w:szCs w:val="24"/>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hAnsi="Times New Roman" w:ascii="Times New Roman"/>
      <w:sz w:val="24"/>
      <w:szCs w:val="24"/>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eastAsiaTheme="minorHAnsi" w:hAnsi="Times New Roman" w:ascii="Times New Roman"/>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eastAsiaTheme="minorHAnsi" w:hAnsi="Times New Roman" w:ascii="Times New Roman"/>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eastAsiaTheme="minorHAnsi" w:hAnsi="Times New Roman" w:ascii="Times New Roman"/>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eastAsiaTheme="minorHAnsi" w:hAnsi="Times New Roman" w:ascii="Times New Roman"/>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lineRule="auto" w:line="240" w:after="0"/>
    </w:pPr>
    <w:rPr>
      <w:rFonts w:cstheme="minorBidi" w:eastAsiaTheme="minorHAnsi" w:hAnsi="Times New Roman" w:ascii="Times New Roman"/>
      <w:i/>
      <w:iCs/>
      <w:sz w:val="24"/>
      <w:szCs w:val="24"/>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lineRule="auto" w:line="240" w:after="0"/>
    </w:pPr>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eastAsiaTheme="minorHAnsi" w:hAnsi="Times New Roman" w:ascii="Times New Roman"/>
      <w:sz w:val="24"/>
      <w:szCs w:val="24"/>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eastAsiaTheme="minorHAnsi" w:hAnsi="Times New Roman" w:ascii="Times New Roman"/>
      <w:sz w:val="24"/>
      <w:szCs w:val="24"/>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eastAsiaTheme="minorHAnsi" w:hAnsi="Times New Roman" w:ascii="Times New Roman"/>
      <w:sz w:val="24"/>
      <w:szCs w:val="24"/>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eastAsiaTheme="minorHAnsi" w:hAnsi="Times New Roman" w:ascii="Times New Roman"/>
      <w:sz w:val="24"/>
      <w:szCs w:val="24"/>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eastAsiaTheme="minorHAnsi" w:hAnsi="Times New Roman" w:ascii="Times New Roman"/>
      <w:sz w:val="24"/>
      <w:szCs w:val="24"/>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eastAsiaTheme="minorHAnsi" w:hAnsi="Times New Roman" w:ascii="Times New Roman"/>
      <w:sz w:val="24"/>
      <w:szCs w:val="24"/>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eastAsiaTheme="minorHAnsi" w:hAnsi="Times New Roman" w:ascii="Times New Roman"/>
      <w:sz w:val="24"/>
      <w:szCs w:val="24"/>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eastAsiaTheme="minorHAnsi" w:hAnsi="Times New Roman" w:ascii="Times New Roman"/>
      <w:sz w:val="24"/>
      <w:szCs w:val="24"/>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lineRule="auto" w:line="240" w:after="0"/>
      <w:ind w:hanging="1134" w:left="1134"/>
    </w:pPr>
    <w:rPr>
      <w:rFonts w:cstheme="majorBidi" w:eastAsiaTheme="majorEastAsia" w:hAnsiTheme="majorHAnsi" w:asciiTheme="majorHAnsi"/>
      <w:sz w:val="24"/>
      <w:szCs w:val="24"/>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eastAsiaTheme="minorHAnsi" w:hAnsi="Times New Roman" w:ascii="Times New Roman"/>
      <w:sz w:val="24"/>
      <w:szCs w:val="24"/>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lineRule="auto" w:line="240" w:after="0"/>
    </w:pPr>
    <w:rPr>
      <w:rFonts w:cstheme="minorBidi" w:eastAsiaTheme="minorHAnsi" w:hAnsi="Times New Roman" w:ascii="Times New Roman"/>
      <w:sz w:val="24"/>
      <w:szCs w:val="24"/>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lineRule="auto" w:line="240" w:after="0"/>
    </w:pPr>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lineRule="auto" w:line="240" w:after="240"/>
    </w:pPr>
    <w:rPr>
      <w:rFonts w:cstheme="minorBidi" w:eastAsiaTheme="minorHAnsi" w:hAnsi="Times New Roman" w:ascii="Times New Roman"/>
      <w:sz w:val="24"/>
      <w:szCs w:val="24"/>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eastAsiaTheme="minorHAnsi" w:hAnsi="Times New Roman" w:ascii="Times New Roman"/>
      <w:sz w:val="24"/>
      <w:szCs w:val="24"/>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eastAsiaTheme="minorHAnsi" w:hAnsi="Times New Roman" w:ascii="Times New Roman"/>
      <w:sz w:val="24"/>
      <w:szCs w:val="24"/>
    </w:rPr>
  </w:style>
  <w:style w:styleId="Tablicaslika" w:type="paragraph">
    <w:name w:val="table of figures"/>
    <w:basedOn w:val="Normal"/>
    <w:next w:val="Normal"/>
    <w:uiPriority w:val="99"/>
    <w:semiHidden/>
    <w:unhideWhenUsed/>
    <w:rsid w:val="00551CB3"/>
    <w:pPr>
      <w:spacing w:lineRule="auto" w:line="240" w:after="0"/>
    </w:pPr>
    <w:rPr>
      <w:rFonts w:cstheme="minorBidi" w:eastAsiaTheme="minorHAnsi" w:hAnsi="Times New Roman" w:ascii="Times New Roman"/>
      <w:sz w:val="24"/>
      <w:szCs w:val="24"/>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sz w:val="24"/>
      <w:szCs w:val="24"/>
    </w:rPr>
  </w:style>
  <w:style w:styleId="Sadraj1" w:type="paragraph">
    <w:name w:val="toc 1"/>
    <w:basedOn w:val="Normal"/>
    <w:next w:val="Normal"/>
    <w:autoRedefine/>
    <w:uiPriority w:val="99"/>
    <w:semiHidden/>
    <w:unhideWhenUsed/>
    <w:rsid w:val="00551CB3"/>
    <w:pPr>
      <w:spacing w:lineRule="auto" w:line="240" w:after="100"/>
    </w:pPr>
    <w:rPr>
      <w:rFonts w:cstheme="minorBidi" w:eastAsiaTheme="minorHAnsi" w:hAnsi="Times New Roman" w:ascii="Times New Roman"/>
      <w:sz w:val="24"/>
      <w:szCs w:val="24"/>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eastAsiaTheme="minorHAnsi" w:hAnsi="Times New Roman" w:ascii="Times New Roman"/>
      <w:sz w:val="24"/>
      <w:szCs w:val="24"/>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eastAsiaTheme="minorHAnsi" w:hAnsi="Times New Roman" w:ascii="Times New Roman"/>
      <w:sz w:val="24"/>
      <w:szCs w:val="24"/>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eastAsiaTheme="minorHAnsi" w:hAnsi="Times New Roman" w:ascii="Times New Roman"/>
      <w:sz w:val="24"/>
      <w:szCs w:val="24"/>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eastAsiaTheme="minorHAnsi" w:hAnsi="Times New Roman" w:ascii="Times New Roman"/>
      <w:sz w:val="24"/>
      <w:szCs w:val="24"/>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eastAsiaTheme="minorHAnsi" w:hAnsi="Times New Roman" w:ascii="Times New Roman"/>
      <w:sz w:val="24"/>
      <w:szCs w:val="24"/>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eastAsiaTheme="minorHAnsi" w:hAnsi="Times New Roman" w:ascii="Times New Roman"/>
      <w:sz w:val="24"/>
      <w:szCs w:val="24"/>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eastAsiaTheme="minorHAnsi" w:hAnsi="Times New Roman" w:ascii="Times New Roman"/>
      <w:sz w:val="24"/>
      <w:szCs w:val="24"/>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eastAsiaTheme="minorHAnsi" w:hAnsi="Times New Roman" w:ascii="Times New Roman"/>
      <w:sz w:val="24"/>
      <w:szCs w:val="24"/>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eastAsiaTheme="minorHAnsi" w:hAnsi="Times New Roman" w:ascii="Times New Roman"/>
      <w:sz w:val="20"/>
      <w:szCs w:val="24"/>
    </w:rPr>
  </w:style>
  <w:style w:customStyle="true" w:styleId="IzvornikNacrt" w:type="paragraph">
    <w:name w:val="Izvornik_Nacrt"/>
    <w:basedOn w:val="Normal"/>
    <w:link w:val="IzvornikNacrtChar"/>
    <w:qFormat/>
    <w:rsid w:val="00EB0D4C"/>
    <w:pPr>
      <w:keepNext/>
      <w:spacing w:lineRule="auto" w:line="240" w:after="0"/>
    </w:pPr>
    <w:rPr>
      <w:rFonts w:hAnsi="Times New Roman" w:ascii="Times New Roman"/>
      <w:noProof/>
      <w:color w:val="000000"/>
      <w:sz w:val="24"/>
      <w:szCs w:val="24"/>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hAnsi="Times New Roman" w:ascii="Times New Roman"/>
      <w:noProof/>
      <w:color w:val="000000"/>
      <w:sz w:val="24"/>
      <w:szCs w:val="24"/>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hAnsi="Times New Roman" w:ascii="Times New Roman"/>
      <w:noProof/>
      <w:color w:val="000000"/>
      <w:sz w:val="24"/>
      <w:szCs w:val="24"/>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eastAsiaTheme="minorHAnsi" w:hAnsi="Times New Roman" w:ascii="Times New Roman"/>
      <w:noProof/>
      <w:sz w:val="24"/>
      <w:szCs w:val="24"/>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hAnsi="Times New Roman" w:ascii="Times New Roman"/>
      <w:color w:val="000000"/>
      <w:sz w:val="24"/>
      <w:szCs w:val="24"/>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hAnsi="Times New Roman" w:ascii="Times New Roman"/>
      <w:noProof/>
      <w:color w:val="000000"/>
      <w:sz w:val="24"/>
      <w:szCs w:val="24"/>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eastAsiaTheme="minorHAnsi" w:hAnsi="Times New Roman" w:ascii="Times New Roman"/>
      <w:sz w:val="24"/>
      <w:szCs w:val="24"/>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eastAsiaTheme="minorHAnsi" w:hAnsi="Times New Roman" w:ascii="Times New Roman"/>
      <w:sz w:val="24"/>
      <w:szCs w:val="24"/>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CC3D32"/>
    <w:pPr>
      <w:spacing w:lineRule="auto" w:line="240" w:after="0"/>
      <w:jc w:val="both"/>
    </w:pPr>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C3D32"/>
    <w:rPr>
      <w:rFonts w:ascii="Calibri" w:cs="Times New Roman" w:eastAsia="Calibri" w:hAnsi="Calibri"/>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ascii="Times New Roman" w:cstheme="majorBidi" w:eastAsiaTheme="majorEastAsia" w:hAnsi="Times New Roman"/>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ascii="Times New Roman" w:cstheme="minorBidi" w:eastAsiaTheme="minorHAnsi" w:hAnsi="Times New Roman"/>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ascii="Times New Roman" w:cstheme="majorBidi" w:eastAsiaTheme="majorEastAsia" w:hAnsi="Times New Roman"/>
      <w:b/>
      <w:bCs/>
      <w:sz w:val="24"/>
      <w:szCs w:val="24"/>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ascii="Times New Roman" w:cstheme="minorBidi" w:eastAsiaTheme="minorHAnsi" w:hAnsi="Times New Roman"/>
      <w:caps/>
      <w:spacing w:val="100"/>
      <w:sz w:val="24"/>
      <w:szCs w:val="24"/>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ascii="Times New Roman" w:cstheme="minorBidi" w:eastAsiaTheme="minorHAnsi" w:hAnsi="Times New Roman"/>
      <w:spacing w:val="100"/>
      <w:sz w:val="24"/>
      <w:szCs w:val="24"/>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ascii="Times New Roman" w:cstheme="minorBidi" w:eastAsiaTheme="minorHAnsi" w:hAnsi="Times New Roman"/>
      <w:noProof/>
      <w:sz w:val="24"/>
      <w:szCs w:val="24"/>
    </w:rPr>
  </w:style>
  <w:style w:styleId="Tijeloteksta3" w:type="paragraph">
    <w:name w:val="Body Text 3"/>
    <w:basedOn w:val="Normal"/>
    <w:link w:val="Tijeloteksta3Char"/>
    <w:uiPriority w:val="99"/>
    <w:rsid w:val="00551CB3"/>
    <w:pPr>
      <w:numPr>
        <w:numId w:val="4"/>
      </w:numPr>
      <w:spacing w:after="120" w:line="240" w:lineRule="auto"/>
    </w:pPr>
    <w:rPr>
      <w:rFonts w:ascii="Times New Roman" w:cstheme="minorBidi" w:eastAsiaTheme="minorHAnsi" w:hAnsi="Times New Roman"/>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ascii="Times New Roman" w:cstheme="minorBidi" w:eastAsiaTheme="minorHAnsi" w:hAnsi="Times New Roman"/>
      <w:sz w:val="24"/>
      <w:szCs w:val="24"/>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ascii="Times New Roman" w:cstheme="minorBidi" w:eastAsiaTheme="minorHAnsi" w:hAnsi="Times New Roman"/>
      <w:noProof/>
      <w:sz w:val="20"/>
      <w:szCs w:val="24"/>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sz w:val="24"/>
      <w:szCs w:val="24"/>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ascii="Times New Roman" w:cstheme="minorBidi" w:eastAsiaTheme="minorHAnsi" w:hAnsi="Times New Roman"/>
      <w:noProof/>
      <w:sz w:val="24"/>
      <w:szCs w:val="24"/>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ascii="Times New Roman" w:cstheme="minorBidi" w:eastAsiaTheme="minorHAnsi" w:hAnsi="Times New Roman"/>
      <w:noProof/>
      <w:sz w:val="24"/>
      <w:szCs w:val="24"/>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ascii="Times New Roman" w:cstheme="minorBidi" w:eastAsiaTheme="minorHAnsi" w:hAnsi="Times New Roman"/>
      <w:b/>
      <w:caps/>
      <w:spacing w:val="100"/>
      <w:sz w:val="24"/>
      <w:szCs w:val="24"/>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line="240" w:lineRule="auto"/>
    </w:pPr>
    <w:rPr>
      <w:rFonts w:ascii="Times New Roman" w:cstheme="minorBidi" w:eastAsiaTheme="minorHAnsi" w:hAnsi="Times New Roman"/>
      <w:sz w:val="24"/>
      <w:szCs w:val="24"/>
    </w:rPr>
  </w:style>
  <w:style w:styleId="Obinouvueno" w:type="paragraph">
    <w:name w:val="Normal Indent"/>
    <w:basedOn w:val="Normal"/>
    <w:uiPriority w:val="99"/>
    <w:unhideWhenUsed/>
    <w:rsid w:val="00551CB3"/>
    <w:pPr>
      <w:spacing w:after="240" w:line="240" w:lineRule="auto"/>
      <w:ind w:left="720"/>
    </w:pPr>
    <w:rPr>
      <w:rFonts w:ascii="Times New Roman" w:cstheme="minorBidi" w:eastAsiaTheme="minorHAnsi" w:hAnsi="Times New Roman"/>
      <w:sz w:val="24"/>
      <w:szCs w:val="24"/>
    </w:r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ascii="Times New Roman" w:cstheme="minorBidi" w:eastAsiaTheme="minorHAnsi" w:hAnsi="Times New Roman"/>
      <w:noProof/>
      <w:sz w:val="24"/>
      <w:szCs w:val="24"/>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ascii="Times New Roman" w:cstheme="minorBidi" w:eastAsiaTheme="minorHAnsi" w:hAnsi="Times New Roman"/>
      <w:noProof/>
      <w:sz w:val="24"/>
      <w:szCs w:val="24"/>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ascii="Times New Roman" w:cstheme="minorBidi" w:eastAsiaTheme="minorHAnsi" w:hAnsi="Times New Roman"/>
      <w:sz w:val="24"/>
      <w:szCs w:val="24"/>
    </w:rPr>
  </w:style>
  <w:style w:customStyle="1" w:styleId="Zapisniar" w:type="paragraph">
    <w:name w:val="Zapisničar"/>
    <w:basedOn w:val="Normal"/>
    <w:next w:val="ZapisniarPotpis"/>
    <w:qFormat/>
    <w:rsid w:val="00EB0D4C"/>
    <w:pPr>
      <w:keepNext/>
      <w:spacing w:after="360" w:before="360" w:line="240" w:lineRule="auto"/>
      <w:ind w:left="5387"/>
    </w:pPr>
    <w:rPr>
      <w:rFonts w:ascii="Times New Roman" w:cstheme="minorBidi" w:eastAsiaTheme="minorHAnsi" w:hAnsi="Times New Roman"/>
      <w:noProof/>
      <w:sz w:val="24"/>
      <w:szCs w:val="24"/>
    </w:rPr>
  </w:style>
  <w:style w:customStyle="1" w:styleId="ZapisniarPotpis" w:type="paragraph">
    <w:name w:val="ZapisničarPotpis"/>
    <w:basedOn w:val="Normal"/>
    <w:next w:val="Normal"/>
    <w:qFormat/>
    <w:rsid w:val="00EB0D4C"/>
    <w:pPr>
      <w:spacing w:after="120" w:before="360" w:line="240" w:lineRule="auto"/>
      <w:ind w:left="5387"/>
    </w:pPr>
    <w:rPr>
      <w:rFonts w:ascii="Times New Roman" w:cstheme="minorBidi" w:eastAsiaTheme="minorHAnsi" w:hAnsi="Times New Roman"/>
      <w:noProof/>
      <w:sz w:val="24"/>
      <w:szCs w:val="24"/>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ascii="Times New Roman" w:cstheme="minorBidi" w:eastAsiaTheme="minorHAnsi" w:hAnsi="Times New Roman"/>
      <w:sz w:val="24"/>
      <w:szCs w:val="24"/>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ascii="Times New Roman" w:cstheme="minorBidi" w:eastAsia="Times New Roman" w:hAnsi="Times New Roman"/>
      <w:sz w:val="24"/>
      <w:szCs w:val="24"/>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ascii="Times New Roman" w:cstheme="minorBidi" w:eastAsiaTheme="minorHAnsi" w:hAnsi="Times New Roman"/>
      <w:noProof/>
      <w:sz w:val="24"/>
      <w:szCs w:val="24"/>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ascii="Times New Roman" w:cstheme="minorBidi" w:eastAsiaTheme="minorHAnsi" w:hAnsi="Times New Roman"/>
      <w:sz w:val="24"/>
      <w:szCs w:val="24"/>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line="240" w:lineRule="auto"/>
      <w:ind w:left="1152" w:right="1152"/>
    </w:pPr>
    <w:rPr>
      <w:rFonts w:asciiTheme="minorHAnsi" w:cstheme="minorBidi" w:eastAsiaTheme="minorEastAsia" w:hAnsiTheme="minorHAnsi"/>
      <w:i/>
      <w:iCs/>
      <w:color w:themeColor="accent1" w:val="4F81BD"/>
      <w:sz w:val="24"/>
      <w:szCs w:val="24"/>
    </w:rPr>
  </w:style>
  <w:style w:styleId="Tijeloteksta" w:type="paragraph">
    <w:name w:val="Body Text"/>
    <w:basedOn w:val="Normal"/>
    <w:link w:val="TijelotekstaChar"/>
    <w:uiPriority w:val="99"/>
    <w:unhideWhenUsed/>
    <w:rsid w:val="00551CB3"/>
    <w:pPr>
      <w:spacing w:after="120" w:line="240" w:lineRule="auto"/>
    </w:pPr>
    <w:rPr>
      <w:rFonts w:ascii="Times New Roman" w:cstheme="minorBidi" w:eastAsiaTheme="minorHAnsi" w:hAnsi="Times New Roman"/>
      <w:sz w:val="24"/>
      <w:szCs w:val="24"/>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ascii="Times New Roman" w:cstheme="minorBidi" w:eastAsiaTheme="minorHAnsi" w:hAnsi="Times New Roman"/>
      <w:sz w:val="24"/>
      <w:szCs w:val="24"/>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ascii="Times New Roman" w:cstheme="minorBidi" w:eastAsiaTheme="minorHAnsi" w:hAnsi="Times New Roman"/>
      <w:sz w:val="24"/>
      <w:szCs w:val="24"/>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ascii="Times New Roman" w:cstheme="minorBidi" w:eastAsiaTheme="minorHAnsi" w:hAnsi="Times New Roman"/>
      <w:sz w:val="24"/>
      <w:szCs w:val="24"/>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ascii="Times New Roman" w:cstheme="minorBidi" w:eastAsiaTheme="minorHAnsi" w:hAnsi="Times New Roman"/>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ascii="Times New Roman" w:cstheme="minorBidi" w:eastAsiaTheme="minorHAnsi" w:hAnsi="Times New Roman"/>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ascii="Times New Roman" w:cstheme="minorBidi" w:eastAsiaTheme="minorHAnsi" w:hAnsi="Times New Roman"/>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ascii="Times New Roman" w:cstheme="minorBidi" w:eastAsiaTheme="minorHAnsi" w:hAnsi="Times New Roman"/>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line="240" w:lineRule="auto"/>
    </w:pPr>
    <w:rPr>
      <w:rFonts w:ascii="Times New Roman" w:cstheme="minorBidi" w:eastAsiaTheme="minorHAnsi" w:hAnsi="Times New Roman"/>
      <w:i/>
      <w:iCs/>
      <w:sz w:val="24"/>
      <w:szCs w:val="24"/>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line="240" w:lineRule="auto"/>
    </w:pPr>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Indeks2" w:type="paragraph">
    <w:name w:val="index 2"/>
    <w:basedOn w:val="Normal"/>
    <w:next w:val="Normal"/>
    <w:autoRedefine/>
    <w:uiPriority w:val="99"/>
    <w:semiHidden/>
    <w:unhideWhenUsed/>
    <w:rsid w:val="00551CB3"/>
    <w:pPr>
      <w:spacing w:after="0" w:line="240" w:lineRule="auto"/>
      <w:ind w:hanging="240" w:left="480"/>
    </w:pPr>
    <w:rPr>
      <w:rFonts w:ascii="Times New Roman" w:cstheme="minorBidi" w:eastAsiaTheme="minorHAnsi" w:hAnsi="Times New Roman"/>
      <w:sz w:val="24"/>
      <w:szCs w:val="24"/>
    </w:rPr>
  </w:style>
  <w:style w:styleId="Indeks3" w:type="paragraph">
    <w:name w:val="index 3"/>
    <w:basedOn w:val="Normal"/>
    <w:next w:val="Normal"/>
    <w:autoRedefine/>
    <w:uiPriority w:val="99"/>
    <w:semiHidden/>
    <w:unhideWhenUsed/>
    <w:rsid w:val="00551CB3"/>
    <w:pPr>
      <w:spacing w:after="0" w:line="240" w:lineRule="auto"/>
      <w:ind w:hanging="240" w:left="720"/>
    </w:pPr>
    <w:rPr>
      <w:rFonts w:ascii="Times New Roman" w:cstheme="minorBidi" w:eastAsiaTheme="minorHAnsi" w:hAnsi="Times New Roman"/>
      <w:sz w:val="24"/>
      <w:szCs w:val="24"/>
    </w:rPr>
  </w:style>
  <w:style w:styleId="Indeks4" w:type="paragraph">
    <w:name w:val="index 4"/>
    <w:basedOn w:val="Normal"/>
    <w:next w:val="Normal"/>
    <w:autoRedefine/>
    <w:uiPriority w:val="99"/>
    <w:semiHidden/>
    <w:unhideWhenUsed/>
    <w:rsid w:val="00551CB3"/>
    <w:pPr>
      <w:spacing w:after="0" w:line="240" w:lineRule="auto"/>
      <w:ind w:hanging="240" w:left="960"/>
    </w:pPr>
    <w:rPr>
      <w:rFonts w:ascii="Times New Roman" w:cstheme="minorBidi" w:eastAsiaTheme="minorHAnsi" w:hAnsi="Times New Roman"/>
      <w:sz w:val="24"/>
      <w:szCs w:val="24"/>
    </w:rPr>
  </w:style>
  <w:style w:styleId="Indeks5" w:type="paragraph">
    <w:name w:val="index 5"/>
    <w:basedOn w:val="Normal"/>
    <w:next w:val="Normal"/>
    <w:autoRedefine/>
    <w:uiPriority w:val="99"/>
    <w:semiHidden/>
    <w:unhideWhenUsed/>
    <w:rsid w:val="00551CB3"/>
    <w:pPr>
      <w:spacing w:after="0" w:line="240" w:lineRule="auto"/>
      <w:ind w:hanging="240" w:left="1200"/>
    </w:pPr>
    <w:rPr>
      <w:rFonts w:ascii="Times New Roman" w:cstheme="minorBidi" w:eastAsiaTheme="minorHAnsi" w:hAnsi="Times New Roman"/>
      <w:sz w:val="24"/>
      <w:szCs w:val="24"/>
    </w:rPr>
  </w:style>
  <w:style w:styleId="Indeks6" w:type="paragraph">
    <w:name w:val="index 6"/>
    <w:basedOn w:val="Normal"/>
    <w:next w:val="Normal"/>
    <w:autoRedefine/>
    <w:uiPriority w:val="99"/>
    <w:semiHidden/>
    <w:unhideWhenUsed/>
    <w:rsid w:val="00551CB3"/>
    <w:pPr>
      <w:spacing w:after="0" w:line="240" w:lineRule="auto"/>
      <w:ind w:hanging="240" w:left="1440"/>
    </w:pPr>
    <w:rPr>
      <w:rFonts w:ascii="Times New Roman" w:cstheme="minorBidi" w:eastAsiaTheme="minorHAnsi" w:hAnsi="Times New Roman"/>
      <w:sz w:val="24"/>
      <w:szCs w:val="24"/>
    </w:rPr>
  </w:style>
  <w:style w:styleId="Indeks7" w:type="paragraph">
    <w:name w:val="index 7"/>
    <w:basedOn w:val="Normal"/>
    <w:next w:val="Normal"/>
    <w:autoRedefine/>
    <w:uiPriority w:val="99"/>
    <w:semiHidden/>
    <w:unhideWhenUsed/>
    <w:rsid w:val="00551CB3"/>
    <w:pPr>
      <w:spacing w:after="0" w:line="240" w:lineRule="auto"/>
      <w:ind w:hanging="240" w:left="1680"/>
    </w:pPr>
    <w:rPr>
      <w:rFonts w:ascii="Times New Roman" w:cstheme="minorBidi" w:eastAsiaTheme="minorHAnsi" w:hAnsi="Times New Roman"/>
      <w:sz w:val="24"/>
      <w:szCs w:val="24"/>
    </w:rPr>
  </w:style>
  <w:style w:styleId="Indeks8" w:type="paragraph">
    <w:name w:val="index 8"/>
    <w:basedOn w:val="Normal"/>
    <w:next w:val="Normal"/>
    <w:autoRedefine/>
    <w:uiPriority w:val="99"/>
    <w:semiHidden/>
    <w:unhideWhenUsed/>
    <w:rsid w:val="00551CB3"/>
    <w:pPr>
      <w:spacing w:after="0" w:line="240" w:lineRule="auto"/>
      <w:ind w:hanging="240" w:left="1920"/>
    </w:pPr>
    <w:rPr>
      <w:rFonts w:ascii="Times New Roman" w:cstheme="minorBidi" w:eastAsiaTheme="minorHAnsi" w:hAnsi="Times New Roman"/>
      <w:sz w:val="24"/>
      <w:szCs w:val="24"/>
    </w:rPr>
  </w:style>
  <w:style w:styleId="Indeks9" w:type="paragraph">
    <w:name w:val="index 9"/>
    <w:basedOn w:val="Normal"/>
    <w:next w:val="Normal"/>
    <w:autoRedefine/>
    <w:uiPriority w:val="99"/>
    <w:semiHidden/>
    <w:unhideWhenUsed/>
    <w:rsid w:val="00551CB3"/>
    <w:pPr>
      <w:spacing w:after="0" w:line="240" w:lineRule="auto"/>
      <w:ind w:hanging="240" w:left="2160"/>
    </w:pPr>
    <w:rPr>
      <w:rFonts w:ascii="Times New Roman" w:cstheme="minorBidi" w:eastAsiaTheme="minorHAnsi" w:hAnsi="Times New Roman"/>
      <w:sz w:val="24"/>
      <w:szCs w:val="24"/>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sz w:val="24"/>
      <w:szCs w:val="24"/>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line="240" w:lineRule="auto"/>
      <w:ind w:hanging="1134" w:left="1134"/>
    </w:pPr>
    <w:rPr>
      <w:rFonts w:asciiTheme="majorHAnsi" w:cstheme="majorBidi" w:eastAsiaTheme="majorEastAsia" w:hAnsiTheme="majorHAnsi"/>
      <w:sz w:val="24"/>
      <w:szCs w:val="24"/>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ascii="Times New Roman" w:cstheme="minorBidi" w:eastAsiaTheme="minorHAnsi" w:hAnsi="Times New Roman"/>
      <w:sz w:val="24"/>
      <w:szCs w:val="24"/>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line="240" w:lineRule="auto"/>
    </w:pPr>
    <w:rPr>
      <w:rFonts w:ascii="Times New Roman" w:cstheme="minorBidi" w:eastAsiaTheme="minorHAnsi" w:hAnsi="Times New Roman"/>
      <w:sz w:val="24"/>
      <w:szCs w:val="24"/>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line="240" w:lineRule="auto"/>
    </w:pPr>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line="240" w:lineRule="auto"/>
    </w:pPr>
    <w:rPr>
      <w:rFonts w:ascii="Times New Roman" w:cstheme="minorBidi" w:eastAsiaTheme="minorHAnsi" w:hAnsi="Times New Roman"/>
      <w:sz w:val="24"/>
      <w:szCs w:val="24"/>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ascii="Times New Roman" w:cstheme="minorBidi" w:eastAsiaTheme="minorHAnsi" w:hAnsi="Times New Roman"/>
      <w:sz w:val="24"/>
      <w:szCs w:val="24"/>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ascii="Times New Roman" w:cstheme="minorBidi" w:eastAsiaTheme="minorHAnsi" w:hAnsi="Times New Roman"/>
      <w:sz w:val="24"/>
      <w:szCs w:val="24"/>
    </w:rPr>
  </w:style>
  <w:style w:styleId="Tablicaslika" w:type="paragraph">
    <w:name w:val="table of figures"/>
    <w:basedOn w:val="Normal"/>
    <w:next w:val="Normal"/>
    <w:uiPriority w:val="99"/>
    <w:semiHidden/>
    <w:unhideWhenUsed/>
    <w:rsid w:val="00551CB3"/>
    <w:pPr>
      <w:spacing w:after="0" w:line="240" w:lineRule="auto"/>
    </w:pPr>
    <w:rPr>
      <w:rFonts w:ascii="Times New Roman" w:cstheme="minorBidi" w:eastAsiaTheme="minorHAnsi" w:hAnsi="Times New Roman"/>
      <w:sz w:val="24"/>
      <w:szCs w:val="24"/>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sz w:val="24"/>
      <w:szCs w:val="24"/>
    </w:rPr>
  </w:style>
  <w:style w:styleId="Sadraj1" w:type="paragraph">
    <w:name w:val="toc 1"/>
    <w:basedOn w:val="Normal"/>
    <w:next w:val="Normal"/>
    <w:autoRedefine/>
    <w:uiPriority w:val="99"/>
    <w:semiHidden/>
    <w:unhideWhenUsed/>
    <w:rsid w:val="00551CB3"/>
    <w:pPr>
      <w:spacing w:after="100" w:line="240" w:lineRule="auto"/>
    </w:pPr>
    <w:rPr>
      <w:rFonts w:ascii="Times New Roman" w:cstheme="minorBidi" w:eastAsiaTheme="minorHAnsi" w:hAnsi="Times New Roman"/>
      <w:sz w:val="24"/>
      <w:szCs w:val="24"/>
    </w:rPr>
  </w:style>
  <w:style w:styleId="Sadraj2" w:type="paragraph">
    <w:name w:val="toc 2"/>
    <w:basedOn w:val="Normal"/>
    <w:next w:val="Normal"/>
    <w:autoRedefine/>
    <w:uiPriority w:val="99"/>
    <w:semiHidden/>
    <w:unhideWhenUsed/>
    <w:rsid w:val="00551CB3"/>
    <w:pPr>
      <w:spacing w:after="100" w:line="240" w:lineRule="auto"/>
      <w:ind w:left="240"/>
    </w:pPr>
    <w:rPr>
      <w:rFonts w:ascii="Times New Roman" w:cstheme="minorBidi" w:eastAsiaTheme="minorHAnsi" w:hAnsi="Times New Roman"/>
      <w:sz w:val="24"/>
      <w:szCs w:val="24"/>
    </w:rPr>
  </w:style>
  <w:style w:styleId="Sadraj3" w:type="paragraph">
    <w:name w:val="toc 3"/>
    <w:basedOn w:val="Normal"/>
    <w:next w:val="Normal"/>
    <w:autoRedefine/>
    <w:uiPriority w:val="99"/>
    <w:semiHidden/>
    <w:unhideWhenUsed/>
    <w:rsid w:val="00551CB3"/>
    <w:pPr>
      <w:spacing w:after="100" w:line="240" w:lineRule="auto"/>
      <w:ind w:left="480"/>
    </w:pPr>
    <w:rPr>
      <w:rFonts w:ascii="Times New Roman" w:cstheme="minorBidi" w:eastAsiaTheme="minorHAnsi" w:hAnsi="Times New Roman"/>
      <w:sz w:val="24"/>
      <w:szCs w:val="24"/>
    </w:rPr>
  </w:style>
  <w:style w:styleId="Sadraj4" w:type="paragraph">
    <w:name w:val="toc 4"/>
    <w:basedOn w:val="Normal"/>
    <w:next w:val="Normal"/>
    <w:autoRedefine/>
    <w:uiPriority w:val="99"/>
    <w:semiHidden/>
    <w:unhideWhenUsed/>
    <w:rsid w:val="00551CB3"/>
    <w:pPr>
      <w:spacing w:after="100" w:line="240" w:lineRule="auto"/>
      <w:ind w:left="720"/>
    </w:pPr>
    <w:rPr>
      <w:rFonts w:ascii="Times New Roman" w:cstheme="minorBidi" w:eastAsiaTheme="minorHAnsi" w:hAnsi="Times New Roman"/>
      <w:sz w:val="24"/>
      <w:szCs w:val="24"/>
    </w:rPr>
  </w:style>
  <w:style w:styleId="Sadraj5" w:type="paragraph">
    <w:name w:val="toc 5"/>
    <w:basedOn w:val="Normal"/>
    <w:next w:val="Normal"/>
    <w:autoRedefine/>
    <w:uiPriority w:val="99"/>
    <w:semiHidden/>
    <w:unhideWhenUsed/>
    <w:rsid w:val="00551CB3"/>
    <w:pPr>
      <w:spacing w:after="100" w:line="240" w:lineRule="auto"/>
      <w:ind w:left="960"/>
    </w:pPr>
    <w:rPr>
      <w:rFonts w:ascii="Times New Roman" w:cstheme="minorBidi" w:eastAsiaTheme="minorHAnsi" w:hAnsi="Times New Roman"/>
      <w:sz w:val="24"/>
      <w:szCs w:val="24"/>
    </w:rPr>
  </w:style>
  <w:style w:styleId="Sadraj6" w:type="paragraph">
    <w:name w:val="toc 6"/>
    <w:basedOn w:val="Normal"/>
    <w:next w:val="Normal"/>
    <w:autoRedefine/>
    <w:uiPriority w:val="99"/>
    <w:semiHidden/>
    <w:unhideWhenUsed/>
    <w:rsid w:val="00551CB3"/>
    <w:pPr>
      <w:spacing w:after="100" w:line="240" w:lineRule="auto"/>
      <w:ind w:left="1200"/>
    </w:pPr>
    <w:rPr>
      <w:rFonts w:ascii="Times New Roman" w:cstheme="minorBidi" w:eastAsiaTheme="minorHAnsi" w:hAnsi="Times New Roman"/>
      <w:sz w:val="24"/>
      <w:szCs w:val="24"/>
    </w:rPr>
  </w:style>
  <w:style w:styleId="Sadraj7" w:type="paragraph">
    <w:name w:val="toc 7"/>
    <w:basedOn w:val="Normal"/>
    <w:next w:val="Normal"/>
    <w:autoRedefine/>
    <w:uiPriority w:val="99"/>
    <w:semiHidden/>
    <w:unhideWhenUsed/>
    <w:rsid w:val="00551CB3"/>
    <w:pPr>
      <w:spacing w:after="100" w:line="240" w:lineRule="auto"/>
      <w:ind w:left="1440"/>
    </w:pPr>
    <w:rPr>
      <w:rFonts w:ascii="Times New Roman" w:cstheme="minorBidi" w:eastAsiaTheme="minorHAnsi" w:hAnsi="Times New Roman"/>
      <w:sz w:val="24"/>
      <w:szCs w:val="24"/>
    </w:rPr>
  </w:style>
  <w:style w:styleId="Sadraj8" w:type="paragraph">
    <w:name w:val="toc 8"/>
    <w:basedOn w:val="Normal"/>
    <w:next w:val="Normal"/>
    <w:autoRedefine/>
    <w:uiPriority w:val="99"/>
    <w:semiHidden/>
    <w:unhideWhenUsed/>
    <w:rsid w:val="00551CB3"/>
    <w:pPr>
      <w:spacing w:after="100" w:line="240" w:lineRule="auto"/>
      <w:ind w:left="1680"/>
    </w:pPr>
    <w:rPr>
      <w:rFonts w:ascii="Times New Roman" w:cstheme="minorBidi" w:eastAsiaTheme="minorHAnsi" w:hAnsi="Times New Roman"/>
      <w:sz w:val="24"/>
      <w:szCs w:val="24"/>
    </w:rPr>
  </w:style>
  <w:style w:styleId="Sadraj9" w:type="paragraph">
    <w:name w:val="toc 9"/>
    <w:basedOn w:val="Normal"/>
    <w:next w:val="Normal"/>
    <w:autoRedefine/>
    <w:uiPriority w:val="99"/>
    <w:semiHidden/>
    <w:unhideWhenUsed/>
    <w:rsid w:val="00551CB3"/>
    <w:pPr>
      <w:spacing w:after="100" w:line="240" w:lineRule="auto"/>
      <w:ind w:left="1920"/>
    </w:pPr>
    <w:rPr>
      <w:rFonts w:ascii="Times New Roman" w:cstheme="minorBidi" w:eastAsiaTheme="minorHAnsi" w:hAnsi="Times New Roman"/>
      <w:sz w:val="24"/>
      <w:szCs w:val="24"/>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ascii="Times New Roman" w:cstheme="minorBidi" w:eastAsiaTheme="minorHAnsi" w:hAnsi="Times New Roman"/>
      <w:sz w:val="20"/>
      <w:szCs w:val="24"/>
    </w:rPr>
  </w:style>
  <w:style w:customStyle="1" w:styleId="IzvornikNacrt" w:type="paragraph">
    <w:name w:val="Izvornik_Nacrt"/>
    <w:basedOn w:val="Normal"/>
    <w:link w:val="IzvornikNacrtChar"/>
    <w:qFormat/>
    <w:rsid w:val="00EB0D4C"/>
    <w:pPr>
      <w:keepNext/>
      <w:spacing w:after="0" w:line="240" w:lineRule="auto"/>
    </w:pPr>
    <w:rPr>
      <w:rFonts w:ascii="Times New Roman" w:hAnsi="Times New Roman"/>
      <w:noProof/>
      <w:color w:val="000000"/>
      <w:sz w:val="24"/>
      <w:szCs w:val="24"/>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ascii="Times New Roman" w:hAnsi="Times New Roman"/>
      <w:noProof/>
      <w:color w:val="000000"/>
      <w:sz w:val="24"/>
      <w:szCs w:val="24"/>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ascii="Times New Roman" w:hAnsi="Times New Roman"/>
      <w:noProof/>
      <w:color w:val="000000"/>
      <w:sz w:val="24"/>
      <w:szCs w:val="24"/>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ascii="Times New Roman" w:cstheme="minorBidi" w:eastAsiaTheme="minorHAnsi" w:hAnsi="Times New Roman"/>
      <w:noProof/>
      <w:sz w:val="24"/>
      <w:szCs w:val="24"/>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ascii="Times New Roman" w:hAnsi="Times New Roman"/>
      <w:color w:val="000000"/>
      <w:sz w:val="24"/>
      <w:szCs w:val="24"/>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ascii="Times New Roman" w:hAnsi="Times New Roman"/>
      <w:noProof/>
      <w:color w:val="000000"/>
      <w:sz w:val="24"/>
      <w:szCs w:val="24"/>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ascii="Times New Roman" w:cstheme="minorBidi" w:eastAsiaTheme="minorHAnsi" w:hAnsi="Times New Roman"/>
      <w:sz w:val="24"/>
      <w:szCs w:val="24"/>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ascii="Times New Roman" w:cstheme="minorBidi" w:eastAsiaTheme="minorHAnsi" w:hAnsi="Times New Roman"/>
      <w:sz w:val="24"/>
      <w:szCs w:val="24"/>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CC3D32"/>
    <w:pPr>
      <w:spacing w:after="0" w:line="240" w:lineRule="auto"/>
      <w:jc w:val="both"/>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83839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87414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St-152/2014-77</izvorni_sadrzaj>
    <derivirana_varijabla naziv="DomainObject.Oznaka_1">St-152/2014-77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2014.</izvorni_sadrzaj>
    <derivirana_varijabla naziv="DomainObject.Predmet.DatumOsnivanja_1">30.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St-152/2014</izvorni_sadrzaj>
    <derivirana_varijabla naziv="DomainObject.Predmet.OznakaBroj_1">St-152/2014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ARKADA d.o.o. za građevinarstvo, trgovinu, ugostiteljstvo</izvorni_sadrzaj>
    <derivirana_varijabla naziv="DomainObject.Predmet.ProtustrankaFormated_1">  ARKADA d.o.o. za građevinarstvo, trgovinu, ugostiteljstvo</derivirana_varijabla>
  </DomainObject.Predmet.ProtustrankaFormated>
  <DomainObject.Predmet.ProtustrankaFormatedOIB>
    <izvorni_sadrzaj>  ARKADA d.o.o. za građevinarstvo, trgovinu, ugostiteljstvo, OIB 24031642606</izvorni_sadrzaj>
    <derivirana_varijabla naziv="DomainObject.Predmet.ProtustrankaFormatedOIB_1">  ARKADA d.o.o. za građevinarstvo, trgovinu, ugostiteljstvo, OIB 24031642606</derivirana_varijabla>
  </DomainObject.Predmet.ProtustrankaFormatedOIB>
  <DomainObject.Predmet.ProtustrankaFormatedWithAdress>
    <izvorni_sadrzaj> ARKADA d.o.o. za građevinarstvo, trgovinu, ugostiteljstvo, Varaždinska 205, 42209 Sračinec</izvorni_sadrzaj>
    <derivirana_varijabla naziv="DomainObject.Predmet.ProtustrankaFormatedWithAdress_1"> ARKADA d.o.o. za građevinarstvo, trgovinu, ugostiteljstvo, Varaždinska 205, 42209 Sračinec</derivirana_varijabla>
  </DomainObject.Predmet.ProtustrankaFormatedWithAdress>
  <DomainObject.Predmet.ProtustrankaFormatedWithAdressOIB>
    <izvorni_sadrzaj> ARKADA d.o.o. za građevinarstvo, trgovinu, ugostiteljstvo, OIB 24031642606, Varaždinska 205, 42209 Sračinec</izvorni_sadrzaj>
    <derivirana_varijabla naziv="DomainObject.Predmet.ProtustrankaFormatedWithAdressOIB_1"> ARKADA d.o.o. za građevinarstvo, trgovinu, ugostiteljstvo, OIB 24031642606, Varaždinska 205, 42209 Sračinec</derivirana_varijabla>
  </DomainObject.Predmet.ProtustrankaFormatedWithAdressOIB>
  <DomainObject.Predmet.ProtustrankaWithAdress>
    <izvorni_sadrzaj>ARKADA d.o.o. za građevinarstvo, trgovinu, ugostiteljstvo Varaždinska 205, 42209 Sračinec</izvorni_sadrzaj>
    <derivirana_varijabla naziv="DomainObject.Predmet.ProtustrankaWithAdress_1">ARKADA d.o.o. za građevinarstvo, trgovinu, ugostiteljstvo Varaždinska 205, 42209 Sračinec</derivirana_varijabla>
  </DomainObject.Predmet.ProtustrankaWithAdress>
  <DomainObject.Predmet.ProtustrankaWithAdressOIB>
    <izvorni_sadrzaj>ARKADA d.o.o. za građevinarstvo, trgovinu, ugostiteljstvo, OIB 24031642606, Varaždinska 205, 42209 Sračinec</izvorni_sadrzaj>
    <derivirana_varijabla naziv="DomainObject.Predmet.ProtustrankaWithAdressOIB_1">ARKADA d.o.o. za građevinarstvo, trgovinu, ugostiteljstvo, OIB 24031642606, Varaždinska 205, 42209 Sračinec</derivirana_varijabla>
  </DomainObject.Predmet.ProtustrankaWithAdressOIB>
  <DomainObject.Predmet.ProtustrankaNazivFormated>
    <izvorni_sadrzaj>ARKADA d.o.o. za građevinarstvo, trgovinu, ugostiteljstvo</izvorni_sadrzaj>
    <derivirana_varijabla naziv="DomainObject.Predmet.ProtustrankaNazivFormated_1">ARKADA d.o.o. za građevinarstvo, trgovinu, ugostiteljstvo</derivirana_varijabla>
  </DomainObject.Predmet.ProtustrankaNazivFormated>
  <DomainObject.Predmet.ProtustrankaNazivFormatedOIB>
    <izvorni_sadrzaj>ARKADA d.o.o. za građevinarstvo, trgovinu, ugostiteljstvo, OIB 24031642606</izvorni_sadrzaj>
    <derivirana_varijabla naziv="DomainObject.Predmet.ProtustrankaNazivFormatedOIB_1">ARKADA d.o.o. za građevinarstvo, trgovinu, ugostiteljstvo, OIB 24031642606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ARKADA d.o.o. za građevinarstvo, trgovinu, ugostiteljstvo</item>
    </izvorni_sadrzaj>
    <derivirana_varijabla naziv="DomainObject.Predmet.ProtuStrankaListFormated_1">
      <item>ARKADA d.o.o. za građevinarstvo, trgovinu, ugostiteljstvo</item>
    </derivirana_varijabla>
  </DomainObject.Predmet.ProtuStrankaListFormated>
  <DomainObject.Predmet.ProtuStrankaListFormatedOIB>
    <izvorni_sadrzaj>
      <item>ARKADA d.o.o. za građevinarstvo, trgovinu, ugostiteljstvo, OIB 24031642606</item>
    </izvorni_sadrzaj>
    <derivirana_varijabla naziv="DomainObject.Predmet.ProtuStrankaListFormatedOIB_1">
      <item>ARKADA d.o.o. za građevinarstvo, trgovinu, ugostiteljstvo, OIB 24031642606</item>
    </derivirana_varijabla>
  </DomainObject.Predmet.ProtuStrankaListFormatedOIB>
  <DomainObject.Predmet.ProtuStrankaListFormatedWithAdress>
    <izvorni_sadrzaj>
      <item>ARKADA d.o.o. za građevinarstvo, trgovinu, ugostiteljstvo, Varaždinska 205, 42209 Sračinec</item>
    </izvorni_sadrzaj>
    <derivirana_varijabla naziv="DomainObject.Predmet.ProtuStrankaListFormatedWithAdress_1">
      <item>ARKADA d.o.o. za građevinarstvo, trgovinu, ugostiteljstvo, Varaždinska 205, 42209 Sračinec</item>
    </derivirana_varijabla>
  </DomainObject.Predmet.ProtuStrankaListFormatedWithAdress>
  <DomainObject.Predmet.ProtuStrankaListFormatedWithAdressOIB>
    <izvorni_sadrzaj>
      <item>ARKADA d.o.o. za građevinarstvo, trgovinu, ugostiteljstvo, OIB 24031642606, Varaždinska 205, 42209 Sračinec</item>
    </izvorni_sadrzaj>
    <derivirana_varijabla naziv="DomainObject.Predmet.ProtuStrankaListFormatedWithAdressOIB_1">
      <item>ARKADA d.o.o. za građevinarstvo, trgovinu, ugostiteljstvo, OIB 24031642606, Varaždinska 205, 42209 Sračinec</item>
    </derivirana_varijabla>
  </DomainObject.Predmet.ProtuStrankaListFormatedWithAdressOIB>
  <DomainObject.Predmet.ProtuStrankaListNazivFormated>
    <izvorni_sadrzaj>
      <item>ARKADA d.o.o. za građevinarstvo, trgovinu, ugostiteljstvo</item>
    </izvorni_sadrzaj>
    <derivirana_varijabla naziv="DomainObject.Predmet.ProtuStrankaListNazivFormated_1">
      <item>ARKADA d.o.o. za građevinarstvo, trgovinu, ugostiteljstvo</item>
    </derivirana_varijabla>
  </DomainObject.Predmet.ProtuStrankaListNazivFormated>
  <DomainObject.Predmet.ProtuStrankaListNazivFormatedOIB>
    <izvorni_sadrzaj>
      <item>ARKADA d.o.o. za građevinarstvo, trgovinu, ugostiteljstvo, OIB 24031642606</item>
    </izvorni_sadrzaj>
    <derivirana_varijabla naziv="DomainObject.Predmet.ProtuStrankaListNazivFormatedOIB_1">
      <item>ARKADA d.o.o. za građevinarstvo, trgovinu, ugostiteljstvo, OIB 24031642606</item>
    </derivirana_varijabla>
  </DomainObject.Predmet.ProtuStrankaListNazivFormatedOIB>
  <DomainObject.Predmet.OstaliListFormated>
    <izvorni_sadrzaj>
      <item>Ivo Miličić</item>
      <item>DANIEL DEKOVIĆ</item>
      <item>B2  KAPITAL d.o.o. za poslovne usluge</item>
      <item>Mirjana Bogdanović Kamber, zamjenik ŽDO</item>
    </izvorni_sadrzaj>
    <derivirana_varijabla naziv="DomainObject.Predmet.OstaliListFormated_1">
      <item>Ivo Miličić</item>
      <item>DANIEL DEKOVIĆ</item>
      <item>B2  KAPITAL d.o.o. za poslovne usluge</item>
      <item>Mirjana Bogdanović Kamber, zamjenik ŽDO</item>
    </derivirana_varijabla>
  </DomainObject.Predmet.OstaliListFormated>
  <DomainObject.Predmet.OstaliListFormatedOIB>
    <izvorni_sadrzaj>
      <item>Ivo Miličić, OIB 16062664092</item>
      <item>DANIEL DEKOVIĆ, OIB 76292704973</item>
      <item>B2  KAPITAL d.o.o. za poslovne usluge, OIB 57509775367</item>
      <item>Mirjana Bogdanović Kamber, zamjenik ŽDO</item>
    </izvorni_sadrzaj>
    <derivirana_varijabla naziv="DomainObject.Predmet.OstaliListFormatedOIB_1">
      <item>Ivo Miličić, OIB 16062664092</item>
      <item>DANIEL DEKOVIĆ, OIB 76292704973</item>
      <item>B2  KAPITAL d.o.o. za poslovne usluge, OIB 57509775367</item>
      <item>Mirjana Bogdanović Kamber, zamjenik ŽDO</item>
    </derivirana_varijabla>
  </DomainObject.Predmet.OstaliListFormatedOIB>
  <DomainObject.Predmet.OstaliListFormatedWithAdress>
    <izvorni_sadrzaj>
      <item>Ivo Miličić, Varaždinska 205, 42209 Sračinec</item>
      <item>DANIEL DEKOVIĆ</item>
      <item>B2  KAPITAL d.o.o. za poslovne usluge, Radnička cesta 41, 10000 Zagreb</item>
      <item>Mirjana Bogdanović Kamber, zamjenik ŽDO</item>
    </izvorni_sadrzaj>
    <derivirana_varijabla naziv="DomainObject.Predmet.OstaliListFormatedWithAdress_1">
      <item>Ivo Miličić, Varaždinska 205, 42209 Sračinec</item>
      <item>DANIEL DEKOVIĆ</item>
      <item>B2  KAPITAL d.o.o. za poslovne usluge, Radnička cesta 41, 10000 Zagreb</item>
      <item>Mirjana Bogdanović Kamber, zamjenik ŽDO</item>
    </derivirana_varijabla>
  </DomainObject.Predmet.OstaliListFormatedWithAdress>
  <DomainObject.Predmet.OstaliListFormatedWithAdressOIB>
    <izvorni_sadrzaj>
      <item>Ivo Miličić, OIB 16062664092, Varaždinska 205, 42209 Sračinec</item>
      <item>DANIEL DEKOVIĆ, OIB 76292704973</item>
      <item>B2  KAPITAL d.o.o. za poslovne usluge, OIB 57509775367, Radnička cesta 41, 10000 Zagreb</item>
      <item>Mirjana Bogdanović Kamber, zamjenik ŽDO</item>
    </izvorni_sadrzaj>
    <derivirana_varijabla naziv="DomainObject.Predmet.OstaliListFormatedWithAdressOIB_1">
      <item>Ivo Miličić, OIB 16062664092, Varaždinska 205, 42209 Sračinec</item>
      <item>DANIEL DEKOVIĆ, OIB 76292704973</item>
      <item>B2  KAPITAL d.o.o. za poslovne usluge, OIB 57509775367, Radnička cesta 41, 10000 Zagreb</item>
      <item>Mirjana Bogdanović Kamber, zamjenik ŽDO</item>
    </derivirana_varijabla>
  </DomainObject.Predmet.OstaliListFormatedWithAdressOIB>
  <DomainObject.Predmet.OstaliListNazivFormated>
    <izvorni_sadrzaj>
      <item>Ivo Miličić</item>
      <item>DANIEL DEKOVIĆ</item>
      <item>B2  KAPITAL d.o.o. za poslovne usluge</item>
      <item>Mirjana Bogdanović Kamber, zamjenik ŽDO</item>
    </izvorni_sadrzaj>
    <derivirana_varijabla naziv="DomainObject.Predmet.OstaliListNazivFormated_1">
      <item>Ivo Miličić</item>
      <item>DANIEL DEKOVIĆ</item>
      <item>B2  KAPITAL d.o.o. za poslovne usluge</item>
      <item>Mirjana Bogdanović Kamber, zamjenik ŽDO</item>
    </derivirana_varijabla>
  </DomainObject.Predmet.OstaliListNazivFormated>
  <DomainObject.Predmet.OstaliListNazivFormatedOIB>
    <izvorni_sadrzaj>
      <item>Ivo Miličić, OIB 16062664092</item>
      <item>DANIEL DEKOVIĆ, OIB 76292704973</item>
      <item>B2  KAPITAL d.o.o. za poslovne usluge, OIB 57509775367</item>
      <item>Mirjana Bogdanović Kamber, zamjenik ŽDO</item>
    </izvorni_sadrzaj>
    <derivirana_varijabla naziv="DomainObject.Predmet.OstaliListNazivFormatedOIB_1">
      <item>Ivo Miličić, OIB 16062664092</item>
      <item>DANIEL DEKOVIĆ, OIB 76292704973</item>
      <item>B2  KAPITAL d.o.o. za poslovne usluge, OIB 57509775367</item>
      <item>Mirjana Bogdanović Kamber,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St-152/2014-77</izvorni_sadrzaj>
    <derivirana_varijabla naziv="DomainObject.PoslovniBrojDokumenta_1">St-152/2014-77</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ARKADA d.o.o. za građevinarstvo, trgovinu, ugostiteljstvo</izvorni_sadrzaj>
    <derivirana_varijabla naziv="DomainObject.Predmet.ProtustrankaIDrugi_1">ARKADA d.o.o. za građevinarstvo, trgovinu, ugostiteljstvo</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ARKADA d.o.o. za građevinarstvo, trgovinu, ugostiteljstvo, OIB 24031642606, Varaždinska 205, 42209 Sračinec</izvorni_sadrzaj>
    <derivirana_varijabla naziv="DomainObject.Predmet.ProtustrankaIDrugiAdressOIB_1">ARKADA d.o.o. za građevinarstvo, trgovinu, ugostiteljstvo, OIB 24031642606, Varaždinska 205,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ARKADA d.o.o. za građevinarstvo, trgovinu, ugostiteljstvo</item>
      <item>Ivo Miličić</item>
      <item>DANIEL DEKOVIĆ</item>
      <item>B2  KAPITAL d.o.o. za poslovne usluge</item>
      <item>Mirjana Bogdanović Kamber, zamjenik ŽDO</item>
    </izvorni_sadrzaj>
    <derivirana_varijabla naziv="DomainObject.Predmet.SudioniciListNaziv_1">
      <item>FINA ZAGREB</item>
      <item>ARKADA d.o.o. za građevinarstvo, trgovinu, ugostiteljstvo</item>
      <item>Ivo Miličić</item>
      <item>DANIEL DEKOVIĆ</item>
      <item>B2  KAPITAL d.o.o. za poslovne usluge</item>
      <item>Mirjana Bogdanović Kamber, zamjenik ŽDO</item>
    </derivirana_varijabla>
  </DomainObject.Predmet.SudioniciListNaziv>
  <DomainObject.Predmet.SudioniciListAdressOIB>
    <izvorni_sadrzaj>
      <item>FINA ZAGREB, OIB 85821130368, ILICA 307,10000 Zagreb</item>
      <item>ARKADA d.o.o. za građevinarstvo, trgovinu, ugostiteljstvo, OIB 24031642606, Varaždinska 205,42209 Sračinec</item>
      <item>Ivo Miličić, OIB 16062664092, Varaždinska 205,42209 Sračinec</item>
      <item>DANIEL DEKOVIĆ, OIB 76292704973</item>
      <item>B2  KAPITAL d.o.o. za poslovne usluge, OIB 57509775367, Radnička cesta 41,10000 Zagreb</item>
      <item>Mirjana Bogdanović Kamber, zamjenik ŽDO</item>
    </izvorni_sadrzaj>
    <derivirana_varijabla naziv="DomainObject.Predmet.SudioniciListAdressOIB_1">
      <item>FINA ZAGREB, OIB 85821130368, ILICA 307,10000 Zagreb</item>
      <item>ARKADA d.o.o. za građevinarstvo, trgovinu, ugostiteljstvo, OIB 24031642606, Varaždinska 205,42209 Sračinec</item>
      <item>Ivo Miličić, OIB 16062664092, Varaždinska 205,42209 Sračinec</item>
      <item>DANIEL DEKOVIĆ, OIB 76292704973</item>
      <item>B2  KAPITAL d.o.o. za poslovne usluge, OIB 57509775367, Radnička cesta 41,10000 Zagreb</item>
      <item>Mirjana Bogdanović Kamber,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574D8-9BE2-49F0-8409-E8FAEBB253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1251</properties:Words>
  <properties:Characters>6729</properties:Characters>
  <properties:Lines>133</properties:Lines>
  <properties:Paragraphs>32</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8205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2018-03-23T14:09:00Z</cp:lastPrinted>
  <dcterms:modified xmlns:xsi="http://www.w3.org/2001/XMLSchema-instance" xsi:type="dcterms:W3CDTF">2018-03-23T14:09:00Z</dcterms:modified>
  <cp:revision>58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St-152/2014-77 / Odluka - Rješenje - određivanje nagrade stečajnom upravitelju (odluka_St-152_2014-77.docx)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