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cde4" w14:paraId="7b3cde4" w:rsidRDefault="00AB4602" w:rsidP="00E00CE2" w:rsidR="00E00CE2">
      <w:pPr>
        <w:pStyle w:val="NormaleSPIS"/>
        <w:ind w:firstLine="0"/>
        <w15:collapsed w:val="false"/>
        <w:rPr>
          <w:rFonts w:cs="Calibri" w:hAnsi="Calibri" w:ascii="Calibri"/>
          <w:sz w:val="21"/>
          <w:szCs w:val="21"/>
          <w:lang w:val="en-US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00CE2">
        <w:rPr>
          <w:rFonts w:cs="Calibri" w:hAnsi="Calibri" w:ascii="Calibri"/>
          <w:sz w:val="21"/>
          <w:szCs w:val="21"/>
          <w:lang w:val="en-US"/>
        </w:rPr>
        <w:t>Stečajna</w:t>
      </w:r>
      <w:proofErr w:type="spellEnd"/>
      <w:r w:rsidR="00E00CE2">
        <w:rPr>
          <w:rFonts w:cs="Calibri" w:hAnsi="Calibri" w:ascii="Calibri"/>
          <w:sz w:val="21"/>
          <w:szCs w:val="21"/>
          <w:lang w:val="en-US"/>
        </w:rPr>
        <w:t xml:space="preserve"> masa </w:t>
      </w:r>
      <w:proofErr w:type="spellStart"/>
      <w:r w:rsidR="00E00CE2">
        <w:rPr>
          <w:rFonts w:cs="Calibri" w:hAnsi="Calibri" w:ascii="Calibri"/>
          <w:sz w:val="21"/>
          <w:szCs w:val="21"/>
          <w:lang w:val="en-US"/>
        </w:rPr>
        <w:t>iza</w:t>
      </w:r>
      <w:proofErr w:type="spellEnd"/>
      <w:r w:rsidR="00E00CE2">
        <w:rPr>
          <w:rFonts w:cs="Calibri" w:hAnsi="Calibri" w:ascii="Calibri"/>
          <w:sz w:val="21"/>
          <w:szCs w:val="21"/>
          <w:lang w:val="en-US"/>
        </w:rPr>
        <w:t xml:space="preserve"> ET </w:t>
      </w:r>
      <w:proofErr w:type="spellStart"/>
      <w:r w:rsidR="00E00CE2">
        <w:rPr>
          <w:rFonts w:cs="Calibri" w:hAnsi="Calibri" w:ascii="Calibri"/>
          <w:sz w:val="21"/>
          <w:szCs w:val="21"/>
          <w:lang w:val="en-US"/>
        </w:rPr>
        <w:t>d.o.o</w:t>
      </w:r>
      <w:proofErr w:type="spellEnd"/>
      <w:r w:rsidR="00E00CE2">
        <w:rPr>
          <w:rFonts w:cs="Calibri" w:hAnsi="Calibri" w:ascii="Calibri"/>
          <w:sz w:val="21"/>
          <w:szCs w:val="21"/>
          <w:lang w:val="en-US"/>
        </w:rPr>
        <w:t xml:space="preserve">. u </w:t>
      </w:r>
      <w:proofErr w:type="spellStart"/>
      <w:r w:rsidR="00E00CE2">
        <w:rPr>
          <w:rFonts w:cs="Calibri" w:hAnsi="Calibri" w:ascii="Calibri"/>
          <w:sz w:val="21"/>
          <w:szCs w:val="21"/>
          <w:lang w:val="en-US"/>
        </w:rPr>
        <w:t>stečaju</w:t>
      </w:r>
      <w:proofErr w:type="spellEnd"/>
    </w:p>
    <w:p w:rsidRDefault="00E00CE2" w:rsidP="00E00CE2" w:rsidR="00E00CE2">
      <w:pPr>
        <w:overflowPunct w:val="false"/>
        <w:autoSpaceDE w:val="false"/>
        <w:jc w:val="both"/>
        <w:textAlignment w:val="baseline"/>
        <w:rPr>
          <w:rFonts w:cs="Calibri" w:eastAsia="Andale Sans UI" w:hAnsi="Calibri" w:ascii="Calibri"/>
          <w:sz w:val="21"/>
          <w:szCs w:val="21"/>
        </w:rPr>
      </w:pPr>
      <w:r>
        <w:rPr>
          <w:rFonts w:cs="Calibri" w:eastAsia="Times New Roman" w:hAnsi="Calibri" w:ascii="Calibri"/>
          <w:sz w:val="21"/>
          <w:szCs w:val="21"/>
          <w:lang w:val="en-US"/>
        </w:rPr>
        <w:t xml:space="preserve">Sveta </w:t>
      </w:r>
      <w:proofErr w:type="spellStart"/>
      <w:r>
        <w:rPr>
          <w:rFonts w:cs="Calibri" w:eastAsia="Times New Roman" w:hAnsi="Calibri" w:ascii="Calibri"/>
          <w:sz w:val="21"/>
          <w:szCs w:val="21"/>
          <w:lang w:val="en-US"/>
        </w:rPr>
        <w:t>Nedelja</w:t>
      </w:r>
      <w:proofErr w:type="spellEnd"/>
      <w:r>
        <w:rPr>
          <w:rFonts w:cs="Calibri" w:eastAsia="Times New Roman" w:hAnsi="Calibri" w:ascii="Calibri"/>
          <w:sz w:val="21"/>
          <w:szCs w:val="21"/>
          <w:lang w:val="en-US"/>
        </w:rPr>
        <w:t xml:space="preserve">, </w:t>
      </w:r>
      <w:proofErr w:type="spellStart"/>
      <w:r>
        <w:rPr>
          <w:rFonts w:cs="Calibri" w:eastAsia="Times New Roman" w:hAnsi="Calibri" w:ascii="Calibri"/>
          <w:sz w:val="21"/>
          <w:szCs w:val="21"/>
          <w:lang w:val="en-US"/>
        </w:rPr>
        <w:t>Srebrnjak</w:t>
      </w:r>
      <w:proofErr w:type="spellEnd"/>
      <w:r>
        <w:rPr>
          <w:rFonts w:cs="Calibri" w:eastAsia="Times New Roman" w:hAnsi="Calibri" w:ascii="Calibri"/>
          <w:sz w:val="21"/>
          <w:szCs w:val="21"/>
          <w:lang w:val="en-US"/>
        </w:rPr>
        <w:t xml:space="preserve"> 20B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OIB:23771591469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IBAN:</w:t>
      </w:r>
      <w:r>
        <w:rPr>
          <w:rStyle w:val="tabletextfield"/>
          <w:rFonts w:cs="Calibri" w:hAnsi="Calibri" w:ascii="Calibri"/>
          <w:sz w:val="21"/>
          <w:szCs w:val="21"/>
          <w:lang w:val="pl-PL"/>
        </w:rPr>
        <w:t>HR6324000081110355595</w:t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ab/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Sveta </w:t>
      </w:r>
      <w:proofErr w:type="spellStart"/>
      <w:r>
        <w:rPr>
          <w:rFonts w:cs="Calibri" w:hAnsi="Calibri" w:ascii="Calibri"/>
          <w:sz w:val="21"/>
          <w:szCs w:val="21"/>
        </w:rPr>
        <w:t>Nedelja</w:t>
      </w:r>
      <w:proofErr w:type="spellEnd"/>
      <w:r>
        <w:rPr>
          <w:rFonts w:cs="Calibri" w:hAnsi="Calibri" w:ascii="Calibri"/>
          <w:sz w:val="21"/>
          <w:szCs w:val="21"/>
        </w:rPr>
        <w:t>,  6. listopada 2017.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b/>
          <w:bCs/>
          <w:sz w:val="21"/>
          <w:szCs w:val="21"/>
        </w:rPr>
      </w:pPr>
    </w:p>
    <w:p w:rsidRDefault="00E00CE2" w:rsidP="00E00CE2" w:rsidR="00E00CE2">
      <w:pPr>
        <w:jc w:val="right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St-316/2015</w:t>
      </w:r>
    </w:p>
    <w:p w:rsidRDefault="00E00CE2" w:rsidP="00E00CE2" w:rsidR="00E00CE2">
      <w:pPr>
        <w:jc w:val="both"/>
        <w:rPr>
          <w:rFonts w:cs="Calibri" w:eastAsia="Times New Roman" w:hAnsi="Calibri" w:ascii="Calibri"/>
          <w:sz w:val="21"/>
          <w:szCs w:val="21"/>
          <w:lang w:eastAsia="hr-HR"/>
        </w:rPr>
      </w:pPr>
      <w:r>
        <w:rPr>
          <w:rFonts w:cs="Calibri" w:hAnsi="Calibri" w:ascii="Calibri"/>
          <w:sz w:val="21"/>
          <w:szCs w:val="21"/>
        </w:rPr>
        <w:t>TRGOVAČKI SUD U BJELOVARU</w:t>
      </w:r>
    </w:p>
    <w:p w:rsidRDefault="00E00CE2" w:rsidP="00E00CE2" w:rsidR="00E00CE2">
      <w:pPr>
        <w:jc w:val="both"/>
        <w:rPr>
          <w:rFonts w:cs="Calibri" w:eastAsia="Times New Roman" w:hAnsi="Calibri" w:ascii="Calibri"/>
          <w:sz w:val="21"/>
          <w:szCs w:val="21"/>
          <w:lang w:eastAsia="hr-HR"/>
        </w:rPr>
      </w:pPr>
      <w:r>
        <w:rPr>
          <w:rFonts w:cs="Calibri" w:eastAsia="Times New Roman" w:hAnsi="Calibri" w:ascii="Calibri"/>
          <w:sz w:val="21"/>
          <w:szCs w:val="21"/>
          <w:lang w:eastAsia="hr-HR"/>
        </w:rPr>
        <w:t>43000 BJELOVAR</w:t>
      </w:r>
    </w:p>
    <w:p w:rsidRDefault="00E00CE2" w:rsidP="00E00CE2" w:rsidR="00E00CE2">
      <w:pPr>
        <w:jc w:val="both"/>
        <w:rPr>
          <w:rFonts w:cs="Calibri" w:eastAsia="Andale Sans UI" w:hAnsi="Calibri" w:ascii="Calibri"/>
          <w:sz w:val="21"/>
          <w:szCs w:val="21"/>
          <w:lang w:eastAsia="zh-CN"/>
        </w:rPr>
      </w:pPr>
      <w:r>
        <w:rPr>
          <w:rFonts w:cs="Calibri" w:eastAsia="Times New Roman" w:hAnsi="Calibri" w:ascii="Calibri"/>
          <w:sz w:val="21"/>
          <w:szCs w:val="21"/>
          <w:lang w:eastAsia="hr-HR"/>
        </w:rPr>
        <w:t xml:space="preserve">Šetalište dr. </w:t>
      </w:r>
      <w:proofErr w:type="spellStart"/>
      <w:r>
        <w:rPr>
          <w:rFonts w:cs="Calibri" w:eastAsia="Times New Roman" w:hAnsi="Calibri" w:ascii="Calibri"/>
          <w:sz w:val="21"/>
          <w:szCs w:val="21"/>
          <w:lang w:eastAsia="hr-HR"/>
        </w:rPr>
        <w:t>Ivše</w:t>
      </w:r>
      <w:proofErr w:type="spellEnd"/>
      <w:r>
        <w:rPr>
          <w:rFonts w:cs="Calibri" w:eastAsia="Times New Roman" w:hAnsi="Calibri" w:ascii="Calibri"/>
          <w:sz w:val="21"/>
          <w:szCs w:val="21"/>
          <w:lang w:eastAsia="hr-HR"/>
        </w:rPr>
        <w:t xml:space="preserve"> </w:t>
      </w:r>
      <w:proofErr w:type="spellStart"/>
      <w:r>
        <w:rPr>
          <w:rFonts w:cs="Calibri" w:eastAsia="Times New Roman" w:hAnsi="Calibri" w:ascii="Calibri"/>
          <w:sz w:val="21"/>
          <w:szCs w:val="21"/>
          <w:lang w:eastAsia="hr-HR"/>
        </w:rPr>
        <w:t>Lebovića</w:t>
      </w:r>
      <w:proofErr w:type="spellEnd"/>
      <w:r>
        <w:rPr>
          <w:rFonts w:cs="Calibri" w:eastAsia="Times New Roman" w:hAnsi="Calibri" w:ascii="Calibri"/>
          <w:sz w:val="21"/>
          <w:szCs w:val="21"/>
          <w:lang w:eastAsia="hr-HR"/>
        </w:rPr>
        <w:t xml:space="preserve"> 42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eastAsia="Times New Roman" w:hAnsi="Calibri" w:ascii="Calibri"/>
          <w:sz w:val="21"/>
          <w:szCs w:val="21"/>
          <w:lang w:eastAsia="hr-HR"/>
        </w:rPr>
        <w:t>STEČAJNI SUDAC</w:t>
      </w:r>
    </w:p>
    <w:p w:rsidRDefault="00E00CE2" w:rsidP="00E00CE2" w:rsidR="00E00CE2">
      <w:pPr>
        <w:jc w:val="center"/>
        <w:rPr>
          <w:rFonts w:cs="Calibri" w:hAnsi="Calibri" w:ascii="Calibri"/>
          <w:sz w:val="21"/>
          <w:szCs w:val="21"/>
        </w:rPr>
      </w:pPr>
      <w:r>
        <w:rPr>
          <w:rFonts w:cs="Calibri" w:eastAsia="Calibri" w:hAnsi="Calibri" w:ascii="Calibri"/>
          <w:sz w:val="21"/>
          <w:szCs w:val="21"/>
        </w:rPr>
        <w:t xml:space="preserve">  </w:t>
      </w:r>
      <w:r>
        <w:rPr>
          <w:rFonts w:cs="Calibri" w:hAnsi="Calibri" w:ascii="Calibri"/>
          <w:sz w:val="21"/>
          <w:szCs w:val="21"/>
        </w:rPr>
        <w:t xml:space="preserve">IZVJEŠĆE STEČAJNOG UPRAVITELJA </w:t>
      </w:r>
    </w:p>
    <w:p w:rsidRDefault="00E00CE2" w:rsidP="00E00CE2" w:rsidR="00E00CE2">
      <w:pPr>
        <w:jc w:val="center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O GOSPODARSKOM POLOŽAJU STEČAJNE MASE BRISANOG DUŽNIKA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Tijek stečajnog postupka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eastAsia="Times New Roman" w:hAnsi="Calibri" w:ascii="Calibri"/>
          <w:sz w:val="21"/>
          <w:szCs w:val="21"/>
          <w:lang w:eastAsia="hr-HR"/>
        </w:rPr>
        <w:t>Po zahtjevu FINE za provedbu skraćenog stečajnog postupka nad dužnikom, ovaj je sud temeljem odredbe čl. 430., 431. i 434. Stečajnog zakona ("Narodne novine" broj 71/15 – dalje: SZ) oglasom poslovni broj St-316/2015-2.,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00CE2" w:rsidP="00E00CE2" w:rsidR="00E00CE2">
      <w:pPr>
        <w:pStyle w:val="NoSpacing"/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Rješenjem ovoga suda od 5. veljače 2016., poslovni broj St-316/15-3 otvoren je i zaključen stečajni postupak nad stečajnim dužnikom ET d.o.o. za proizvodnju, trgovinu i usluge iz Bjelovara, A. Kačića Miošića 24, OIB: 20885401636, za stečajnog upravitelja imenovan je Milan </w:t>
      </w:r>
      <w:proofErr w:type="spellStart"/>
      <w:r>
        <w:rPr>
          <w:rFonts w:cs="Calibri" w:hAnsi="Calibri" w:ascii="Calibri"/>
          <w:sz w:val="21"/>
          <w:szCs w:val="21"/>
        </w:rPr>
        <w:t>Bariša</w:t>
      </w:r>
      <w:proofErr w:type="spellEnd"/>
      <w:r>
        <w:rPr>
          <w:rFonts w:cs="Calibri" w:hAnsi="Calibri" w:ascii="Calibri"/>
          <w:sz w:val="21"/>
          <w:szCs w:val="21"/>
        </w:rPr>
        <w:t xml:space="preserve"> Obradović iz Svete </w:t>
      </w:r>
      <w:proofErr w:type="spellStart"/>
      <w:r>
        <w:rPr>
          <w:rFonts w:cs="Calibri" w:hAnsi="Calibri" w:ascii="Calibri"/>
          <w:sz w:val="21"/>
          <w:szCs w:val="21"/>
        </w:rPr>
        <w:t>Nedelje</w:t>
      </w:r>
      <w:proofErr w:type="spellEnd"/>
      <w:r>
        <w:rPr>
          <w:rFonts w:cs="Calibri" w:hAnsi="Calibri" w:ascii="Calibri"/>
          <w:sz w:val="21"/>
          <w:szCs w:val="21"/>
        </w:rPr>
        <w:t>, te je naloženo brisanje stečajnog dužnika nakon pravomoćnosti tog rješenja.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Dužnik je po pravomoćnosti ovoga Rješenja, a koje je  postalo pravomoćno 10. ožujka 2016., brisan iz </w:t>
      </w:r>
      <w:proofErr w:type="spellStart"/>
      <w:r>
        <w:rPr>
          <w:rFonts w:cs="Calibri" w:hAnsi="Calibri" w:ascii="Calibri"/>
          <w:sz w:val="21"/>
          <w:szCs w:val="21"/>
        </w:rPr>
        <w:t>ovosudnog</w:t>
      </w:r>
      <w:proofErr w:type="spellEnd"/>
      <w:r>
        <w:rPr>
          <w:rFonts w:cs="Calibri" w:hAnsi="Calibri" w:ascii="Calibri"/>
          <w:sz w:val="21"/>
          <w:szCs w:val="21"/>
        </w:rPr>
        <w:t xml:space="preserve"> registra.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Stečajni je upravitelj  dostavio ovome sudu 27. ožujka 2017. prijedlog radi upisa stečajne mase u sudski registar, budući je utvrdio uvidom u zemljišne knjige da stečajni dužnik ima u vlasništvu nekretninu (poslovni prostor u Bjelovaru) i predložio je njeno unovčenje, radi čega je predložio da sud nastavi postupak u odnosu na stečajnu masu.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Rješenjem </w:t>
      </w:r>
      <w:r>
        <w:rPr>
          <w:rFonts w:cs="Calibri" w:eastAsia="Times New Roman" w:hAnsi="Calibri" w:ascii="Calibri"/>
          <w:sz w:val="21"/>
          <w:szCs w:val="21"/>
          <w:lang w:eastAsia="hr-HR"/>
        </w:rPr>
        <w:t xml:space="preserve">Trgovačkog suda u Bjelovaru </w:t>
      </w:r>
      <w:proofErr w:type="spellStart"/>
      <w:r>
        <w:rPr>
          <w:rFonts w:cs="Calibri" w:eastAsia="Times New Roman" w:hAnsi="Calibri" w:ascii="Calibri"/>
          <w:sz w:val="21"/>
          <w:szCs w:val="21"/>
          <w:lang w:eastAsia="hr-HR"/>
        </w:rPr>
        <w:t>posl</w:t>
      </w:r>
      <w:proofErr w:type="spellEnd"/>
      <w:r>
        <w:rPr>
          <w:rFonts w:cs="Calibri" w:eastAsia="Times New Roman" w:hAnsi="Calibri" w:ascii="Calibri"/>
          <w:sz w:val="21"/>
          <w:szCs w:val="21"/>
          <w:lang w:eastAsia="hr-HR"/>
        </w:rPr>
        <w:t>. broj 7 St-316/2015-10 dana 24. srpnja 2017. godine određen je nastavak stečajnoga postupka nad stečajnom masom brisanoga dužnika ET d.o.o. u stečaju Bjelovar, radi toga jer je pronađena imovina koja ulazi u stečajnu masu, te sam istim Rješenjem imenovan stečajnim upraviteljem stečajne mase.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Istim je Rješenjem ročište za ispitivanje prijavljenih tražbina vjerovnika zakazano kod Trgovačkog suda u Bjelovaru, Dr. I. </w:t>
      </w:r>
      <w:proofErr w:type="spellStart"/>
      <w:r>
        <w:rPr>
          <w:rFonts w:cs="Calibri" w:hAnsi="Calibri" w:ascii="Calibri"/>
          <w:sz w:val="21"/>
          <w:szCs w:val="21"/>
        </w:rPr>
        <w:t>Lebovića</w:t>
      </w:r>
      <w:proofErr w:type="spellEnd"/>
      <w:r>
        <w:rPr>
          <w:rFonts w:cs="Calibri" w:hAnsi="Calibri" w:ascii="Calibri"/>
          <w:sz w:val="21"/>
          <w:szCs w:val="21"/>
        </w:rPr>
        <w:t xml:space="preserve"> 42, za dan </w:t>
      </w:r>
      <w:r>
        <w:rPr>
          <w:rFonts w:cs="Calibri" w:hAnsi="Calibri" w:ascii="Calibri"/>
          <w:b/>
          <w:sz w:val="21"/>
          <w:szCs w:val="21"/>
        </w:rPr>
        <w:t>25. listopada 2017. u 9,00 sati</w:t>
      </w:r>
      <w:r>
        <w:rPr>
          <w:rFonts w:cs="Calibri" w:hAnsi="Calibri" w:ascii="Calibri"/>
          <w:sz w:val="21"/>
          <w:szCs w:val="21"/>
        </w:rPr>
        <w:t>, soba br. 2., te Izvještajno ročište zakazano istoga dana u 10,00 sati.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Osnovni podaci o brisanom stečajnom dužniku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Stečajni dužnik ET društvo s ograničenom odgovornošću za proizvodnju, trgovinu i usluge, Bjelovar,  A. Kačića Miošića 24 je dana 5. listopada 2000. upisano je u registar Trgovačkog suda u Bjelovaru MBS: 010045150, OIB:20885401636.  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Ovlaštena osoba društva do dana otvaranja stečaja:</w:t>
      </w:r>
    </w:p>
    <w:p w:rsidRDefault="00E00CE2" w:rsidP="00E00CE2" w:rsidR="00E00CE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Damir </w:t>
      </w:r>
      <w:proofErr w:type="spellStart"/>
      <w:r>
        <w:rPr>
          <w:rFonts w:cs="Calibri" w:hAnsi="Calibri" w:ascii="Calibri"/>
          <w:sz w:val="21"/>
          <w:szCs w:val="21"/>
        </w:rPr>
        <w:t>Dončević</w:t>
      </w:r>
      <w:proofErr w:type="spellEnd"/>
      <w:r>
        <w:rPr>
          <w:rFonts w:cs="Calibri" w:hAnsi="Calibri" w:ascii="Calibri"/>
          <w:sz w:val="21"/>
          <w:szCs w:val="21"/>
        </w:rPr>
        <w:t>, OIB: 35941254088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Bjelovar, ulica Andrije Hebranga 41/a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Stečajni dužnik bio </w:t>
      </w:r>
      <w:proofErr w:type="spellStart"/>
      <w:r>
        <w:rPr>
          <w:rFonts w:cs="Calibri" w:hAnsi="Calibri" w:ascii="Calibri"/>
          <w:sz w:val="21"/>
          <w:szCs w:val="21"/>
        </w:rPr>
        <w:t>jeregistriran</w:t>
      </w:r>
      <w:proofErr w:type="spellEnd"/>
      <w:r>
        <w:rPr>
          <w:rFonts w:cs="Calibri" w:hAnsi="Calibri" w:ascii="Calibri"/>
          <w:sz w:val="21"/>
          <w:szCs w:val="21"/>
        </w:rPr>
        <w:t xml:space="preserve"> za više raznolikih djelatnosti no glavna djelatnost do otvaranja stečaja bila je:  C 26.20 PROIZVODNJA RAČUNALA I PERIFERNE OPREME.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Dana 18.10.2016. zatvoren je glavni račun dužnika kod PRIVREDNA BANKA ZAGREB d.d. Zagreb, a prethodno je dana 8.2.2016. zatvoren račun dužnika kod ERSTE &amp; STEIERMÄRKISCHE BANK d.d. Rijeka.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Prema dostupnim javnim podacima Dužnik je uredno predavao financijska, statistička i porezna izvješća, te je bio u sustavu Poreza na dodanu vrijednost.</w:t>
      </w:r>
    </w:p>
    <w:p w:rsidRDefault="00E00CE2" w:rsidP="00E00CE2" w:rsidR="00E00CE2">
      <w:pPr>
        <w:jc w:val="both"/>
        <w:rPr>
          <w:rFonts w:cs="Calibri" w:hAnsi="Calibri" w:ascii="Calibri"/>
          <w:b/>
          <w:bCs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Dužnik  na dan otvaranja stečaja nije imao zaposlenih radnika.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Poduzete aktivnosti nakon nastavka stečajnoga postupka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Po primitku Rješenja Trgovačkog suda kojim sam imenovan stečajnim upraviteljem stečajne mase dužnika pristupio sam aktivnostima pronalaženja odgovorne osobe dužnika prije otvaranja stečaja i preuzimanja nekretnine u Bjelovaru koja čini stečajnu masu Dužnika.</w:t>
      </w:r>
    </w:p>
    <w:p w:rsidRDefault="00E00CE2" w:rsidP="00E00CE2" w:rsidR="00E00CE2">
      <w:pPr>
        <w:pStyle w:val="NoSpacing"/>
        <w:jc w:val="both"/>
        <w:rPr>
          <w:rFonts w:cs="Calibri" w:hAnsi="Calibri" w:ascii="Calibri"/>
          <w:color w:val="auto"/>
          <w:sz w:val="21"/>
          <w:szCs w:val="21"/>
        </w:rPr>
      </w:pPr>
      <w:r>
        <w:rPr>
          <w:rFonts w:cs="Calibri" w:hAnsi="Calibri" w:ascii="Calibri"/>
          <w:color w:val="auto"/>
          <w:sz w:val="21"/>
          <w:szCs w:val="21"/>
        </w:rPr>
        <w:t>Izrijekom II. spomenutog rješenja naloženo mi je, kao stečajnom upravitelju, da naknadno pronađenu imovinu, nekretninu i to:</w:t>
      </w:r>
    </w:p>
    <w:p w:rsidRDefault="00E00CE2" w:rsidP="00E00CE2" w:rsidR="00E00CE2">
      <w:pPr>
        <w:pStyle w:val="NoSpacing"/>
        <w:jc w:val="both"/>
        <w:rPr>
          <w:rFonts w:cs="Calibri" w:hAnsi="Calibri" w:ascii="Calibri"/>
          <w:color w:val="auto"/>
          <w:sz w:val="21"/>
          <w:szCs w:val="21"/>
        </w:rPr>
      </w:pPr>
      <w:r>
        <w:rPr>
          <w:rFonts w:cs="Calibri" w:hAnsi="Calibri" w:ascii="Calibri"/>
          <w:color w:val="auto"/>
          <w:sz w:val="21"/>
          <w:szCs w:val="21"/>
        </w:rPr>
        <w:t xml:space="preserve">- suvlasnički dio 9/1000 Etažno vlasništvo (E-3) Poslovni prostor P3 u prizemlju neto korisne površine 40,05 m2, s pripadajućim spremištem u podrumu neto površine 13,03 m2 a koji se nalazi u stambeno-poslovnoj građevini br. 24 podrum+P+2 u ulici </w:t>
      </w:r>
      <w:proofErr w:type="spellStart"/>
      <w:r>
        <w:rPr>
          <w:rFonts w:cs="Calibri" w:hAnsi="Calibri" w:ascii="Calibri"/>
          <w:color w:val="auto"/>
          <w:sz w:val="21"/>
          <w:szCs w:val="21"/>
        </w:rPr>
        <w:t>A.K</w:t>
      </w:r>
      <w:proofErr w:type="spellEnd"/>
      <w:r>
        <w:rPr>
          <w:rFonts w:cs="Calibri" w:hAnsi="Calibri" w:ascii="Calibri"/>
          <w:color w:val="auto"/>
          <w:sz w:val="21"/>
          <w:szCs w:val="21"/>
        </w:rPr>
        <w:t>. Miošića 24. u Bjelovaru, upisane u k.o. Grad Bjelovar kod Općinskog suda u Bjelovaru, Zemljišnoknjižni odjel Bjelovar, u k.o. Grad Bjelovar, zk.ul.br. 201, zkč.br. 2183.</w:t>
      </w:r>
    </w:p>
    <w:p w:rsidRDefault="00E00CE2" w:rsidP="00E00CE2" w:rsidR="00E00CE2">
      <w:pPr>
        <w:pStyle w:val="NoSpacing"/>
        <w:jc w:val="both"/>
        <w:rPr>
          <w:rFonts w:cs="Calibri" w:hAnsi="Calibri" w:ascii="Calibri"/>
          <w:color w:val="auto"/>
          <w:sz w:val="21"/>
          <w:szCs w:val="21"/>
        </w:rPr>
      </w:pPr>
    </w:p>
    <w:p w:rsidRDefault="00E00CE2" w:rsidP="00E00CE2" w:rsidR="00E00CE2">
      <w:pPr>
        <w:pStyle w:val="NoSpacing"/>
        <w:jc w:val="both"/>
        <w:rPr>
          <w:rFonts w:cs="Calibri" w:hAnsi="Calibri" w:ascii="Calibri"/>
          <w:color w:val="auto"/>
          <w:sz w:val="21"/>
          <w:szCs w:val="21"/>
        </w:rPr>
      </w:pPr>
      <w:r>
        <w:rPr>
          <w:rFonts w:cs="Calibri" w:hAnsi="Calibri" w:ascii="Calibri"/>
          <w:color w:val="auto"/>
          <w:sz w:val="21"/>
          <w:szCs w:val="21"/>
        </w:rPr>
        <w:lastRenderedPageBreak/>
        <w:t>pregledam, utvrdim u čijem je posjedu, zatim da utvrdim njenu vrijednost  i mogućnost unovčenja te da o tome podnesem pisano izvješće sudu u roku od 30 dana od dana primitka ovog rješenja.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Postupajući po nalogu suda, odmah sam po primitku rješenja stupio u kontakt s ovlaštenom osobom brisanoga dužnika do dana nastanka pravnih posljedica otvaranja stečaja, informirao se o situaciji oko predmetne nekretnine te dogovorio primopredaju, koju sam i obavio dana 9. kolovoza 2017. godine.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Kako se nekretnina do 24.07.2017. povremeno koristila od strane OBRTNIČKE ZADRUGE MOTIVI Bjelovar, Krste Frankopana 65 OIB:46724621780 ponudio sam im zakup iste do izvještajnog ročišta, što su i prihvatili za iznos zakupnine od 350,00 kuna mjesečno, o čemu je sastavljen ugovor o zakupu (dostavljen u sudski spis).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Po utvrđenju lokacije brojila i provjeri očitanih stanja, izdavateljima računa za režije dostavio sam odgovarajuće dopise za razgraničenje istih od 01. kolovoza 2017. godine.</w:t>
      </w:r>
    </w:p>
    <w:p w:rsidRDefault="00E00CE2" w:rsidP="00E00CE2" w:rsidR="00E00CE2">
      <w:pPr>
        <w:pStyle w:val="Tijeloteksta"/>
        <w:jc w:val="both"/>
        <w:rPr>
          <w:rStyle w:val="tabletextfield"/>
          <w:lang w:val="pl-PL"/>
        </w:rPr>
      </w:pPr>
      <w:r>
        <w:rPr>
          <w:rFonts w:cs="Calibri" w:hAnsi="Calibri" w:ascii="Calibri"/>
          <w:sz w:val="21"/>
          <w:szCs w:val="21"/>
        </w:rPr>
        <w:t>Izradio sam žig sa naznakom stečajne mase, te otvorio novi račun stečajne mase kod Karlovačke banke d.d. Karlovac IBAN:</w:t>
      </w:r>
      <w:r>
        <w:rPr>
          <w:rStyle w:val="tabletextfield"/>
          <w:rFonts w:cs="Calibri" w:hAnsi="Calibri" w:ascii="Calibri"/>
          <w:sz w:val="21"/>
          <w:szCs w:val="21"/>
          <w:lang w:val="pl-PL"/>
        </w:rPr>
        <w:t>HR6324000081110355595.</w:t>
      </w:r>
    </w:p>
    <w:p w:rsidRDefault="00E00CE2" w:rsidP="00E00CE2" w:rsidR="00E00CE2">
      <w:pPr>
        <w:jc w:val="both"/>
      </w:pPr>
      <w:r>
        <w:rPr>
          <w:rStyle w:val="tabletextfield"/>
          <w:rFonts w:cs="Calibri" w:hAnsi="Calibri" w:ascii="Calibri"/>
          <w:sz w:val="21"/>
          <w:szCs w:val="21"/>
          <w:lang w:val="pl-PL"/>
        </w:rPr>
        <w:t>O</w:t>
      </w:r>
      <w:r>
        <w:rPr>
          <w:rFonts w:cs="Calibri" w:hAnsi="Calibri" w:ascii="Calibri"/>
          <w:sz w:val="21"/>
          <w:szCs w:val="21"/>
          <w:lang w:val="pl-PL"/>
        </w:rPr>
        <w:t xml:space="preserve">bradio sam u roku prispjele tražbine četiri vjerovnika. Nije bilo naknadno primljenih zakašnjelih prijava. </w:t>
      </w:r>
    </w:p>
    <w:p w:rsidRDefault="00E00CE2" w:rsidP="00E00CE2" w:rsidR="00E00CE2">
      <w:pPr>
        <w:pStyle w:val="Tijeloteksta"/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pStyle w:val="Tijeloteksta"/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Stečajni upravitelj osiguran je od profesionalne odgovornosti  stečajnog upravitelja za štete koje prouzroči svim sudionicima u stečajnom postupku, ako je skrivljeno povrijedio koju od svojih dužnosti utvrđenih Stečajnim Zakonom. Limit pokrića po štetnom događaju je 800.000,00 kn, temeljem police broj 1500-173349870 kod osiguravatelja Allianz Zagreb d.d.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Stanje  stečajne mase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Stečajnu masu dužnika čini nekretnina, u naravi lokal neto korisne površine 40,05 m2 u prizemlju manje stambeno poslovne zgrade u Bjelovaru, Andrije Kačića Miošića 24,  izgrađene 2006. godine.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Lokal je smješten s lijeve bočne strane u dvorištu zgrade, dok je ulazni prostor zajednički - dijeli se s još jednim lokalom slične površine, uslužne namjene. Lokal ima sporedni izlaz na stubište zgrade preko kojega je povezan s pripadajućim spremištem u podrumu neto površine 13,03 m2.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Lokal posjeduje sve komunalne priključke, te je u urednom stanju koje odgovara starosti nekretnine.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Kako navedeni lokal nije ulični isti nije pogodan za trgovačke nego više odgovara za obavljanje uslužnih djelatnosti.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Predložio sam da se  vrijednost nekretnine utvrdi u vrijednosti od 397.010,00 HRK, a koja vrijednost se temelji na tržišnoj cijeni nekretnine iz procjene sudskoga vještaka iz 2006. godine, umanjenoj za 20% koliko iznosi amortizacija nekretnine za proteklih 10 godina.</w:t>
      </w:r>
    </w:p>
    <w:p w:rsidRDefault="00E00CE2" w:rsidP="00E00CE2" w:rsidR="00E00CE2">
      <w:pPr>
        <w:pStyle w:val="NoSpacing"/>
        <w:jc w:val="both"/>
        <w:rPr>
          <w:rFonts w:cs="Calibri" w:hAnsi="Calibri" w:ascii="Calibri"/>
          <w:color w:val="auto"/>
          <w:sz w:val="21"/>
          <w:szCs w:val="21"/>
        </w:rPr>
      </w:pPr>
      <w:proofErr w:type="spellStart"/>
      <w:r>
        <w:rPr>
          <w:rFonts w:cs="Calibri" w:hAnsi="Calibri" w:ascii="Calibri"/>
          <w:color w:val="auto"/>
          <w:sz w:val="21"/>
          <w:szCs w:val="21"/>
        </w:rPr>
        <w:t>Razlučni</w:t>
      </w:r>
      <w:proofErr w:type="spellEnd"/>
      <w:r>
        <w:rPr>
          <w:rFonts w:cs="Calibri" w:hAnsi="Calibri" w:ascii="Calibri"/>
          <w:color w:val="auto"/>
          <w:sz w:val="21"/>
          <w:szCs w:val="21"/>
        </w:rPr>
        <w:t xml:space="preserve"> vjerovnik u prvom </w:t>
      </w:r>
      <w:proofErr w:type="spellStart"/>
      <w:r>
        <w:rPr>
          <w:rFonts w:cs="Calibri" w:hAnsi="Calibri" w:ascii="Calibri"/>
          <w:color w:val="auto"/>
          <w:sz w:val="21"/>
          <w:szCs w:val="21"/>
        </w:rPr>
        <w:t>prednosnom</w:t>
      </w:r>
      <w:proofErr w:type="spellEnd"/>
      <w:r>
        <w:rPr>
          <w:rFonts w:cs="Calibri" w:hAnsi="Calibri" w:ascii="Calibri"/>
          <w:color w:val="auto"/>
          <w:sz w:val="21"/>
          <w:szCs w:val="21"/>
        </w:rPr>
        <w:t xml:space="preserve"> redu B2 Kapital d.o.o. Zagreb suglasio se s ovim prijedlogom svojom e-mail porukom od 26. rujna 2017. godine, što nastavno znači da nema potrebe za angažiranjem ovlaštenog sudskog vještaka radi procjene vrijednosti predmetne nekretnine.</w:t>
      </w:r>
    </w:p>
    <w:p w:rsidRDefault="00E00CE2" w:rsidP="00E00CE2" w:rsidR="00E00CE2">
      <w:pPr>
        <w:pStyle w:val="NoSpacing"/>
        <w:jc w:val="both"/>
        <w:rPr>
          <w:rFonts w:cs="Calibri" w:hAnsi="Calibri" w:ascii="Calibri"/>
          <w:color w:val="auto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Prijave tražbina za ispitno ročište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Stečajni upravitelj  zaprimio je  4 tražbine vjerovnika stečajnog dužnika.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lastRenderedPageBreak/>
        <w:t xml:space="preserve">Obveze dužnika prema priznatim tražbinama iznose kako je prikazano u sljedećoj tablici: </w:t>
      </w:r>
    </w:p>
    <w:p w:rsidRDefault="00E00CE2" w:rsidP="00E00CE2" w:rsidR="00E00CE2">
      <w:pPr>
        <w:jc w:val="both"/>
        <w:rPr>
          <w:rFonts w:cs="Calibri" w:eastAsia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ab/>
        <w:t xml:space="preserve">                   </w:t>
      </w:r>
    </w:p>
    <w:tbl>
      <w:tblPr>
        <w:tblW w:type="auto" w:w="0"/>
        <w:tblInd w:type="dxa" w:w="155"/>
        <w:tblLayout w:type="fixed"/>
        <w:tblLook w:val="04A0" w:noVBand="1" w:noHBand="0" w:lastColumn="0" w:firstColumn="1" w:lastRow="0" w:firstRow="1"/>
      </w:tblPr>
      <w:tblGrid>
        <w:gridCol w:w="2952"/>
        <w:gridCol w:w="1872"/>
        <w:gridCol w:w="1920"/>
        <w:gridCol w:w="1951"/>
      </w:tblGrid>
      <w:tr w:rsidTr="00E00CE2" w:rsidR="00E00CE2">
        <w:trPr>
          <w:trHeight w:val="417"/>
        </w:trPr>
        <w:tc>
          <w:tcPr>
            <w:tcW w:type="dxa" w:w="29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Calibri" w:hAnsi="Calibri" w:ascii="Calibri"/>
                <w:sz w:val="21"/>
                <w:szCs w:val="21"/>
              </w:rPr>
              <w:t xml:space="preserve">  </w:t>
            </w:r>
          </w:p>
        </w:tc>
        <w:tc>
          <w:tcPr>
            <w:tcW w:type="dxa" w:w="18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Prijavljeno u kn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Priznato u kn </w:t>
            </w:r>
          </w:p>
        </w:tc>
        <w:tc>
          <w:tcPr>
            <w:tcW w:type="dxa" w:w="1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Osporeno u kn </w:t>
            </w:r>
          </w:p>
        </w:tc>
      </w:tr>
      <w:tr w:rsidTr="00E00CE2" w:rsidR="00E00CE2">
        <w:trPr>
          <w:trHeight w:val="551"/>
        </w:trPr>
        <w:tc>
          <w:tcPr>
            <w:tcW w:type="dxa" w:w="29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Times New Roman" w:hAnsi="Calibri" w:ascii="Calibri"/>
                <w:sz w:val="21"/>
                <w:szCs w:val="21"/>
                <w:lang w:eastAsia="hr-HR"/>
              </w:rPr>
              <w:t xml:space="preserve">I. viši isplatni red </w:t>
            </w:r>
          </w:p>
        </w:tc>
        <w:tc>
          <w:tcPr>
            <w:tcW w:type="dxa" w:w="18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E00CE2" w:rsidR="00E00CE2">
            <w:pPr>
              <w:pStyle w:val="Bezproreda"/>
              <w:snapToGrid w:val="false"/>
              <w:jc w:val="right"/>
              <w:rPr>
                <w:lang w:eastAsia="zh-CN"/>
              </w:rPr>
            </w:pPr>
          </w:p>
        </w:tc>
        <w:tc>
          <w:tcPr>
            <w:tcW w:type="dxa" w:w="1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</w:tr>
      <w:tr w:rsidTr="00E00CE2" w:rsidR="00E00CE2">
        <w:trPr>
          <w:trHeight w:val="558"/>
        </w:trPr>
        <w:tc>
          <w:tcPr>
            <w:tcW w:type="dxa" w:w="29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Times New Roman" w:hAnsi="Calibri" w:ascii="Calibri"/>
                <w:sz w:val="21"/>
                <w:szCs w:val="21"/>
                <w:lang w:eastAsia="hr-HR"/>
              </w:rPr>
              <w:t xml:space="preserve">II. viši isplatni red </w:t>
            </w:r>
          </w:p>
        </w:tc>
        <w:tc>
          <w:tcPr>
            <w:tcW w:type="dxa" w:w="18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378.036,32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378.036,32</w:t>
            </w:r>
          </w:p>
        </w:tc>
        <w:tc>
          <w:tcPr>
            <w:tcW w:type="dxa" w:w="1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</w:tr>
      <w:tr w:rsidTr="00E00CE2" w:rsidR="00E00CE2">
        <w:trPr>
          <w:trHeight w:val="558"/>
        </w:trPr>
        <w:tc>
          <w:tcPr>
            <w:tcW w:type="dxa" w:w="295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Times New Roman" w:hAnsi="Calibri" w:ascii="Calibri"/>
                <w:sz w:val="21"/>
                <w:szCs w:val="21"/>
                <w:lang w:eastAsia="hr-HR"/>
              </w:rPr>
              <w:t xml:space="preserve">(od toga </w:t>
            </w:r>
            <w:proofErr w:type="spellStart"/>
            <w:r>
              <w:rPr>
                <w:rFonts w:cs="Calibri" w:eastAsia="Times New Roman" w:hAnsi="Calibri" w:ascii="Calibri"/>
                <w:sz w:val="21"/>
                <w:szCs w:val="21"/>
                <w:lang w:eastAsia="hr-HR"/>
              </w:rPr>
              <w:t>razlučna</w:t>
            </w:r>
            <w:proofErr w:type="spellEnd"/>
            <w:r>
              <w:rPr>
                <w:rFonts w:cs="Calibri" w:eastAsia="Times New Roman" w:hAnsi="Calibri" w:ascii="Calibri"/>
                <w:sz w:val="21"/>
                <w:szCs w:val="21"/>
                <w:lang w:eastAsia="hr-HR"/>
              </w:rPr>
              <w:t xml:space="preserve"> prava)</w:t>
            </w:r>
          </w:p>
        </w:tc>
        <w:tc>
          <w:tcPr>
            <w:tcW w:type="dxa" w:w="187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375.051,82</w:t>
            </w:r>
          </w:p>
        </w:tc>
        <w:tc>
          <w:tcPr>
            <w:tcW w:type="dxa" w:w="192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375.051,82</w:t>
            </w:r>
          </w:p>
        </w:tc>
        <w:tc>
          <w:tcPr>
            <w:tcW w:type="dxa" w:w="195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</w:tr>
      <w:tr w:rsidTr="00E00CE2" w:rsidR="00E00CE2">
        <w:trPr>
          <w:trHeight w:val="554"/>
        </w:trPr>
        <w:tc>
          <w:tcPr>
            <w:tcW w:type="dxa" w:w="29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Times New Roman" w:hAnsi="Calibri" w:ascii="Calibri"/>
                <w:sz w:val="21"/>
                <w:szCs w:val="21"/>
                <w:lang w:eastAsia="hr-HR"/>
              </w:rPr>
              <w:t>Ukupno:</w:t>
            </w:r>
          </w:p>
        </w:tc>
        <w:tc>
          <w:tcPr>
            <w:tcW w:type="dxa" w:w="18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378.036,32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378.036,32</w:t>
            </w:r>
          </w:p>
        </w:tc>
        <w:tc>
          <w:tcPr>
            <w:tcW w:type="dxa" w:w="19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</w:tr>
    </w:tbl>
    <w:p w:rsidRDefault="00E00CE2" w:rsidP="00E00CE2" w:rsidR="00E00CE2">
      <w:pPr>
        <w:jc w:val="both"/>
        <w:rPr>
          <w:rFonts w:cs="Calibri" w:eastAsia="Andale Sans UI" w:hAnsi="Calibri" w:ascii="Calibri"/>
          <w:kern w:val="2"/>
          <w:sz w:val="21"/>
          <w:szCs w:val="21"/>
          <w:lang w:eastAsia="zh-CN"/>
        </w:rPr>
      </w:pPr>
    </w:p>
    <w:p w:rsidRDefault="00E00CE2" w:rsidP="00E00CE2" w:rsidR="00E00CE2">
      <w:pPr>
        <w:pStyle w:val="Zaglavlje"/>
        <w:tabs>
          <w:tab w:pos="708" w:val="left"/>
        </w:tabs>
        <w:ind w:left="38"/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pStyle w:val="Zaglavlje"/>
        <w:tabs>
          <w:tab w:pos="708" w:val="left"/>
        </w:tabs>
        <w:ind w:left="38"/>
        <w:jc w:val="both"/>
        <w:rPr>
          <w:rFonts w:cs="Calibri" w:hAnsi="Calibri" w:ascii="Calibri"/>
          <w:color w:val="000000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Uvidom u javne knjige - </w:t>
      </w:r>
      <w:r>
        <w:rPr>
          <w:rFonts w:cs="Calibri" w:hAnsi="Calibri" w:ascii="Calibri"/>
          <w:color w:val="000000"/>
          <w:sz w:val="21"/>
          <w:szCs w:val="21"/>
        </w:rPr>
        <w:t xml:space="preserve">Zemljišne knjige Općinskog suda u Bjelovaru, zemljišnoknjižni odjel Bjelovar, na teretovnici zk uloška 201 upisana su i razlučna prava  vjerovnika koji u predviđenom roku (kao i do dana izrade ovoga izvješća) nisu prijavili svoje tražbine. </w:t>
      </w:r>
    </w:p>
    <w:p w:rsidRDefault="00E00CE2" w:rsidP="00E00CE2" w:rsidR="00E00CE2">
      <w:pPr>
        <w:pStyle w:val="Zaglavlje"/>
        <w:tabs>
          <w:tab w:pos="708" w:val="left"/>
        </w:tabs>
        <w:ind w:left="38"/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color w:val="000000"/>
          <w:sz w:val="21"/>
          <w:szCs w:val="21"/>
        </w:rPr>
        <w:t>Temeljem odredbi članka 149. SZ isti</w:t>
      </w:r>
      <w:r>
        <w:rPr>
          <w:rFonts w:cs="Calibri" w:eastAsia="Times New Roman" w:hAnsi="Calibri" w:ascii="Calibri"/>
          <w:color w:val="000000"/>
          <w:sz w:val="21"/>
          <w:szCs w:val="21"/>
          <w:lang w:eastAsia="hr-HR"/>
        </w:rPr>
        <w:t xml:space="preserve"> ipak imaju pravo odvojenoga namirenja nekretnini koja čini stečajnu masu u ovom stečajnom postupku ili pravo unovčenja prema odredbama članka 248. ovoga Zakona.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Financijsko izvješće za period od 24.07.2017. do dana izrade izvješća</w:t>
      </w:r>
    </w:p>
    <w:p w:rsidRDefault="00E00CE2" w:rsidP="00E00CE2" w:rsidR="00E00CE2">
      <w:pPr>
        <w:widowControl w:val="false"/>
        <w:numPr>
          <w:ilvl w:val="0"/>
          <w:numId w:val="48"/>
        </w:numPr>
        <w:suppressAutoHyphens/>
        <w:spacing w:after="0"/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Priljev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Od dana nastavka stečajnog postupka do dana izrade ovoga izvješća na žiro račun prispjela je uplata zakupca u iznosu od 700,00 kn na ime zakupnine za kolovoz i rujan.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Odljev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Od dana nastavka stečajnog postupka nije bilo odljeva  sredstava  ni po kojoj osnovi, te stanje žiro računa stečajne mase iznosi 700,00 kn.</w:t>
      </w: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pStyle w:val="Odlomakpopisa"/>
        <w:contextualSpacing/>
        <w:rPr>
          <w:rFonts w:cs="Times New Roman"/>
        </w:rPr>
      </w:pPr>
    </w:p>
    <w:p w:rsidRDefault="00E00CE2" w:rsidP="00E00CE2" w:rsidR="00E00CE2">
      <w:pPr>
        <w:pStyle w:val="Odlomakpopisa"/>
        <w:contextualSpacing/>
        <w:rPr>
          <w:rFonts w:cs="Calibri" w:eastAsia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Dospjeli nepodmireni troškovi stečajnog upravitelja od nastavka stečajnog postupka 24.07.2017.</w:t>
      </w:r>
    </w:p>
    <w:p w:rsidRDefault="00E00CE2" w:rsidP="00E00CE2" w:rsidR="00E00CE2">
      <w:pPr>
        <w:pStyle w:val="Odlomakpopisa"/>
        <w:contextualSpacing/>
        <w:rPr>
          <w:rFonts w:cs="Times New Roman"/>
        </w:rPr>
      </w:pPr>
      <w:r>
        <w:rPr>
          <w:rFonts w:cs="Calibri" w:eastAsia="Calibri" w:hAnsi="Calibri" w:ascii="Calibri"/>
          <w:sz w:val="21"/>
          <w:szCs w:val="21"/>
        </w:rPr>
        <w:t xml:space="preserve"> </w:t>
      </w:r>
    </w:p>
    <w:tbl>
      <w:tblPr>
        <w:tblW w:type="auto" w:w="0"/>
        <w:tblInd w:type="dxa" w:w="-28"/>
        <w:tblLayout w:type="fixed"/>
        <w:tblLook w:val="04A0" w:noVBand="1" w:noHBand="0" w:lastColumn="0" w:firstColumn="1" w:lastRow="0" w:firstRow="1"/>
      </w:tblPr>
      <w:tblGrid>
        <w:gridCol w:w="460"/>
        <w:gridCol w:w="7161"/>
        <w:gridCol w:w="1488"/>
      </w:tblGrid>
      <w:tr w:rsidTr="00E00CE2" w:rsidR="00E00CE2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center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Troškovi</w:t>
            </w:r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tabs>
                <w:tab w:pos="225" w:val="left"/>
              </w:tabs>
              <w:suppressAutoHyphens/>
              <w:ind w:right="-108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Iznos u kn</w:t>
            </w:r>
          </w:p>
        </w:tc>
      </w:tr>
      <w:tr w:rsidTr="00E00CE2" w:rsidR="00E00CE2">
        <w:trPr>
          <w:trHeight w:val="308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tabs>
                <w:tab w:pos="1860" w:val="left"/>
              </w:tabs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Izrada pečata </w:t>
            </w:r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133,43</w:t>
            </w:r>
          </w:p>
        </w:tc>
      </w:tr>
      <w:tr w:rsidTr="00E00CE2" w:rsidR="00E00CE2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PTT usluge </w:t>
            </w:r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10,80</w:t>
            </w:r>
          </w:p>
        </w:tc>
      </w:tr>
      <w:tr w:rsidTr="00E00CE2" w:rsidR="00E00CE2">
        <w:tc>
          <w:tcPr>
            <w:tcW w:type="dxa" w:w="460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</w:t>
            </w:r>
          </w:p>
        </w:tc>
        <w:tc>
          <w:tcPr>
            <w:tcW w:type="dxa" w:w="7161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Calibri" w:hAnsi="Calibri" w:ascii="Calibri"/>
                <w:sz w:val="21"/>
                <w:szCs w:val="21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Calibri" w:hAnsi="Calibri" w:ascii="Calibri"/>
                <w:sz w:val="21"/>
                <w:szCs w:val="21"/>
              </w:rPr>
              <w:t>Ukupno:</w:t>
            </w:r>
          </w:p>
        </w:tc>
        <w:tc>
          <w:tcPr>
            <w:tcW w:type="dxa" w:w="1488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color w:val="000000"/>
                <w:sz w:val="21"/>
                <w:szCs w:val="21"/>
              </w:rPr>
              <w:t>144,23</w:t>
            </w:r>
          </w:p>
        </w:tc>
      </w:tr>
    </w:tbl>
    <w:p w:rsidRDefault="00E00CE2" w:rsidP="00E00CE2" w:rsidR="00E00CE2">
      <w:pPr>
        <w:pStyle w:val="Odlomakpopisa"/>
        <w:contextualSpacing/>
        <w:rPr>
          <w:rFonts w:cs="Calibri" w:hAnsi="Calibri" w:ascii="Calibri"/>
          <w:kern w:val="2"/>
          <w:sz w:val="21"/>
          <w:szCs w:val="21"/>
          <w:lang w:eastAsia="zh-CN"/>
        </w:rPr>
      </w:pP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Dospjeli nepodmireni režijski troškovi nekretnine od  01.08.2017.</w:t>
      </w: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</w:p>
    <w:tbl>
      <w:tblPr>
        <w:tblW w:type="auto" w:w="0"/>
        <w:tblInd w:type="dxa" w:w="-28"/>
        <w:tblLayout w:type="fixed"/>
        <w:tblLook w:val="04A0" w:noVBand="1" w:noHBand="0" w:lastColumn="0" w:firstColumn="1" w:lastRow="0" w:firstRow="1"/>
      </w:tblPr>
      <w:tblGrid>
        <w:gridCol w:w="460"/>
        <w:gridCol w:w="7161"/>
        <w:gridCol w:w="1488"/>
      </w:tblGrid>
      <w:tr w:rsidTr="00E00CE2" w:rsidR="00E00CE2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center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Troškovi</w:t>
            </w:r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tabs>
                <w:tab w:pos="225" w:val="left"/>
              </w:tabs>
              <w:suppressAutoHyphens/>
              <w:ind w:right="-108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Iznos u kn</w:t>
            </w:r>
          </w:p>
        </w:tc>
      </w:tr>
      <w:tr w:rsidTr="00E00CE2" w:rsidR="00E00CE2">
        <w:trPr>
          <w:trHeight w:val="308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tabs>
                <w:tab w:pos="1860" w:val="left"/>
              </w:tabs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Zajednička pričuva zgrade 80,00 kn/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mj</w:t>
            </w:r>
            <w:proofErr w:type="spellEnd"/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160,00</w:t>
            </w:r>
          </w:p>
        </w:tc>
      </w:tr>
      <w:tr w:rsidTr="00E00CE2" w:rsidR="00E00CE2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Odvoz smeća 38,87 kn/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mj</w:t>
            </w:r>
            <w:proofErr w:type="spellEnd"/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77,74</w:t>
            </w:r>
          </w:p>
        </w:tc>
      </w:tr>
      <w:tr w:rsidTr="00E00CE2" w:rsidR="00E00CE2">
        <w:tc>
          <w:tcPr>
            <w:tcW w:type="dxa" w:w="460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</w:t>
            </w:r>
          </w:p>
        </w:tc>
        <w:tc>
          <w:tcPr>
            <w:tcW w:type="dxa" w:w="7161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Potrošena voda 8/2017</w:t>
            </w:r>
          </w:p>
        </w:tc>
        <w:tc>
          <w:tcPr>
            <w:tcW w:type="dxa" w:w="1488"/>
            <w:tcBorders>
              <w:top w:val="nil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18,24</w:t>
            </w:r>
          </w:p>
        </w:tc>
      </w:tr>
      <w:tr w:rsidTr="00E00CE2" w:rsidR="00E00CE2">
        <w:tc>
          <w:tcPr>
            <w:tcW w:type="dxa" w:w="460"/>
            <w:tcBorders>
              <w:top w:val="nil"/>
              <w:left w:space="0" w:sz="2" w:color="A6A6A6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4</w:t>
            </w:r>
          </w:p>
        </w:tc>
        <w:tc>
          <w:tcPr>
            <w:tcW w:type="dxa" w:w="7161"/>
            <w:tcBorders>
              <w:top w:val="nil"/>
              <w:left w:space="0" w:sz="2" w:color="A6A6A6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Potrošena 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el.energija</w:t>
            </w:r>
            <w:proofErr w:type="spellEnd"/>
          </w:p>
        </w:tc>
        <w:tc>
          <w:tcPr>
            <w:tcW w:type="dxa" w:w="1488"/>
            <w:tcBorders>
              <w:top w:val="nil"/>
              <w:left w:space="0" w:sz="2" w:color="A6A6A6" w:val="single"/>
              <w:bottom w:space="0" w:sz="4" w:color="000000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43,57</w:t>
            </w:r>
          </w:p>
        </w:tc>
      </w:tr>
      <w:tr w:rsidTr="00E00CE2" w:rsidR="00E00CE2">
        <w:tc>
          <w:tcPr>
            <w:tcW w:type="dxa" w:w="460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5</w:t>
            </w:r>
          </w:p>
        </w:tc>
        <w:tc>
          <w:tcPr>
            <w:tcW w:type="dxa" w:w="7161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Calibri" w:hAnsi="Calibri" w:ascii="Calibri"/>
                <w:sz w:val="21"/>
                <w:szCs w:val="21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Calibri" w:hAnsi="Calibri" w:ascii="Calibri"/>
                <w:sz w:val="21"/>
                <w:szCs w:val="21"/>
              </w:rPr>
              <w:t>Ukupno:</w:t>
            </w:r>
          </w:p>
        </w:tc>
        <w:tc>
          <w:tcPr>
            <w:tcW w:type="dxa" w:w="1488"/>
            <w:tcBorders>
              <w:top w:val="nil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color w:val="000000"/>
                <w:sz w:val="21"/>
                <w:szCs w:val="21"/>
              </w:rPr>
              <w:t>299,55</w:t>
            </w:r>
          </w:p>
        </w:tc>
      </w:tr>
    </w:tbl>
    <w:p w:rsidRDefault="00E00CE2" w:rsidP="00E00CE2" w:rsidR="00E00CE2">
      <w:pPr>
        <w:pStyle w:val="Odlomakpopisa"/>
        <w:contextualSpacing/>
        <w:rPr>
          <w:rFonts w:cs="Times New Roman"/>
          <w:kern w:val="2"/>
          <w:lang w:eastAsia="zh-CN"/>
        </w:rPr>
      </w:pPr>
    </w:p>
    <w:p w:rsidRDefault="00E00CE2" w:rsidP="00E00CE2" w:rsidR="00E00CE2">
      <w:pPr>
        <w:pStyle w:val="Odlomakpopisa"/>
        <w:contextualSpacing/>
      </w:pPr>
    </w:p>
    <w:p w:rsidRDefault="00E00CE2" w:rsidP="00E00CE2" w:rsidR="00E00CE2">
      <w:pPr>
        <w:pStyle w:val="Odlomakpopisa"/>
        <w:contextualSpacing/>
      </w:pP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Predvidivi troškovi za naredna tri mjeseca od dana izrade ovoga izvješća</w:t>
      </w: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</w:p>
    <w:tbl>
      <w:tblPr>
        <w:tblW w:type="auto" w:w="0"/>
        <w:tblInd w:type="dxa" w:w="-28"/>
        <w:tblLayout w:type="fixed"/>
        <w:tblLook w:val="04A0" w:noVBand="1" w:noHBand="0" w:lastColumn="0" w:firstColumn="1" w:lastRow="0" w:firstRow="1"/>
      </w:tblPr>
      <w:tblGrid>
        <w:gridCol w:w="460"/>
        <w:gridCol w:w="7161"/>
        <w:gridCol w:w="1488"/>
      </w:tblGrid>
      <w:tr w:rsidTr="00E00CE2" w:rsidR="00E00CE2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center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Troškovi</w:t>
            </w:r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tabs>
                <w:tab w:pos="225" w:val="left"/>
              </w:tabs>
              <w:suppressAutoHyphens/>
              <w:ind w:right="-108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Iznos u kn</w:t>
            </w:r>
          </w:p>
        </w:tc>
      </w:tr>
      <w:tr w:rsidTr="00E00CE2" w:rsidR="00E00CE2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Putni troškovi stečajnog upravitelja,  Sveta 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Nedelja</w:t>
            </w:r>
            <w:proofErr w:type="spellEnd"/>
            <w:r>
              <w:rPr>
                <w:rFonts w:cs="Calibri" w:hAnsi="Calibri" w:ascii="Calibri"/>
                <w:sz w:val="21"/>
                <w:szCs w:val="21"/>
              </w:rPr>
              <w:t xml:space="preserve"> – Bjelovar – Sveta 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Nedelja</w:t>
            </w:r>
            <w:proofErr w:type="spellEnd"/>
            <w:r>
              <w:rPr>
                <w:rFonts w:cs="Calibri" w:hAnsi="Calibri" w:ascii="Calibri"/>
                <w:sz w:val="21"/>
                <w:szCs w:val="21"/>
              </w:rPr>
              <w:t xml:space="preserve">  (predvidivo 110 km x 2 x 2,00 Kn) – kad se ostvari</w:t>
            </w:r>
          </w:p>
        </w:tc>
        <w:tc>
          <w:tcPr>
            <w:tcW w:type="dxa" w:w="148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0"/>
                <w:szCs w:val="20"/>
              </w:rPr>
              <w:t>440,00</w:t>
            </w:r>
          </w:p>
        </w:tc>
      </w:tr>
      <w:tr w:rsidTr="00E00CE2" w:rsidR="00E00CE2">
        <w:tc>
          <w:tcPr>
            <w:tcW w:type="dxa" w:w="460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2</w:t>
            </w:r>
          </w:p>
        </w:tc>
        <w:tc>
          <w:tcPr>
            <w:tcW w:type="dxa" w:w="7161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Režijski troškovi lokala u slučaju prekida zakupa (mjesečno 210,00 kn) </w:t>
            </w:r>
          </w:p>
        </w:tc>
        <w:tc>
          <w:tcPr>
            <w:tcW w:type="dxa" w:w="1488"/>
            <w:tcBorders>
              <w:top w:val="nil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0"/>
                <w:szCs w:val="20"/>
              </w:rPr>
              <w:t>630,00</w:t>
            </w:r>
          </w:p>
        </w:tc>
      </w:tr>
      <w:tr w:rsidTr="00E00CE2" w:rsidR="00E00CE2">
        <w:tc>
          <w:tcPr>
            <w:tcW w:type="dxa" w:w="460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</w:t>
            </w:r>
          </w:p>
        </w:tc>
        <w:tc>
          <w:tcPr>
            <w:tcW w:type="dxa" w:w="7161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Troškovi provedbe javne prodaje prema tarifi FINE</w:t>
            </w:r>
          </w:p>
        </w:tc>
        <w:tc>
          <w:tcPr>
            <w:tcW w:type="dxa" w:w="1488"/>
            <w:tcBorders>
              <w:top w:val="nil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0"/>
                <w:szCs w:val="20"/>
              </w:rPr>
              <w:t>700,00</w:t>
            </w:r>
          </w:p>
        </w:tc>
      </w:tr>
      <w:tr w:rsidTr="00E00CE2" w:rsidR="00E00CE2">
        <w:tc>
          <w:tcPr>
            <w:tcW w:type="dxa" w:w="460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4</w:t>
            </w:r>
          </w:p>
        </w:tc>
        <w:tc>
          <w:tcPr>
            <w:tcW w:type="dxa" w:w="7161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Predvidivi troškovi 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administacije</w:t>
            </w:r>
            <w:proofErr w:type="spellEnd"/>
            <w:r>
              <w:rPr>
                <w:rFonts w:cs="Calibri" w:hAnsi="Calibri" w:ascii="Calibri"/>
                <w:sz w:val="21"/>
                <w:szCs w:val="21"/>
              </w:rPr>
              <w:t xml:space="preserve"> i knjigovodstva (mjesečno 350,00 kn)</w:t>
            </w:r>
          </w:p>
        </w:tc>
        <w:tc>
          <w:tcPr>
            <w:tcW w:type="dxa" w:w="1488"/>
            <w:tcBorders>
              <w:top w:val="nil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0"/>
                <w:szCs w:val="20"/>
              </w:rPr>
              <w:t>1.050,00</w:t>
            </w:r>
          </w:p>
        </w:tc>
      </w:tr>
      <w:tr w:rsidTr="00E00CE2" w:rsidR="00E00CE2">
        <w:tc>
          <w:tcPr>
            <w:tcW w:type="dxa" w:w="460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5</w:t>
            </w:r>
          </w:p>
        </w:tc>
        <w:tc>
          <w:tcPr>
            <w:tcW w:type="dxa" w:w="7161"/>
            <w:tcBorders>
              <w:top w:val="nil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Troškovi nagrade stečajnoga upravitelja (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brutto</w:t>
            </w:r>
            <w:proofErr w:type="spellEnd"/>
            <w:r>
              <w:rPr>
                <w:rFonts w:cs="Calibri" w:hAnsi="Calibri" w:ascii="Calibri"/>
                <w:sz w:val="21"/>
                <w:szCs w:val="21"/>
              </w:rPr>
              <w:t>) po Uredbi</w:t>
            </w:r>
          </w:p>
        </w:tc>
        <w:tc>
          <w:tcPr>
            <w:tcW w:type="dxa" w:w="1488"/>
            <w:tcBorders>
              <w:top w:val="nil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0"/>
                <w:szCs w:val="20"/>
              </w:rPr>
              <w:t>39.730,90</w:t>
            </w:r>
          </w:p>
        </w:tc>
      </w:tr>
      <w:tr w:rsidTr="00E00CE2" w:rsidR="00E00CE2">
        <w:tc>
          <w:tcPr>
            <w:tcW w:type="dxa" w:w="460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6</w:t>
            </w:r>
          </w:p>
        </w:tc>
        <w:tc>
          <w:tcPr>
            <w:tcW w:type="dxa" w:w="7161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Calibri" w:hAnsi="Calibri" w:ascii="Calibri"/>
                <w:sz w:val="21"/>
                <w:szCs w:val="21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Calibri" w:hAnsi="Calibri" w:ascii="Calibri"/>
                <w:sz w:val="21"/>
                <w:szCs w:val="21"/>
              </w:rPr>
              <w:t>Ukupno:</w:t>
            </w:r>
          </w:p>
        </w:tc>
        <w:tc>
          <w:tcPr>
            <w:tcW w:type="dxa" w:w="1488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0"/>
                <w:szCs w:val="20"/>
              </w:rPr>
              <w:t>42.550,90</w:t>
            </w:r>
          </w:p>
        </w:tc>
      </w:tr>
    </w:tbl>
    <w:p w:rsidRDefault="00E00CE2" w:rsidP="00E00CE2" w:rsidR="00E00CE2">
      <w:pPr>
        <w:jc w:val="both"/>
        <w:rPr>
          <w:rFonts w:cs="Calibri" w:eastAsia="Andale Sans UI" w:hAnsi="Calibri" w:ascii="Calibri"/>
          <w:kern w:val="2"/>
          <w:sz w:val="21"/>
          <w:szCs w:val="21"/>
          <w:lang w:eastAsia="zh-CN"/>
        </w:rPr>
      </w:pPr>
    </w:p>
    <w:p w:rsidRDefault="00E00CE2" w:rsidP="00E00CE2" w:rsidR="00E00CE2">
      <w:pPr>
        <w:pStyle w:val="Odlomakpopisa"/>
        <w:contextualSpacing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 xml:space="preserve">Rekapitulacija obveza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U ovom stečajnom postupku, od nastavka stečajnog postupka  24.07.2017. godine stečajni upravitelj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utvrdio je slijedeće obveze: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i/>
          <w:sz w:val="21"/>
          <w:szCs w:val="21"/>
        </w:rPr>
        <w:tab/>
      </w:r>
      <w:r>
        <w:rPr>
          <w:rFonts w:cs="Calibri" w:hAnsi="Calibri" w:ascii="Calibri"/>
          <w:sz w:val="21"/>
          <w:szCs w:val="21"/>
        </w:rPr>
        <w:t xml:space="preserve">           Iznos u kn</w:t>
      </w:r>
    </w:p>
    <w:tbl>
      <w:tblPr>
        <w:tblW w:type="auto" w:w="0"/>
        <w:tblInd w:type="dxa" w:w="-95"/>
        <w:tblLayout w:type="fixed"/>
        <w:tblLook w:val="04A0" w:noVBand="1" w:noHBand="0" w:lastColumn="0" w:firstColumn="1" w:lastRow="0" w:firstRow="1"/>
      </w:tblPr>
      <w:tblGrid>
        <w:gridCol w:w="6972"/>
        <w:gridCol w:w="2262"/>
      </w:tblGrid>
      <w:tr w:rsidTr="00E00CE2" w:rsidR="00E00CE2">
        <w:trPr>
          <w:trHeight w:val="290"/>
        </w:trPr>
        <w:tc>
          <w:tcPr>
            <w:tcW w:type="dxa" w:w="69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lastRenderedPageBreak/>
              <w:t xml:space="preserve">Dospjeli podmireni troškovi </w:t>
            </w:r>
          </w:p>
        </w:tc>
        <w:tc>
          <w:tcPr>
            <w:tcW w:type="dxa" w:w="22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</w:tr>
      <w:tr w:rsidTr="00E00CE2" w:rsidR="00E00CE2">
        <w:trPr>
          <w:trHeight w:val="280"/>
        </w:trPr>
        <w:tc>
          <w:tcPr>
            <w:tcW w:type="dxa" w:w="69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Dospjeli nepodmireni  troškovi  </w:t>
            </w:r>
          </w:p>
        </w:tc>
        <w:tc>
          <w:tcPr>
            <w:tcW w:type="dxa" w:w="22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Calibri" w:hAnsi="Calibri" w:ascii="Calibri"/>
                <w:sz w:val="21"/>
                <w:szCs w:val="21"/>
              </w:rPr>
              <w:t xml:space="preserve">  443,78</w:t>
            </w:r>
          </w:p>
        </w:tc>
      </w:tr>
      <w:tr w:rsidTr="00E00CE2" w:rsidR="00E00CE2">
        <w:trPr>
          <w:trHeight w:val="256"/>
        </w:trPr>
        <w:tc>
          <w:tcPr>
            <w:tcW w:type="dxa" w:w="69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Predračun troškova za narednih tri mjeseca  </w:t>
            </w:r>
          </w:p>
        </w:tc>
        <w:tc>
          <w:tcPr>
            <w:tcW w:type="dxa" w:w="22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0"/>
                <w:szCs w:val="20"/>
              </w:rPr>
              <w:t>42.550,90</w:t>
            </w:r>
          </w:p>
        </w:tc>
      </w:tr>
      <w:tr w:rsidTr="00E00CE2" w:rsidR="00E00CE2">
        <w:trPr>
          <w:trHeight w:val="288"/>
        </w:trPr>
        <w:tc>
          <w:tcPr>
            <w:tcW w:type="dxa" w:w="69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Vjerovnici I. višeg isplatnog reda – priznate tražbine</w:t>
            </w:r>
          </w:p>
        </w:tc>
        <w:tc>
          <w:tcPr>
            <w:tcW w:type="dxa" w:w="22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</w:p>
        </w:tc>
      </w:tr>
      <w:tr w:rsidTr="00E00CE2" w:rsidR="00E00CE2">
        <w:tc>
          <w:tcPr>
            <w:tcW w:type="dxa" w:w="69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Vjerovnici II. višeg isplatnog reda – priznate tražbine </w:t>
            </w:r>
          </w:p>
        </w:tc>
        <w:tc>
          <w:tcPr>
            <w:tcW w:type="dxa" w:w="22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378.036,32</w:t>
            </w:r>
          </w:p>
        </w:tc>
      </w:tr>
      <w:tr w:rsidTr="00E00CE2" w:rsidR="00E00CE2">
        <w:tc>
          <w:tcPr>
            <w:tcW w:type="dxa" w:w="69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b/>
                <w:bCs/>
                <w:sz w:val="21"/>
                <w:szCs w:val="21"/>
              </w:rPr>
              <w:t>Ukupno</w:t>
            </w:r>
          </w:p>
        </w:tc>
        <w:tc>
          <w:tcPr>
            <w:tcW w:type="dxa" w:w="22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eastAsia="Calibri" w:hAnsi="Calibri" w:ascii="Calibri"/>
                <w:sz w:val="21"/>
                <w:szCs w:val="21"/>
              </w:rPr>
              <w:t>421.031,00</w:t>
            </w:r>
          </w:p>
        </w:tc>
      </w:tr>
    </w:tbl>
    <w:p w:rsidRDefault="00E00CE2" w:rsidP="00E00CE2" w:rsidR="00E00CE2">
      <w:pPr>
        <w:jc w:val="both"/>
        <w:rPr>
          <w:rFonts w:cs="Calibri" w:eastAsia="Andale Sans UI" w:hAnsi="Calibri" w:ascii="Calibri"/>
          <w:kern w:val="2"/>
          <w:sz w:val="21"/>
          <w:szCs w:val="21"/>
          <w:lang w:eastAsia="zh-CN"/>
        </w:rPr>
      </w:pPr>
    </w:p>
    <w:p w:rsidRDefault="00E00CE2" w:rsidP="00E00CE2" w:rsidR="00E00CE2">
      <w:pPr>
        <w:jc w:val="both"/>
        <w:rPr>
          <w:rFonts w:cs="Calibri" w:hAnsi="Calibri" w:ascii="Calibri"/>
          <w:b/>
          <w:bCs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Pregled imovine u odnosu prema priznatim tražbinama i troškovima stečajnog postupka</w:t>
      </w:r>
    </w:p>
    <w:p w:rsidRDefault="00E00CE2" w:rsidP="00E00CE2" w:rsidR="00E00CE2">
      <w:pPr>
        <w:jc w:val="both"/>
        <w:rPr>
          <w:rFonts w:cs="Calibri" w:hAnsi="Calibri" w:ascii="Calibri"/>
          <w:b/>
          <w:bCs/>
          <w:sz w:val="21"/>
          <w:szCs w:val="21"/>
        </w:rPr>
      </w:pPr>
    </w:p>
    <w:tbl>
      <w:tblPr>
        <w:tblW w:type="auto" w:w="0"/>
        <w:tblInd w:type="dxa" w:w="-38"/>
        <w:tblLayout w:type="fixed"/>
        <w:tblLook w:val="04A0" w:noVBand="1" w:noHBand="0" w:lastColumn="0" w:firstColumn="1" w:lastRow="0" w:firstRow="1"/>
      </w:tblPr>
      <w:tblGrid>
        <w:gridCol w:w="336"/>
        <w:gridCol w:w="5844"/>
        <w:gridCol w:w="1536"/>
        <w:gridCol w:w="1418"/>
      </w:tblGrid>
      <w:tr w:rsidTr="00E00CE2" w:rsidR="00E00CE2">
        <w:tc>
          <w:tcPr>
            <w:tcW w:type="dxa" w:w="336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5844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1536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val="nil"/>
            </w:tcBorders>
            <w:hideMark/>
          </w:tcPr>
          <w:p w:rsidRDefault="00E00CE2" w:rsidR="00E00CE2">
            <w:pPr>
              <w:widowControl w:val="false"/>
              <w:tabs>
                <w:tab w:pos="225" w:val="left"/>
              </w:tabs>
              <w:suppressAutoHyphens/>
              <w:ind w:right="-108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Iznos u kn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4" w:color="000000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tabs>
                <w:tab w:pos="225" w:val="left"/>
              </w:tabs>
              <w:suppressAutoHyphens/>
              <w:ind w:right="-108"/>
              <w:jc w:val="center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Iznos u kn</w:t>
            </w:r>
          </w:p>
        </w:tc>
      </w:tr>
      <w:tr w:rsidTr="00E00CE2" w:rsidR="00E00CE2">
        <w:trPr>
          <w:trHeight w:val="308"/>
        </w:trPr>
        <w:tc>
          <w:tcPr>
            <w:tcW w:type="dxa" w:w="3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1</w:t>
            </w:r>
          </w:p>
        </w:tc>
        <w:tc>
          <w:tcPr>
            <w:tcW w:type="dxa" w:w="584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tabs>
                <w:tab w:pos="1860" w:val="left"/>
              </w:tabs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 xml:space="preserve">Poslovni prostor A.K.M.24 – mogući iznos neto </w:t>
            </w:r>
            <w:proofErr w:type="spellStart"/>
            <w:r>
              <w:rPr>
                <w:rFonts w:cs="Calibri" w:hAnsi="Calibri" w:ascii="Calibri"/>
                <w:sz w:val="21"/>
                <w:szCs w:val="21"/>
              </w:rPr>
              <w:t>utržka</w:t>
            </w:r>
            <w:proofErr w:type="spellEnd"/>
            <w:r>
              <w:rPr>
                <w:rFonts w:cs="Calibri" w:hAnsi="Calibri" w:ascii="Calibri"/>
                <w:sz w:val="21"/>
                <w:szCs w:val="21"/>
              </w:rPr>
              <w:t xml:space="preserve"> od prodaje</w:t>
            </w:r>
          </w:p>
        </w:tc>
        <w:tc>
          <w:tcPr>
            <w:tcW w:type="dxa" w:w="15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297.757,50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</w:p>
        </w:tc>
      </w:tr>
      <w:tr w:rsidTr="00E00CE2" w:rsidR="00E00CE2">
        <w:tc>
          <w:tcPr>
            <w:tcW w:type="dxa" w:w="3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2</w:t>
            </w:r>
          </w:p>
        </w:tc>
        <w:tc>
          <w:tcPr>
            <w:tcW w:type="dxa" w:w="584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Priznate tražbine prvog i drugog isplatnog reda</w:t>
            </w:r>
          </w:p>
        </w:tc>
        <w:tc>
          <w:tcPr>
            <w:tcW w:type="dxa" w:w="15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378.036,32</w:t>
            </w:r>
          </w:p>
        </w:tc>
      </w:tr>
      <w:tr w:rsidTr="00E00CE2" w:rsidR="00E00CE2">
        <w:tc>
          <w:tcPr>
            <w:tcW w:type="dxa" w:w="3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3</w:t>
            </w:r>
          </w:p>
        </w:tc>
        <w:tc>
          <w:tcPr>
            <w:tcW w:type="dxa" w:w="584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Nepodmireni i planirani troškovi stečajnoga postupka</w:t>
            </w:r>
          </w:p>
        </w:tc>
        <w:tc>
          <w:tcPr>
            <w:tcW w:type="dxa" w:w="15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1"/>
                <w:szCs w:val="21"/>
              </w:rPr>
              <w:t>42.994,68</w:t>
            </w:r>
          </w:p>
        </w:tc>
      </w:tr>
      <w:tr w:rsidTr="00E00CE2" w:rsidR="00E00CE2">
        <w:tc>
          <w:tcPr>
            <w:tcW w:type="dxa" w:w="3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both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4</w:t>
            </w:r>
          </w:p>
        </w:tc>
        <w:tc>
          <w:tcPr>
            <w:tcW w:type="dxa" w:w="5844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b/>
                <w:bCs/>
                <w:sz w:val="21"/>
                <w:szCs w:val="21"/>
              </w:rPr>
              <w:t>Nedostatak imovine u odnosu prema priznatim tražbinama i troškovima stečajnog postupka</w:t>
            </w:r>
          </w:p>
        </w:tc>
        <w:tc>
          <w:tcPr>
            <w:tcW w:type="dxa" w:w="1536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val="nil"/>
            </w:tcBorders>
            <w:vAlign w:val="center"/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b/>
                <w:bCs/>
                <w:sz w:val="21"/>
                <w:szCs w:val="21"/>
              </w:rPr>
              <w:t>123.273,50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</w:p>
        </w:tc>
      </w:tr>
      <w:tr w:rsidTr="00E00CE2" w:rsidR="00E00CE2">
        <w:tc>
          <w:tcPr>
            <w:tcW w:type="dxa" w:w="336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val="nil"/>
            </w:tcBorders>
          </w:tcPr>
          <w:p w:rsidRDefault="00E00CE2" w:rsidR="00E00CE2">
            <w:pPr>
              <w:widowControl w:val="false"/>
              <w:suppressAutoHyphens/>
              <w:snapToGrid w:val="false"/>
              <w:jc w:val="both"/>
              <w:rPr>
                <w:rFonts w:eastAsia="Andale Sans UI"/>
                <w:kern w:val="2"/>
                <w:lang w:eastAsia="zh-CN"/>
              </w:rPr>
            </w:pPr>
          </w:p>
        </w:tc>
        <w:tc>
          <w:tcPr>
            <w:tcW w:type="dxa" w:w="5844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cs="Calibri" w:hAnsi="Calibri" w:ascii="Calibri"/>
                <w:sz w:val="21"/>
                <w:szCs w:val="21"/>
              </w:rPr>
              <w:t>Ukupno</w:t>
            </w:r>
          </w:p>
        </w:tc>
        <w:tc>
          <w:tcPr>
            <w:tcW w:type="dxa" w:w="1536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val="nil"/>
            </w:tcBorders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1"/>
                <w:szCs w:val="21"/>
              </w:rPr>
              <w:t>421.031,00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E00CE2" w:rsidR="00E00CE2">
            <w:pPr>
              <w:widowControl w:val="false"/>
              <w:suppressAutoHyphens/>
              <w:snapToGrid w:val="false"/>
              <w:jc w:val="right"/>
              <w:rPr>
                <w:rFonts w:eastAsia="Andale Sans UI"/>
                <w:kern w:val="2"/>
                <w:lang w:eastAsia="zh-CN"/>
              </w:rPr>
            </w:pPr>
            <w:r>
              <w:rPr>
                <w:rFonts w:hAnsi="Calibri" w:ascii="Calibri"/>
                <w:sz w:val="21"/>
                <w:szCs w:val="21"/>
              </w:rPr>
              <w:t>421.031,00</w:t>
            </w:r>
          </w:p>
        </w:tc>
      </w:tr>
    </w:tbl>
    <w:p w:rsidRDefault="00E00CE2" w:rsidP="00E00CE2" w:rsidR="00E00CE2">
      <w:pPr>
        <w:jc w:val="both"/>
        <w:rPr>
          <w:rFonts w:cs="Calibri" w:hAnsi="Calibri" w:ascii="Calibri"/>
          <w:b/>
          <w:bCs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b/>
          <w:bCs/>
          <w:sz w:val="21"/>
          <w:szCs w:val="21"/>
        </w:rPr>
        <w:t>Zaključak s prijedlozima stečajnog upravitelja</w:t>
      </w:r>
    </w:p>
    <w:p w:rsidRDefault="00E00CE2" w:rsidP="00E00CE2" w:rsidR="00E00CE2">
      <w:pPr>
        <w:tabs>
          <w:tab w:pos="426" w:val="left"/>
        </w:tabs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Iz svega navedenoga u ovome izvješću zaključujem da postoji imovina čijim unovčenjem bi se pribavila sredstva za djelomično namirenje </w:t>
      </w:r>
      <w:proofErr w:type="spellStart"/>
      <w:r>
        <w:rPr>
          <w:rFonts w:cs="Calibri" w:hAnsi="Calibri" w:ascii="Calibri"/>
          <w:sz w:val="21"/>
          <w:szCs w:val="21"/>
        </w:rPr>
        <w:t>razlučnoga</w:t>
      </w:r>
      <w:proofErr w:type="spellEnd"/>
      <w:r>
        <w:rPr>
          <w:rFonts w:cs="Calibri" w:hAnsi="Calibri" w:ascii="Calibri"/>
          <w:sz w:val="21"/>
          <w:szCs w:val="21"/>
        </w:rPr>
        <w:t xml:space="preserve"> vjerovnika u prvom isplatnom redu i pokriće troškova stečajnoga postupka,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pa predlažem da skupština vjerovnika </w:t>
      </w:r>
      <w:r>
        <w:rPr>
          <w:rFonts w:cs="Calibri" w:hAnsi="Calibri" w:ascii="Calibri"/>
          <w:color w:val="000000"/>
          <w:sz w:val="21"/>
          <w:szCs w:val="21"/>
        </w:rPr>
        <w:t xml:space="preserve">na izvještajnom ročištu </w:t>
      </w:r>
      <w:r>
        <w:rPr>
          <w:rFonts w:cs="Calibri" w:hAnsi="Calibri" w:ascii="Calibri"/>
          <w:sz w:val="21"/>
          <w:szCs w:val="21"/>
        </w:rPr>
        <w:t xml:space="preserve">donese odgovarajuće: 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  <w:lang w:val="pl-PL"/>
        </w:rPr>
      </w:pPr>
    </w:p>
    <w:p w:rsidRDefault="00E00CE2" w:rsidP="00E00CE2" w:rsidR="00E00CE2">
      <w:pPr>
        <w:tabs>
          <w:tab w:pos="4716" w:val="center"/>
          <w:tab w:pos="9072" w:val="right"/>
        </w:tabs>
        <w:jc w:val="both"/>
        <w:rPr>
          <w:rFonts w:cs="Calibri" w:hAnsi="Calibri" w:ascii="Calibri"/>
          <w:b/>
          <w:bCs/>
          <w:sz w:val="21"/>
          <w:szCs w:val="21"/>
        </w:rPr>
      </w:pPr>
      <w:r>
        <w:rPr>
          <w:rFonts w:cs="Calibri" w:eastAsia="Calibri" w:hAnsi="Calibri" w:ascii="Calibri"/>
          <w:sz w:val="21"/>
          <w:szCs w:val="21"/>
        </w:rPr>
        <w:t xml:space="preserve">                                                                          </w:t>
      </w:r>
      <w:r>
        <w:rPr>
          <w:rFonts w:cs="Calibri" w:eastAsia="Calibri" w:hAnsi="Calibri" w:ascii="Calibri"/>
          <w:b/>
          <w:bCs/>
          <w:sz w:val="21"/>
          <w:szCs w:val="21"/>
        </w:rPr>
        <w:t xml:space="preserve"> </w:t>
      </w:r>
      <w:r>
        <w:rPr>
          <w:rFonts w:cs="Calibri" w:hAnsi="Calibri" w:ascii="Calibri"/>
          <w:b/>
          <w:bCs/>
          <w:sz w:val="21"/>
          <w:szCs w:val="21"/>
        </w:rPr>
        <w:t>O D L U K E:</w:t>
      </w:r>
    </w:p>
    <w:p w:rsidRDefault="00E00CE2" w:rsidP="00E00CE2" w:rsidR="00E00CE2">
      <w:pPr>
        <w:tabs>
          <w:tab w:pos="4716" w:val="center"/>
          <w:tab w:pos="9072" w:val="right"/>
        </w:tabs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tabs>
          <w:tab w:pos="4716" w:val="center"/>
          <w:tab w:pos="9072" w:val="right"/>
        </w:tabs>
        <w:jc w:val="both"/>
      </w:pPr>
      <w:r>
        <w:rPr>
          <w:rFonts w:cs="Calibri" w:eastAsia="Calibri" w:hAnsi="Calibri" w:ascii="Calibri"/>
          <w:sz w:val="21"/>
          <w:szCs w:val="21"/>
        </w:rPr>
        <w:t xml:space="preserve">    </w:t>
      </w:r>
      <w:r>
        <w:rPr>
          <w:rFonts w:cs="Calibri" w:hAnsi="Calibri" w:ascii="Calibri"/>
          <w:sz w:val="21"/>
          <w:szCs w:val="21"/>
        </w:rPr>
        <w:t>1. Prihvaća se izvješće i do sada poduzete radnje stečajnog upravitelja,</w:t>
      </w:r>
    </w:p>
    <w:p w:rsidRDefault="00E00CE2" w:rsidP="00E00CE2" w:rsidR="00E00CE2">
      <w:pPr>
        <w:pStyle w:val="Odlomakpopisa"/>
      </w:pPr>
      <w:r>
        <w:rPr>
          <w:rFonts w:cs="Calibri" w:hAnsi="Calibri" w:ascii="Calibri"/>
          <w:sz w:val="21"/>
          <w:szCs w:val="21"/>
        </w:rPr>
        <w:t xml:space="preserve">    2. Poslovanje stečajnoga dužnika ranije je obustavljeno, te se ne nastavlja,</w:t>
      </w:r>
    </w:p>
    <w:p w:rsidRDefault="00E00CE2" w:rsidP="00E00CE2" w:rsidR="00E00CE2">
      <w:pPr>
        <w:pStyle w:val="Odlomakpopisa"/>
        <w:rPr>
          <w:rFonts w:cs="Calibri" w:eastAsia="Calibri" w:hAnsi="Calibri" w:ascii="Calibri"/>
          <w:color w:val="000000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    3. Nekretnina opterećena založnim pravima </w:t>
      </w:r>
      <w:r>
        <w:rPr>
          <w:rFonts w:cs="Calibri" w:hAnsi="Calibri" w:ascii="Calibri"/>
          <w:color w:val="000000"/>
          <w:sz w:val="21"/>
          <w:szCs w:val="21"/>
        </w:rPr>
        <w:t>prodaje se u stečajnom postupku,</w:t>
      </w:r>
    </w:p>
    <w:p w:rsidRDefault="00E00CE2" w:rsidP="00E00CE2" w:rsidR="00E00CE2">
      <w:pPr>
        <w:pStyle w:val="Odlomakpopisa"/>
        <w:rPr>
          <w:rFonts w:cs="Times New Roman"/>
          <w:lang w:eastAsia="zh-CN"/>
        </w:rPr>
      </w:pPr>
      <w:r>
        <w:rPr>
          <w:rFonts w:cs="Calibri" w:eastAsia="Calibri" w:hAnsi="Calibri" w:ascii="Calibri"/>
          <w:color w:val="000000"/>
          <w:sz w:val="21"/>
          <w:szCs w:val="21"/>
        </w:rPr>
        <w:lastRenderedPageBreak/>
        <w:t xml:space="preserve">    </w:t>
      </w:r>
      <w:r>
        <w:rPr>
          <w:rFonts w:cs="Calibri" w:hAnsi="Calibri" w:ascii="Calibri"/>
          <w:color w:val="000000"/>
          <w:sz w:val="21"/>
          <w:szCs w:val="21"/>
        </w:rPr>
        <w:t>uz odgovarajuću primjenu pravila ovršnoga postupka o ovrsi na nekretnini, sukladno članku 247. SZ</w:t>
      </w:r>
    </w:p>
    <w:p w:rsidRDefault="00E00CE2" w:rsidP="00E00CE2" w:rsidR="00E00CE2">
      <w:pPr>
        <w:pStyle w:val="Odlomakpopisa"/>
      </w:pPr>
    </w:p>
    <w:p w:rsidRDefault="00E00CE2" w:rsidP="00E00CE2" w:rsidR="00E00CE2">
      <w:pPr>
        <w:pStyle w:val="Odlomakpopisa"/>
        <w:rPr>
          <w:rFonts w:cs="Calibri" w:hAnsi="Calibri" w:ascii="Calibri"/>
          <w:sz w:val="21"/>
          <w:szCs w:val="21"/>
        </w:rPr>
      </w:pPr>
      <w:r>
        <w:rPr>
          <w:rFonts w:cs="Calibri" w:eastAsia="Calibri" w:hAnsi="Calibri" w:ascii="Calibri"/>
          <w:sz w:val="21"/>
          <w:szCs w:val="21"/>
        </w:rPr>
        <w:t xml:space="preserve">     </w:t>
      </w:r>
      <w:r>
        <w:rPr>
          <w:rFonts w:cs="Calibri" w:hAnsi="Calibri" w:ascii="Calibri"/>
          <w:sz w:val="21"/>
          <w:szCs w:val="21"/>
        </w:rPr>
        <w:t>4. Odobrava se prijedlog troškova u stečajnom postupku.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right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S</w:t>
      </w:r>
      <w:bookmarkStart w:name="_GoBack" w:id="0"/>
      <w:bookmarkEnd w:id="0"/>
      <w:r>
        <w:rPr>
          <w:rFonts w:cs="Calibri" w:hAnsi="Calibri" w:ascii="Calibri"/>
          <w:sz w:val="21"/>
          <w:szCs w:val="21"/>
        </w:rPr>
        <w:t>tečajni upravitelj:</w:t>
      </w:r>
    </w:p>
    <w:p w:rsidRDefault="00E00CE2" w:rsidP="00E00CE2" w:rsidR="00E00CE2">
      <w:pPr>
        <w:jc w:val="right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Milan </w:t>
      </w:r>
      <w:proofErr w:type="spellStart"/>
      <w:r>
        <w:rPr>
          <w:rFonts w:cs="Calibri" w:hAnsi="Calibri" w:ascii="Calibri"/>
          <w:sz w:val="21"/>
          <w:szCs w:val="21"/>
        </w:rPr>
        <w:t>Bariša</w:t>
      </w:r>
      <w:proofErr w:type="spellEnd"/>
      <w:r>
        <w:rPr>
          <w:rFonts w:cs="Calibri" w:hAnsi="Calibri" w:ascii="Calibri"/>
          <w:sz w:val="21"/>
          <w:szCs w:val="21"/>
        </w:rPr>
        <w:t xml:space="preserve"> Obradović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>PRILOZI:</w:t>
      </w: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</w:p>
    <w:p w:rsidRDefault="00E00CE2" w:rsidP="00E00CE2" w:rsidR="00E00CE2">
      <w:pPr>
        <w:jc w:val="both"/>
        <w:rPr>
          <w:rFonts w:cs="Calibri" w:hAnsi="Calibri" w:ascii="Calibri"/>
          <w:sz w:val="21"/>
          <w:szCs w:val="21"/>
        </w:rPr>
      </w:pPr>
      <w:r>
        <w:rPr>
          <w:rFonts w:cs="Calibri" w:hAnsi="Calibri" w:ascii="Calibri"/>
          <w:sz w:val="21"/>
          <w:szCs w:val="21"/>
        </w:rPr>
        <w:t xml:space="preserve">- kopija E-mail poruke </w:t>
      </w:r>
    </w:p>
    <w:p w:rsidRDefault="00E00CE2" w:rsidP="00E00CE2" w:rsidR="00E00CE2">
      <w:pPr>
        <w:jc w:val="both"/>
        <w:rPr>
          <w:rFonts w:cs="Times New Roman"/>
        </w:rPr>
      </w:pPr>
      <w:r>
        <w:rPr>
          <w:rFonts w:cs="Calibri" w:hAnsi="Calibri" w:ascii="Calibri"/>
          <w:sz w:val="21"/>
          <w:szCs w:val="21"/>
        </w:rPr>
        <w:t>- kopije računa troškova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sina">
    <w:altName w:val="Times New Roman"/>
    <w:charset w:val="01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ndale Sans UI">
    <w:altName w:val="Arial Unicode MS"/>
    <w:charset w:val="EE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Arial" w:hAnsi="Libersina" w:ascii="Libersina"/>
        <w:b w:val="false"/>
        <w:bCs w:val="fals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ymbol" w:hAnsi="Symbol" w:ascii="Symbol"/>
        <w:sz w:val="22"/>
        <w:szCs w:val="22"/>
        <w:lang w:val="hr-HR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ymbol" w:hAnsi="Symbol" w:ascii="Symbol"/>
        <w:sz w:val="22"/>
        <w:szCs w:val="22"/>
        <w:lang w:val="hr-HR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ymbol" w:hAnsi="Symbol" w:ascii="Symbol"/>
        <w:sz w:val="22"/>
        <w:szCs w:val="22"/>
        <w:lang w:val="hr-HR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ymbol" w:hAnsi="Symbol" w:ascii="Symbol"/>
        <w:sz w:val="22"/>
        <w:szCs w:val="22"/>
        <w:lang w:val="hr-HR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ymbol" w:hAnsi="Symbol" w:ascii="Symbol"/>
        <w:sz w:val="22"/>
        <w:szCs w:val="22"/>
        <w:lang w:val="hr-HR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ymbol" w:hAnsi="Symbol" w:ascii="Symbol"/>
        <w:sz w:val="22"/>
        <w:szCs w:val="22"/>
        <w:lang w:val="hr-HR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ymbol" w:hAnsi="Symbol" w:ascii="Symbol"/>
        <w:sz w:val="22"/>
        <w:szCs w:val="22"/>
        <w:lang w:val="hr-HR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ymbol" w:hAnsi="Symbol" w:ascii="Symbol"/>
        <w:sz w:val="22"/>
        <w:szCs w:val="22"/>
        <w:lang w:val="hr-HR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Symbol" w:hAnsi="Symbol" w:ascii="Symbol"/>
        <w:sz w:val="22"/>
        <w:szCs w:val="22"/>
        <w:lang w:val="hr-HR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3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2"/>
  </w:num>
  <w:num w:numId="40">
    <w:abstractNumId w:val="11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CE2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NoSpacing" w:type="paragraph">
    <w:name w:val="No Spacing"/>
    <w:rsid w:val="00E00CE2"/>
    <w:pPr>
      <w:suppressAutoHyphens/>
      <w:spacing w:lineRule="auto" w:line="240" w:after="240"/>
      <w:contextualSpacing/>
    </w:pPr>
    <w:rPr>
      <w:rFonts w:cs="Times New Roman" w:eastAsia="Times New Roman" w:hAnsi="Times New Roman" w:ascii="Times New Roman"/>
      <w:color w:val="00000A"/>
      <w:sz w:val="24"/>
      <w:szCs w:val="24"/>
      <w:lang w:eastAsia="hr-HR" w:val="hr-HR"/>
    </w:rPr>
  </w:style>
  <w:style w:customStyle="true" w:styleId="tabletextfield" w:type="character">
    <w:name w:val="table_text_field"/>
    <w:rsid w:val="00E00CE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NoSpacing" w:type="paragraph">
    <w:name w:val="No Spacing"/>
    <w:rsid w:val="00E00CE2"/>
    <w:pPr>
      <w:suppressAutoHyphens/>
      <w:spacing w:after="240" w:line="240" w:lineRule="auto"/>
      <w:contextualSpacing/>
    </w:pPr>
    <w:rPr>
      <w:rFonts w:ascii="Times New Roman" w:cs="Times New Roman" w:eastAsia="Times New Roman" w:hAnsi="Times New Roman"/>
      <w:color w:val="00000A"/>
      <w:sz w:val="24"/>
      <w:szCs w:val="24"/>
      <w:lang w:eastAsia="hr-HR" w:val="hr-HR"/>
    </w:rPr>
  </w:style>
  <w:style w:customStyle="1" w:styleId="tabletextfield" w:type="character">
    <w:name w:val="table_text_field"/>
    <w:rsid w:val="00E00CE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87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St-649/2017-6</izvorni_sadrzaj>
    <derivirana_varijabla naziv="DomainObject.Oznaka_1">St-649/2017-6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St-649/2017-6</izvorni_sadrzaj>
    <derivirana_varijabla naziv="DomainObject.PoslovniBrojDokumenta_1">St-649/2017-6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370E9-0D06-4BF5-A3B2-8958C374D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1616</properties:Words>
  <properties:Characters>9574</properties:Characters>
  <properties:Lines>287</properties:Lines>
  <properties:Paragraphs>167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2017-10-20T08:13:00Z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St-649/2017-6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