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fa0b" w14:paraId="974fa0b" w:rsidRDefault="00490F74" w:rsidR="00490F74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4353AA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C02DD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.2pt;height:75.6pt;visibility:visible;mso-wrap-style:square" type="#_x0000_t75">
                  <v:imagedata r:id="rId10" o:title=""/>
                </v:shape>
              </w:pict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353AA" w:rsidP="004353AA" w:rsidR="004353A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4569E">
        <w:rPr>
          <w:sz w:val="24"/>
        </w:rPr>
        <w:t>623/15</w:t>
      </w:r>
      <w:r>
        <w:rPr>
          <w:sz w:val="24"/>
        </w:rPr>
        <w:t xml:space="preserve"> </w:t>
      </w:r>
    </w:p>
    <w:p w:rsidRDefault="00A25B42" w:rsidP="004353AA" w:rsidR="00A25B42">
      <w:pPr>
        <w:rPr>
          <w:sz w:val="24"/>
        </w:rPr>
      </w:pPr>
    </w:p>
    <w:p w:rsidRDefault="004353AA" w:rsidP="004353AA" w:rsidR="004353AA">
      <w:pPr>
        <w:jc w:val="center"/>
        <w:rPr>
          <w:b/>
          <w:sz w:val="24"/>
        </w:rPr>
      </w:pP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>R E P U B L I K A   H R V A T S K A</w:t>
      </w: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 xml:space="preserve"> </w:t>
      </w:r>
    </w:p>
    <w:p w:rsidRDefault="004353AA" w:rsidP="004353AA" w:rsidR="004353AA" w:rsidRPr="009302AD">
      <w:pPr>
        <w:jc w:val="center"/>
        <w:rPr>
          <w:sz w:val="24"/>
        </w:rPr>
      </w:pPr>
      <w:r w:rsidRPr="009302AD">
        <w:rPr>
          <w:sz w:val="24"/>
        </w:rPr>
        <w:t>R J E Š E NJ E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4353AA" w:rsidP="004353AA" w:rsidR="004353A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="00D3480F">
        <w:rPr>
          <w:sz w:val="24"/>
          <w:szCs w:val="24"/>
        </w:rPr>
        <w:t>dužnik</w:t>
      </w:r>
      <w:r w:rsidR="00F85CF0">
        <w:rPr>
          <w:sz w:val="24"/>
          <w:szCs w:val="24"/>
        </w:rPr>
        <w:t>om</w:t>
      </w:r>
      <w:r w:rsidR="00D3480F">
        <w:rPr>
          <w:sz w:val="24"/>
          <w:szCs w:val="24"/>
        </w:rPr>
        <w:t xml:space="preserve"> </w:t>
      </w:r>
      <w:r w:rsidR="0054569E">
        <w:rPr>
          <w:sz w:val="24"/>
          <w:szCs w:val="24"/>
        </w:rPr>
        <w:t>GODRA d.o.o. Zagreb, Samoborska cesta 107</w:t>
      </w:r>
      <w:r w:rsidR="00F85CF0">
        <w:rPr>
          <w:sz w:val="24"/>
          <w:szCs w:val="24"/>
        </w:rPr>
        <w:t xml:space="preserve">, dana </w:t>
      </w:r>
      <w:r w:rsidR="00A25B42">
        <w:rPr>
          <w:sz w:val="24"/>
          <w:szCs w:val="24"/>
        </w:rPr>
        <w:t>4. studenog</w:t>
      </w:r>
      <w:r w:rsidR="00F85CF0">
        <w:rPr>
          <w:sz w:val="24"/>
          <w:szCs w:val="24"/>
        </w:rPr>
        <w:t xml:space="preserve"> 2015.</w:t>
      </w:r>
    </w:p>
    <w:p w:rsidRDefault="004353AA" w:rsidP="004353AA" w:rsidR="004353AA" w:rsidRPr="002519C3">
      <w:pPr>
        <w:jc w:val="both"/>
        <w:rPr>
          <w:b/>
          <w:sz w:val="40"/>
          <w:szCs w:val="40"/>
        </w:rPr>
      </w:pPr>
    </w:p>
    <w:p w:rsidRDefault="004353AA" w:rsidP="004353AA" w:rsidR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4353AA" w:rsidP="004353AA" w:rsidR="004353AA">
      <w:pPr>
        <w:jc w:val="center"/>
        <w:rPr>
          <w:b/>
          <w:sz w:val="24"/>
        </w:rPr>
      </w:pPr>
    </w:p>
    <w:p w:rsidRDefault="00A25B42" w:rsidP="004353AA" w:rsidR="004353AA">
      <w:pPr>
        <w:ind w:firstLine="555"/>
        <w:jc w:val="both"/>
        <w:rPr>
          <w:sz w:val="24"/>
        </w:rPr>
      </w:pPr>
      <w:r>
        <w:rPr>
          <w:sz w:val="24"/>
        </w:rPr>
        <w:t xml:space="preserve">Obustavlja se stečajni </w:t>
      </w:r>
      <w:r w:rsidR="004353AA">
        <w:rPr>
          <w:sz w:val="24"/>
        </w:rPr>
        <w:t xml:space="preserve">postupak </w:t>
      </w:r>
      <w:r w:rsidR="00F85CF0">
        <w:rPr>
          <w:sz w:val="24"/>
        </w:rPr>
        <w:t xml:space="preserve">dužnikom </w:t>
      </w:r>
      <w:r w:rsidR="0054569E">
        <w:rPr>
          <w:sz w:val="24"/>
          <w:szCs w:val="24"/>
        </w:rPr>
        <w:t xml:space="preserve">GODRA d.o.o. Zagreb, Samoborska cesta 107 </w:t>
      </w:r>
      <w:r w:rsidR="000D29FF">
        <w:rPr>
          <w:sz w:val="24"/>
          <w:szCs w:val="24"/>
        </w:rPr>
        <w:t xml:space="preserve">(OIB </w:t>
      </w:r>
      <w:r w:rsidR="0054569E">
        <w:rPr>
          <w:sz w:val="24"/>
          <w:szCs w:val="24"/>
        </w:rPr>
        <w:t>45842366077</w:t>
      </w:r>
      <w:r w:rsidR="000D29FF">
        <w:rPr>
          <w:sz w:val="24"/>
          <w:szCs w:val="24"/>
        </w:rPr>
        <w:t>).</w:t>
      </w:r>
    </w:p>
    <w:p w:rsidRDefault="00FF68DA" w:rsidP="00E0714E" w:rsidR="00FF68DA">
      <w:pPr>
        <w:jc w:val="both"/>
        <w:rPr>
          <w:sz w:val="24"/>
          <w:szCs w:val="24"/>
        </w:rPr>
      </w:pPr>
    </w:p>
    <w:p w:rsidRDefault="00A25B42" w:rsidP="00E0714E" w:rsidR="00A25B42" w:rsidRPr="00C37D39">
      <w:pPr>
        <w:jc w:val="both"/>
        <w:rPr>
          <w:sz w:val="24"/>
          <w:szCs w:val="24"/>
        </w:rPr>
      </w:pPr>
    </w:p>
    <w:p w:rsidRDefault="006F7455" w:rsidR="006F7455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A25B42" w:rsidR="00A25B42" w:rsidRPr="00C37D39">
      <w:pPr>
        <w:jc w:val="center"/>
        <w:rPr>
          <w:sz w:val="24"/>
          <w:szCs w:val="24"/>
        </w:rPr>
      </w:pPr>
    </w:p>
    <w:p w:rsidRDefault="00105FD5" w:rsidP="00F85CF0" w:rsidR="00585EF2">
      <w:pPr>
        <w:ind w:firstLine="555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</w:t>
      </w:r>
      <w:r w:rsidR="00BE26CE">
        <w:rPr>
          <w:sz w:val="24"/>
        </w:rPr>
        <w:t xml:space="preserve">25. kolovoza </w:t>
      </w:r>
      <w:r w:rsidR="000D29FF">
        <w:rPr>
          <w:sz w:val="24"/>
        </w:rPr>
        <w:t>2015.</w:t>
      </w:r>
      <w:r>
        <w:rPr>
          <w:sz w:val="24"/>
        </w:rPr>
        <w:t xml:space="preserve"> prijedlog za otvaranje stečajnog postupka nad </w:t>
      </w:r>
      <w:r w:rsidR="00ED69B0">
        <w:rPr>
          <w:sz w:val="24"/>
        </w:rPr>
        <w:t>dužnik</w:t>
      </w:r>
      <w:r w:rsidR="00BE26CE">
        <w:rPr>
          <w:sz w:val="24"/>
        </w:rPr>
        <w:t>om</w:t>
      </w:r>
      <w:r w:rsidR="00ED69B0">
        <w:rPr>
          <w:sz w:val="24"/>
        </w:rPr>
        <w:t xml:space="preserve"> </w:t>
      </w:r>
      <w:r w:rsidR="00BE26CE">
        <w:rPr>
          <w:sz w:val="24"/>
          <w:szCs w:val="24"/>
        </w:rPr>
        <w:t>GODRA d.o.o. Zagreb, Samoborska cesta 107.</w:t>
      </w:r>
    </w:p>
    <w:p w:rsidRDefault="00105FD5" w:rsidP="00F85CF0" w:rsidR="00105FD5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</w:t>
      </w:r>
      <w:r w:rsidR="00F85CF0">
        <w:rPr>
          <w:sz w:val="24"/>
          <w:szCs w:val="24"/>
        </w:rPr>
        <w:t>pravomoćnom odlukom</w:t>
      </w:r>
      <w:r w:rsidR="00585EF2">
        <w:rPr>
          <w:sz w:val="24"/>
          <w:szCs w:val="24"/>
        </w:rPr>
        <w:t xml:space="preserve"> od </w:t>
      </w:r>
      <w:r w:rsidR="00113873">
        <w:rPr>
          <w:sz w:val="24"/>
          <w:szCs w:val="24"/>
        </w:rPr>
        <w:t xml:space="preserve">18. </w:t>
      </w:r>
      <w:r w:rsidR="00BE26CE">
        <w:rPr>
          <w:sz w:val="24"/>
          <w:szCs w:val="24"/>
        </w:rPr>
        <w:t>lip</w:t>
      </w:r>
      <w:r w:rsidR="00113873">
        <w:rPr>
          <w:sz w:val="24"/>
          <w:szCs w:val="24"/>
        </w:rPr>
        <w:t>nja</w:t>
      </w:r>
      <w:r w:rsidR="000D29FF">
        <w:rPr>
          <w:sz w:val="24"/>
          <w:szCs w:val="24"/>
        </w:rPr>
        <w:t xml:space="preserve"> </w:t>
      </w:r>
      <w:r w:rsidR="00585EF2">
        <w:rPr>
          <w:sz w:val="24"/>
          <w:szCs w:val="24"/>
        </w:rPr>
        <w:t xml:space="preserve"> 201</w:t>
      </w:r>
      <w:r w:rsidR="000D29FF">
        <w:rPr>
          <w:sz w:val="24"/>
          <w:szCs w:val="24"/>
        </w:rPr>
        <w:t>5</w:t>
      </w:r>
      <w:r w:rsidR="00585EF2">
        <w:rPr>
          <w:sz w:val="24"/>
          <w:szCs w:val="24"/>
        </w:rPr>
        <w:t>.</w:t>
      </w:r>
      <w:r w:rsidR="00F85CF0">
        <w:rPr>
          <w:sz w:val="24"/>
          <w:szCs w:val="24"/>
        </w:rPr>
        <w:t xml:space="preserve"> </w:t>
      </w:r>
      <w:r>
        <w:rPr>
          <w:sz w:val="24"/>
          <w:szCs w:val="24"/>
        </w:rPr>
        <w:t>poslovni broj ur. br. 04-06-1</w:t>
      </w:r>
      <w:r w:rsidR="000D29FF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BE26CE">
        <w:rPr>
          <w:sz w:val="24"/>
          <w:szCs w:val="24"/>
        </w:rPr>
        <w:t>4420-53</w:t>
      </w:r>
      <w:r>
        <w:rPr>
          <w:sz w:val="24"/>
          <w:szCs w:val="24"/>
        </w:rPr>
        <w:t xml:space="preserve"> nagodbeno vijeće o</w:t>
      </w:r>
      <w:r w:rsidR="00BE26CE">
        <w:rPr>
          <w:sz w:val="24"/>
          <w:szCs w:val="24"/>
        </w:rPr>
        <w:t>bustavilo</w:t>
      </w:r>
      <w:r w:rsidR="000D29FF">
        <w:rPr>
          <w:sz w:val="24"/>
          <w:szCs w:val="24"/>
        </w:rPr>
        <w:t xml:space="preserve"> </w:t>
      </w:r>
      <w:r w:rsidR="00BE26CE">
        <w:rPr>
          <w:sz w:val="24"/>
          <w:szCs w:val="24"/>
        </w:rPr>
        <w:t xml:space="preserve">postupak </w:t>
      </w:r>
      <w:r w:rsidR="00F85CF0">
        <w:rPr>
          <w:sz w:val="24"/>
          <w:szCs w:val="24"/>
        </w:rPr>
        <w:t xml:space="preserve">predstečajne </w:t>
      </w:r>
      <w:r w:rsidR="008C2A55">
        <w:rPr>
          <w:sz w:val="24"/>
          <w:szCs w:val="24"/>
        </w:rPr>
        <w:t xml:space="preserve"> </w:t>
      </w:r>
      <w:r>
        <w:rPr>
          <w:sz w:val="24"/>
          <w:szCs w:val="24"/>
        </w:rPr>
        <w:t>nagodbe</w:t>
      </w:r>
      <w:r w:rsidR="00F85CF0">
        <w:rPr>
          <w:sz w:val="24"/>
          <w:szCs w:val="24"/>
        </w:rPr>
        <w:t xml:space="preserve"> nad dužnikom</w:t>
      </w:r>
      <w:r>
        <w:rPr>
          <w:sz w:val="24"/>
          <w:szCs w:val="24"/>
        </w:rPr>
        <w:t xml:space="preserve">. </w:t>
      </w:r>
    </w:p>
    <w:p w:rsidRDefault="00105FD5" w:rsidP="00105FD5" w:rsidR="00105F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</w:t>
      </w:r>
      <w:r w:rsidR="00BE26CE">
        <w:rPr>
          <w:sz w:val="24"/>
          <w:szCs w:val="24"/>
        </w:rPr>
        <w:t>18. lipnja</w:t>
      </w:r>
      <w:r w:rsidR="00113873">
        <w:rPr>
          <w:sz w:val="24"/>
          <w:szCs w:val="24"/>
        </w:rPr>
        <w:t xml:space="preserve"> 2015</w:t>
      </w:r>
      <w:r w:rsidR="00585EF2">
        <w:rPr>
          <w:sz w:val="24"/>
          <w:szCs w:val="24"/>
        </w:rPr>
        <w:t>.</w:t>
      </w:r>
      <w:r>
        <w:rPr>
          <w:sz w:val="24"/>
          <w:szCs w:val="24"/>
        </w:rPr>
        <w:t xml:space="preserve"> iz članka 4. stavak 9. </w:t>
      </w:r>
      <w:r>
        <w:rPr>
          <w:sz w:val="24"/>
        </w:rPr>
        <w:t>Stečajnog zakona (N.N. br. 44/96, 29/99, 129/00, 123/03, 82/06,  116/10, 25/12 i 133/12 dalje: SZ)</w:t>
      </w:r>
      <w:r w:rsidR="00A25B42">
        <w:rPr>
          <w:sz w:val="24"/>
        </w:rPr>
        <w:t xml:space="preserve"> , koji se u ovom postupku primjenjuje temeljem odredbe članka 441,. stavak 1. Stečajnog zakona (NN br. 71/15)</w:t>
      </w:r>
      <w:r>
        <w:rPr>
          <w:sz w:val="24"/>
          <w:szCs w:val="24"/>
        </w:rPr>
        <w:t xml:space="preserve"> te spis predstečajne nagodbe. </w:t>
      </w:r>
    </w:p>
    <w:p w:rsidRDefault="00A25B42" w:rsidP="004D3F34" w:rsidR="00105F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od 27. kolovoza 2015. pokrenut je nad dužnikom prethodni postupak. </w:t>
      </w: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15. listopada 2015. dužnik je dostavio potvrdu FINA-e od 13. listopada 2015. prema kojoj račun dužnika nije u blokadi. </w:t>
      </w: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285E26" w:rsidP="004D3F34" w:rsidR="00A25B42">
      <w:pPr>
        <w:ind w:firstLine="709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Prema odredbi čl. </w:t>
      </w:r>
      <w:r w:rsidR="00A25B42">
        <w:rPr>
          <w:sz w:val="24"/>
          <w:szCs w:val="24"/>
        </w:rPr>
        <w:t xml:space="preserve">53. stavak 9. SZ-a ako se utvrdi da je dužnik do završetka prethodnog postupka postao sposoban za plaćnje, postupak će se obustaviti. </w:t>
      </w:r>
    </w:p>
    <w:p w:rsidRDefault="00A25B42" w:rsidP="004D3F34" w:rsidR="00A25B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Kako je dakle, temeljem uvida u potvrdu FINA-e od 13. listopada 2015. sud utvrdio da je dužnik postao sposoban za plaćanje, valjalo je temeljem naprijed citiranog članka 53</w:t>
      </w:r>
      <w:r w:rsidR="00285E26" w:rsidRPr="00C37D39">
        <w:rPr>
          <w:sz w:val="24"/>
          <w:szCs w:val="24"/>
        </w:rPr>
        <w:t>. st.</w:t>
      </w:r>
      <w:r w:rsidR="004E36D1" w:rsidRPr="00C37D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9. SZ-a obustaviti ovaj stečajni postupak. </w:t>
      </w:r>
    </w:p>
    <w:p w:rsidRDefault="00A25B42" w:rsidP="004D3F34" w:rsidR="00A25B42">
      <w:pPr>
        <w:ind w:firstLine="709"/>
        <w:jc w:val="both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 w:rsidR="00A25B42">
        <w:rPr>
          <w:sz w:val="24"/>
          <w:szCs w:val="24"/>
        </w:rPr>
        <w:t>4. studenog</w:t>
      </w:r>
      <w:r w:rsidR="000C24D0">
        <w:rPr>
          <w:sz w:val="24"/>
          <w:szCs w:val="24"/>
        </w:rPr>
        <w:t xml:space="preserve"> 2015.</w:t>
      </w:r>
    </w:p>
    <w:p w:rsidRDefault="006C7E17" w:rsidP="006C7E17" w:rsidR="006C7E17" w:rsidRPr="00C37D39">
      <w:pPr>
        <w:ind w:firstLine="720"/>
        <w:jc w:val="center"/>
        <w:rPr>
          <w:sz w:val="24"/>
          <w:szCs w:val="24"/>
        </w:rPr>
      </w:pPr>
    </w:p>
    <w:p w:rsidRDefault="006C7E17" w:rsidP="00490F74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E52730" w:rsidP="00490F74" w:rsidR="00727A3A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</w:p>
    <w:p w:rsidRDefault="00E52730" w:rsidP="00482933" w:rsidR="00727A3A" w:rsidRPr="00C37D39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</w:p>
    <w:p w:rsidRDefault="00556403" w:rsidP="00482933" w:rsidR="00556403" w:rsidRPr="00C37D39">
      <w:pPr>
        <w:ind w:left="5040"/>
        <w:rPr>
          <w:sz w:val="24"/>
          <w:szCs w:val="24"/>
        </w:rPr>
      </w:pPr>
    </w:p>
    <w:p w:rsidRDefault="00A25B42" w:rsidP="00A25B42" w:rsidR="00A25B4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A25B42" w:rsidP="00A25B42" w:rsidR="00A25B4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8E6A96" w:rsidR="008E6A96">
      <w:pPr>
        <w:jc w:val="both"/>
        <w:rPr>
          <w:sz w:val="24"/>
          <w:szCs w:val="24"/>
        </w:rPr>
      </w:pPr>
    </w:p>
    <w:p w:rsidRDefault="00723D12" w:rsidP="008E6A96" w:rsidR="00723D12">
      <w:pPr>
        <w:jc w:val="both"/>
        <w:rPr>
          <w:sz w:val="24"/>
          <w:szCs w:val="24"/>
        </w:rPr>
      </w:pPr>
    </w:p>
    <w:p w:rsidRDefault="006F7455" w:rsidP="008E6A96" w:rsidR="00CE3B7D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DNA:</w:t>
      </w:r>
      <w:r w:rsidR="00CE3B7D" w:rsidRPr="00C37D39">
        <w:rPr>
          <w:sz w:val="24"/>
          <w:szCs w:val="24"/>
        </w:rPr>
        <w:t xml:space="preserve"> </w:t>
      </w:r>
    </w:p>
    <w:p w:rsidRDefault="002903F5" w:rsidP="002903F5" w:rsidR="002903F5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predlagatelj</w:t>
      </w:r>
      <w:r w:rsidR="0062390A" w:rsidRPr="00C37D39">
        <w:rPr>
          <w:sz w:val="24"/>
          <w:szCs w:val="24"/>
        </w:rPr>
        <w:t xml:space="preserve">u </w:t>
      </w:r>
      <w:r w:rsidR="00F3761C" w:rsidRPr="00C37D39">
        <w:rPr>
          <w:sz w:val="24"/>
          <w:szCs w:val="24"/>
        </w:rPr>
        <w:t xml:space="preserve"> </w:t>
      </w:r>
    </w:p>
    <w:p w:rsidRDefault="005F66D7" w:rsidP="00556403" w:rsidR="0055640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zz dužnika -2 </w:t>
      </w:r>
    </w:p>
    <w:p w:rsidRDefault="00A25B42" w:rsidP="00556403" w:rsidR="00A25B42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stečajna pisarnica</w:t>
      </w:r>
    </w:p>
    <w:p w:rsidRDefault="00A25B42" w:rsidP="00556403" w:rsidR="00A25B42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 suda 15 dana</w:t>
      </w:r>
    </w:p>
    <w:p w:rsidRDefault="005F66D7" w:rsidP="00D84311" w:rsidR="00556403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9944ED" w:rsidP="005F66D7" w:rsidR="009944ED" w:rsidRPr="00C37D39">
      <w:pPr>
        <w:ind w:left="1363"/>
        <w:jc w:val="both"/>
        <w:rPr>
          <w:sz w:val="24"/>
          <w:szCs w:val="24"/>
        </w:rPr>
      </w:pPr>
    </w:p>
    <w:sectPr w:rsidR="009944ED" w:rsidRPr="00C37D39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80A" w:rsidR="008A080A">
      <w:r>
        <w:separator/>
      </w:r>
    </w:p>
  </w:endnote>
  <w:endnote w:id="0" w:type="continuationSeparator">
    <w:p w:rsidRDefault="008A080A" w:rsidR="008A0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80A" w:rsidR="008A080A">
      <w:r>
        <w:separator/>
      </w:r>
    </w:p>
  </w:footnote>
  <w:footnote w:id="0" w:type="continuationSeparator">
    <w:p w:rsidRDefault="008A080A" w:rsidR="008A0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2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8C2A55">
      <w:rPr>
        <w:b/>
        <w:sz w:val="24"/>
      </w:rPr>
      <w:t>40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r w:rsidR="0054569E">
      <w:rPr>
        <w:sz w:val="24"/>
      </w:rPr>
      <w:t>623</w:t>
    </w:r>
    <w:r w:rsidR="000D29FF">
      <w:rPr>
        <w:sz w:val="24"/>
      </w:rPr>
      <w:t>/15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B5C24"/>
    <w:rsid w:val="00026D23"/>
    <w:rsid w:val="0003155D"/>
    <w:rsid w:val="000519B3"/>
    <w:rsid w:val="0005692D"/>
    <w:rsid w:val="00071081"/>
    <w:rsid w:val="00074C71"/>
    <w:rsid w:val="0007677D"/>
    <w:rsid w:val="00087C03"/>
    <w:rsid w:val="000A5840"/>
    <w:rsid w:val="000C09DA"/>
    <w:rsid w:val="000C1E03"/>
    <w:rsid w:val="000C24D0"/>
    <w:rsid w:val="000D29FF"/>
    <w:rsid w:val="000D2BE7"/>
    <w:rsid w:val="000F0727"/>
    <w:rsid w:val="000F2FD1"/>
    <w:rsid w:val="00105FD5"/>
    <w:rsid w:val="00113873"/>
    <w:rsid w:val="00113EC7"/>
    <w:rsid w:val="0013391D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08D7"/>
    <w:rsid w:val="002D765A"/>
    <w:rsid w:val="002E710A"/>
    <w:rsid w:val="002E7605"/>
    <w:rsid w:val="003045B7"/>
    <w:rsid w:val="00311E40"/>
    <w:rsid w:val="0031379E"/>
    <w:rsid w:val="003153AC"/>
    <w:rsid w:val="00315686"/>
    <w:rsid w:val="00315CEB"/>
    <w:rsid w:val="003247B7"/>
    <w:rsid w:val="00343D19"/>
    <w:rsid w:val="003553DC"/>
    <w:rsid w:val="00373E6A"/>
    <w:rsid w:val="00390AA7"/>
    <w:rsid w:val="003E2A8B"/>
    <w:rsid w:val="003F1080"/>
    <w:rsid w:val="003F2F6B"/>
    <w:rsid w:val="003F7139"/>
    <w:rsid w:val="0040103B"/>
    <w:rsid w:val="00415B6F"/>
    <w:rsid w:val="004257A4"/>
    <w:rsid w:val="004353AA"/>
    <w:rsid w:val="004438E0"/>
    <w:rsid w:val="00454BBA"/>
    <w:rsid w:val="00457D8B"/>
    <w:rsid w:val="00457FDD"/>
    <w:rsid w:val="004609F1"/>
    <w:rsid w:val="00472C9F"/>
    <w:rsid w:val="00475FAC"/>
    <w:rsid w:val="00476E8D"/>
    <w:rsid w:val="00477241"/>
    <w:rsid w:val="00482933"/>
    <w:rsid w:val="00487737"/>
    <w:rsid w:val="00490F74"/>
    <w:rsid w:val="00491A4B"/>
    <w:rsid w:val="00494836"/>
    <w:rsid w:val="004A10BF"/>
    <w:rsid w:val="004A64D4"/>
    <w:rsid w:val="004B0EDA"/>
    <w:rsid w:val="004D0D35"/>
    <w:rsid w:val="004D3F34"/>
    <w:rsid w:val="004E36D1"/>
    <w:rsid w:val="004F118D"/>
    <w:rsid w:val="004F258F"/>
    <w:rsid w:val="004F385E"/>
    <w:rsid w:val="00516616"/>
    <w:rsid w:val="00520C1B"/>
    <w:rsid w:val="00532E1F"/>
    <w:rsid w:val="00540232"/>
    <w:rsid w:val="00544F72"/>
    <w:rsid w:val="0054569E"/>
    <w:rsid w:val="00556403"/>
    <w:rsid w:val="00567F40"/>
    <w:rsid w:val="00585EF2"/>
    <w:rsid w:val="005B114B"/>
    <w:rsid w:val="005B5C24"/>
    <w:rsid w:val="005B6F75"/>
    <w:rsid w:val="005C5E15"/>
    <w:rsid w:val="005D23B5"/>
    <w:rsid w:val="005D6653"/>
    <w:rsid w:val="005E4D68"/>
    <w:rsid w:val="005E74E2"/>
    <w:rsid w:val="005F543A"/>
    <w:rsid w:val="005F66D7"/>
    <w:rsid w:val="005F68F6"/>
    <w:rsid w:val="006016EF"/>
    <w:rsid w:val="0062157A"/>
    <w:rsid w:val="0062390A"/>
    <w:rsid w:val="00646958"/>
    <w:rsid w:val="0066340C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018A"/>
    <w:rsid w:val="006B2AD2"/>
    <w:rsid w:val="006B41AE"/>
    <w:rsid w:val="006B50DF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51E2"/>
    <w:rsid w:val="007E5759"/>
    <w:rsid w:val="007F2997"/>
    <w:rsid w:val="007F61FF"/>
    <w:rsid w:val="00813CE7"/>
    <w:rsid w:val="00820667"/>
    <w:rsid w:val="00847191"/>
    <w:rsid w:val="0085270F"/>
    <w:rsid w:val="00866C92"/>
    <w:rsid w:val="008873AB"/>
    <w:rsid w:val="008A080A"/>
    <w:rsid w:val="008A12C7"/>
    <w:rsid w:val="008A1FC6"/>
    <w:rsid w:val="008A502C"/>
    <w:rsid w:val="008B29F7"/>
    <w:rsid w:val="008B3B30"/>
    <w:rsid w:val="008B5CD6"/>
    <w:rsid w:val="008C2A55"/>
    <w:rsid w:val="008C52B1"/>
    <w:rsid w:val="008C641C"/>
    <w:rsid w:val="008D1877"/>
    <w:rsid w:val="008D5D0F"/>
    <w:rsid w:val="008D744A"/>
    <w:rsid w:val="008E4BC6"/>
    <w:rsid w:val="008E6A96"/>
    <w:rsid w:val="00901E4E"/>
    <w:rsid w:val="0094380E"/>
    <w:rsid w:val="00943970"/>
    <w:rsid w:val="0095007A"/>
    <w:rsid w:val="00955837"/>
    <w:rsid w:val="00955B4B"/>
    <w:rsid w:val="00965F05"/>
    <w:rsid w:val="009747C8"/>
    <w:rsid w:val="0097571A"/>
    <w:rsid w:val="0099154D"/>
    <w:rsid w:val="009944ED"/>
    <w:rsid w:val="009A099C"/>
    <w:rsid w:val="009B116D"/>
    <w:rsid w:val="009B184F"/>
    <w:rsid w:val="009B7B88"/>
    <w:rsid w:val="009C2324"/>
    <w:rsid w:val="009D3FC4"/>
    <w:rsid w:val="009E3B10"/>
    <w:rsid w:val="009E6F2C"/>
    <w:rsid w:val="00A003D9"/>
    <w:rsid w:val="00A00458"/>
    <w:rsid w:val="00A110D0"/>
    <w:rsid w:val="00A225FC"/>
    <w:rsid w:val="00A25B42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90C82"/>
    <w:rsid w:val="00AA4FA3"/>
    <w:rsid w:val="00AA5792"/>
    <w:rsid w:val="00AB2A56"/>
    <w:rsid w:val="00AB310B"/>
    <w:rsid w:val="00AB5564"/>
    <w:rsid w:val="00AC3C4C"/>
    <w:rsid w:val="00AD43A6"/>
    <w:rsid w:val="00AF3329"/>
    <w:rsid w:val="00AF7EA2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02DD"/>
    <w:rsid w:val="00BC49CB"/>
    <w:rsid w:val="00BE26CE"/>
    <w:rsid w:val="00BE281E"/>
    <w:rsid w:val="00BE4AD1"/>
    <w:rsid w:val="00BF2ABD"/>
    <w:rsid w:val="00C102FF"/>
    <w:rsid w:val="00C17898"/>
    <w:rsid w:val="00C253D7"/>
    <w:rsid w:val="00C37D39"/>
    <w:rsid w:val="00C56200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5152"/>
    <w:rsid w:val="00D55A79"/>
    <w:rsid w:val="00D72B4F"/>
    <w:rsid w:val="00D84311"/>
    <w:rsid w:val="00D92D7B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21785"/>
    <w:rsid w:val="00E52730"/>
    <w:rsid w:val="00E61527"/>
    <w:rsid w:val="00EA3E28"/>
    <w:rsid w:val="00EA4845"/>
    <w:rsid w:val="00EB0011"/>
    <w:rsid w:val="00EC053F"/>
    <w:rsid w:val="00ED66F8"/>
    <w:rsid w:val="00ED69B0"/>
    <w:rsid w:val="00EF26A9"/>
    <w:rsid w:val="00EF58D7"/>
    <w:rsid w:val="00F259A5"/>
    <w:rsid w:val="00F3525C"/>
    <w:rsid w:val="00F3704A"/>
    <w:rsid w:val="00F3761C"/>
    <w:rsid w:val="00F42A90"/>
    <w:rsid w:val="00F554F1"/>
    <w:rsid w:val="00F63075"/>
    <w:rsid w:val="00F67476"/>
    <w:rsid w:val="00F70396"/>
    <w:rsid w:val="00F74C0F"/>
    <w:rsid w:val="00F74D07"/>
    <w:rsid w:val="00F83060"/>
    <w:rsid w:val="00F85CF0"/>
    <w:rsid w:val="00F92353"/>
    <w:rsid w:val="00F92BC3"/>
    <w:rsid w:val="00F94526"/>
    <w:rsid w:val="00FA5A5E"/>
    <w:rsid w:val="00FB30F0"/>
    <w:rsid w:val="00FB5D5A"/>
    <w:rsid w:val="00FB6F40"/>
    <w:rsid w:val="00FD0250"/>
    <w:rsid w:val="00FE705D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BC0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St-623/2015</izvorni_sadrzaj>
    <derivirana_varijabla naziv="DomainObject.Predmet.OznakaBroj_1">St-623/2015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GODRA d.o.o.</izvorni_sadrzaj>
    <derivirana_varijabla naziv="DomainObject.Predmet.ProtustrankaFormated_1">  GODRA d.o.o.</derivirana_varijabla>
  </DomainObject.Predmet.ProtustrankaFormated>
  <DomainObject.Predmet.ProtustrankaFormatedOIB>
    <izvorni_sadrzaj>  GODRA d.o.o., OIB 45842366077</izvorni_sadrzaj>
    <derivirana_varijabla naziv="DomainObject.Predmet.ProtustrankaFormatedOIB_1">  GODRA d.o.o., OIB 45842366077</derivirana_varijabla>
  </DomainObject.Predmet.ProtustrankaFormatedOIB>
  <DomainObject.Predmet.ProtustrankaFormatedWithAdress>
    <izvorni_sadrzaj> GODRA d.o.o., Samoborska cesta 107, 10000 Zagreb</izvorni_sadrzaj>
    <derivirana_varijabla naziv="DomainObject.Predmet.ProtustrankaFormatedWithAdress_1"> GODRA d.o.o., Samoborska cesta 107, 10000 Zagreb</derivirana_varijabla>
  </DomainObject.Predmet.ProtustrankaFormatedWithAdress>
  <DomainObject.Predmet.ProtustrankaFormatedWithAdressOIB>
    <izvorni_sadrzaj> GODRA d.o.o., OIB 45842366077, Samoborska cesta 107, 10000 Zagreb</izvorni_sadrzaj>
    <derivirana_varijabla naziv="DomainObject.Predmet.ProtustrankaFormatedWithAdressOIB_1"> GODRA d.o.o., OIB 45842366077, Samoborska cesta 107, 10000 Zagreb</derivirana_varijabla>
  </DomainObject.Predmet.ProtustrankaFormatedWithAdressOIB>
  <DomainObject.Predmet.ProtustrankaWithAdress>
    <izvorni_sadrzaj>GODRA d.o.o. Samoborska cesta 107, 10000 Zagreb</izvorni_sadrzaj>
    <derivirana_varijabla naziv="DomainObject.Predmet.ProtustrankaWithAdress_1">GODRA d.o.o. Samoborska cesta 107, 10000 Zagreb</derivirana_varijabla>
  </DomainObject.Predmet.ProtustrankaWithAdress>
  <DomainObject.Predmet.ProtustrankaWithAdressOIB>
    <izvorni_sadrzaj>GODRA d.o.o., OIB 45842366077, Samoborska cesta 107, 10000 Zagreb</izvorni_sadrzaj>
    <derivirana_varijabla naziv="DomainObject.Predmet.ProtustrankaWithAdressOIB_1">GODRA d.o.o., OIB 45842366077, Samoborska cesta 107, 10000 Zagreb</derivirana_varijabla>
  </DomainObject.Predmet.ProtustrankaWithAdressOIB>
  <DomainObject.Predmet.ProtustrankaNazivFormated>
    <izvorni_sadrzaj>GODRA d.o.o.</izvorni_sadrzaj>
    <derivirana_varijabla naziv="DomainObject.Predmet.ProtustrankaNazivFormated_1">GODRA d.o.o.</derivirana_varijabla>
  </DomainObject.Predmet.ProtustrankaNazivFormated>
  <DomainObject.Predmet.ProtustrankaNazivFormatedOIB>
    <izvorni_sadrzaj>GODRA d.o.o., OIB 45842366077</izvorni_sadrzaj>
    <derivirana_varijabla naziv="DomainObject.Predmet.ProtustrankaNazivFormatedOIB_1">GODRA d.o.o., OIB 45842366077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GODRA d.o.o.</item>
    </izvorni_sadrzaj>
    <derivirana_varijabla naziv="DomainObject.Predmet.ProtuStrankaListFormated_1">
      <item>GODRA d.o.o.</item>
    </derivirana_varijabla>
  </DomainObject.Predmet.ProtuStrankaListFormated>
  <DomainObject.Predmet.ProtuStrankaListFormatedOIB>
    <izvorni_sadrzaj>
      <item>GODRA d.o.o., OIB 45842366077</item>
    </izvorni_sadrzaj>
    <derivirana_varijabla naziv="DomainObject.Predmet.ProtuStrankaListFormatedOIB_1">
      <item>GODRA d.o.o., OIB 45842366077</item>
    </derivirana_varijabla>
  </DomainObject.Predmet.ProtuStrankaListFormatedOIB>
  <DomainObject.Predmet.ProtuStrankaListFormatedWithAdress>
    <izvorni_sadrzaj>
      <item>GODRA d.o.o., Samoborska cesta 107, 10000 Zagreb</item>
    </izvorni_sadrzaj>
    <derivirana_varijabla naziv="DomainObject.Predmet.ProtuStrankaListFormatedWithAdress_1">
      <item>GODRA d.o.o., Samoborska cesta 107, 10000 Zagreb</item>
    </derivirana_varijabla>
  </DomainObject.Predmet.ProtuStrankaListFormatedWithAdress>
  <DomainObject.Predmet.ProtuStrankaListFormatedWithAdressOIB>
    <izvorni_sadrzaj>
      <item>GODRA d.o.o., OIB 45842366077, Samoborska cesta 107, 10000 Zagreb</item>
    </izvorni_sadrzaj>
    <derivirana_varijabla naziv="DomainObject.Predmet.ProtuStrankaListFormatedWithAdressOIB_1">
      <item>GODRA d.o.o., OIB 45842366077, Samoborska cesta 107, 10000 Zagreb</item>
    </derivirana_varijabla>
  </DomainObject.Predmet.ProtuStrankaListFormatedWithAdressOIB>
  <DomainObject.Predmet.ProtuStrankaListNazivFormated>
    <izvorni_sadrzaj>
      <item>GODRA d.o.o.</item>
    </izvorni_sadrzaj>
    <derivirana_varijabla naziv="DomainObject.Predmet.ProtuStrankaListNazivFormated_1">
      <item>GODRA d.o.o.</item>
    </derivirana_varijabla>
  </DomainObject.Predmet.ProtuStrankaListNazivFormated>
  <DomainObject.Predmet.ProtuStrankaListNazivFormatedOIB>
    <izvorni_sadrzaj>
      <item>GODRA d.o.o., OIB 45842366077</item>
    </izvorni_sadrzaj>
    <derivirana_varijabla naziv="DomainObject.Predmet.ProtuStrankaListNazivFormatedOIB_1">
      <item>GODRA d.o.o., OIB 45842366077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GODRA d.o.o.</izvorni_sadrzaj>
    <derivirana_varijabla naziv="DomainObject.Predmet.ProtustrankaIDrugi_1">GODRA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GODRA d.o.o., OIB 45842366077, Samoborska cesta 107, 10000 Zagreb</izvorni_sadrzaj>
    <derivirana_varijabla naziv="DomainObject.Predmet.ProtustrankaIDrugiAdressOIB_1">GODRA d.o.o., OIB 45842366077, Samoborska cesta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GODRA d.o.o.</item>
    </izvorni_sadrzaj>
    <derivirana_varijabla naziv="DomainObject.Predmet.SudioniciListNaziv_1">
      <item>FINA Regionalni centar Zagreb</item>
      <item>GODRA d.o.o.</item>
    </derivirana_varijabla>
  </DomainObject.Predmet.SudioniciListNaziv>
  <DomainObject.Predmet.SudioniciListAdressOIB>
    <izvorni_sadrzaj>
      <item>FINA Regionalni centar Zagreb, OIB 85821130368, Ulica grada Vukovara 70,10000 Zagreb</item>
      <item>GODRA d.o.o., OIB 45842366077, Samoborska cesta 107,10000 Zagreb</item>
    </izvorni_sadrzaj>
    <derivirana_varijabla naziv="DomainObject.Predmet.SudioniciListAdressOIB_1">
      <item>FINA Regionalni centar Zagreb, OIB 85821130368, Ulica grada Vukovara 70,10000 Zagreb</item>
      <item>GODRA d.o.o., OIB 45842366077, Samoborska cesta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45842366077</item>
    </izvorni_sadrzaj>
    <derivirana_varijabla naziv="DomainObject.Predmet.SudioniciListNazivOIB_1">
      <item>, OIB 85821130368</item>
      <item>, OIB 45842366077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D6D16-DEF2-4FC7-8D8A-7480F4F1D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1896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2015-11-04T10:15:00Z</dcterms:created>
  <dc:creator>Unknown</dc:creator>
  <cp:lastModifiedBy>Ivanka Lukač</cp:lastModifiedBy>
  <cp:lastPrinted>2015-11-04T10:11:00Z</cp:lastPrinted>
  <dcterms:modified xmlns:xsi="http://www.w3.org/2001/XMLSchema-instance" xsi:type="dcterms:W3CDTF">2015-11-05T09:04:00Z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