
<file path=[Content_Types].xml><?xml version="1.0" encoding="utf-8"?>
<Types xmlns="http://schemas.openxmlformats.org/package/2006/content-types">
  <Default ContentType="application/vnd.openxmlformats-package.relationships+xml" Extension="rels"/>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55b4" w14:paraId="99955b4">
      <w:pPr>
        <w:pStyle w:val="NoSpacing"/>
        <w15:collapsed w:val="false"/>
        <w:rPr/>
      </w:pPr>
      <w:r>
        <w:rPr/>
        <w:t>Zvonko Tomljanović, Našice,Josipa Runjanina 7</w:t>
      </w:r>
    </w:p>
    <w:p>
      <w:pPr>
        <w:pStyle w:val="NoSpacing"/>
        <w:rPr/>
      </w:pPr>
      <w:r>
        <w:rPr/>
        <w:t>Privremeni stečajni upravitelj</w:t>
      </w:r>
    </w:p>
    <w:p>
      <w:pPr>
        <w:pStyle w:val="NoSpacing"/>
        <w:rPr/>
      </w:pPr>
      <w:r>
        <w:rPr/>
        <w:t>VIOLETA d.o.o.Zagreb</w:t>
      </w:r>
    </w:p>
    <w:p>
      <w:pPr>
        <w:pStyle w:val="NoSpacing"/>
        <w:rPr/>
      </w:pPr>
      <w:r>
        <w:rPr/>
        <w:t>OIB18085368645</w:t>
      </w:r>
    </w:p>
    <w:p>
      <w:pPr>
        <w:pStyle w:val="NoSpacing"/>
        <w:rPr/>
      </w:pPr>
      <w:r>
        <w:rPr/>
        <w:t>Našice,24.04.2018.g.</w:t>
      </w:r>
    </w:p>
    <w:p>
      <w:pPr>
        <w:pStyle w:val="NoSpacing"/>
        <w:rPr/>
      </w:pPr>
      <w:r>
        <w:rPr/>
      </w:r>
    </w:p>
    <w:p>
      <w:pPr>
        <w:pStyle w:val="NoSpacing"/>
        <w:rPr/>
      </w:pPr>
      <w:r>
        <w:rPr/>
      </w:r>
    </w:p>
    <w:p>
      <w:pPr>
        <w:pStyle w:val="NoSpacing"/>
        <w:rPr/>
      </w:pPr>
      <w:r>
        <w:rPr/>
      </w:r>
    </w:p>
    <w:p>
      <w:pPr>
        <w:pStyle w:val="NoSpacing"/>
        <w:rPr/>
      </w:pPr>
      <w:r>
        <w:rPr/>
        <w:t xml:space="preserve">                                                                        </w:t>
      </w:r>
      <w:r>
        <w:rPr/>
        <w:t>TRGOVAČKI SUD U OSIJEKU</w:t>
      </w:r>
    </w:p>
    <w:p>
      <w:pPr>
        <w:pStyle w:val="NoSpacing"/>
        <w:rPr/>
      </w:pPr>
      <w:r>
        <w:rPr/>
        <w:t xml:space="preserve">                                                                        </w:t>
      </w:r>
      <w:r>
        <w:rPr/>
        <w:t>STEČAJNOM SUCU</w:t>
      </w:r>
    </w:p>
    <w:p>
      <w:pPr>
        <w:pStyle w:val="NoSpacing"/>
        <w:rPr/>
      </w:pPr>
      <w:r>
        <w:rPr/>
        <w:t xml:space="preserve">                                                                         </w:t>
      </w:r>
      <w:r>
        <w:rPr/>
        <w:t>St-1156/2017</w:t>
      </w:r>
    </w:p>
    <w:p>
      <w:pPr>
        <w:pStyle w:val="NoSpacing"/>
        <w:rPr/>
      </w:pPr>
      <w:r>
        <w:rPr/>
      </w:r>
    </w:p>
    <w:p>
      <w:pPr>
        <w:pStyle w:val="NoSpacing"/>
        <w:rPr/>
      </w:pPr>
      <w:r>
        <w:rPr/>
        <w:t>Premet:Izvješće privremenog stečajnog upravitelja</w:t>
      </w:r>
    </w:p>
    <w:p>
      <w:pPr>
        <w:pStyle w:val="NoSpacing"/>
        <w:rPr/>
      </w:pPr>
      <w:r>
        <w:rPr/>
      </w:r>
    </w:p>
    <w:p>
      <w:pPr>
        <w:pStyle w:val="NoSpacing"/>
        <w:rPr/>
      </w:pPr>
      <w:r>
        <w:rPr/>
      </w:r>
    </w:p>
    <w:p>
      <w:pPr>
        <w:pStyle w:val="NoSpacing"/>
        <w:rPr/>
      </w:pPr>
      <w:r>
        <w:rPr/>
        <w:t>Rješenjem Trgovačkog suda u Osijeku broj  St-1156/2017 od 05.04.2018.g. pokrenut je prethodni postupak nad dužnikom VIOLETA d.o.o. Zagreb,Dubljevička 11 ,Oib 18085368645,</w:t>
      </w:r>
    </w:p>
    <w:p>
      <w:pPr>
        <w:pStyle w:val="NoSpacing"/>
        <w:rPr/>
      </w:pPr>
      <w:r>
        <w:rPr/>
        <w:t>MBS 080644860. Određen sam za privremenog stečajnog upravitelja.</w:t>
      </w:r>
    </w:p>
    <w:p>
      <w:pPr>
        <w:pStyle w:val="NoSpacing"/>
        <w:rPr/>
      </w:pPr>
      <w:r>
        <w:rPr/>
        <w:t>Rješenjem Trgovačkog suda u Osijeku dužan sam dostaviti izvješće o financijsko gospodarskom stanju dužnika.</w:t>
      </w:r>
    </w:p>
    <w:p>
      <w:pPr>
        <w:pStyle w:val="NoSpacing"/>
        <w:rPr/>
      </w:pPr>
      <w:r>
        <w:rPr/>
        <w:t>Navedenim Rješenjem kao  stečajni upravitelj trebam se upoznati s financijsko gospodarskim stanjem dužnika,ispitati postojanja razloga za otvaranje stečajnog postupka i mogu li se imovinom dužnika namiriti troškovi stečajnog postupka.</w:t>
      </w:r>
    </w:p>
    <w:p>
      <w:pPr>
        <w:pStyle w:val="NoSpacing"/>
        <w:rPr/>
      </w:pPr>
      <w:r>
        <w:rPr/>
        <w:t>U tijeku  postupka proveo sam sve potrebne radnje radi utvrđivanja financijsko-gospodarskog stanja dužnika,te mogućnosti provođenja postupka nad njegovom imovinom.</w:t>
      </w:r>
    </w:p>
    <w:p>
      <w:pPr>
        <w:pStyle w:val="NoSpacing"/>
        <w:rPr/>
      </w:pPr>
      <w:r>
        <w:rPr/>
      </w:r>
    </w:p>
    <w:p>
      <w:pPr>
        <w:pStyle w:val="NoSpacing"/>
        <w:rPr/>
      </w:pPr>
      <w:r>
        <w:rPr/>
        <w:t>Tijekom navedenog postupka uvidom u sudski registar Trgovačkog suda u Zagrebu utvrdio sam da je dužnik osnovan Izjavom o osnivanju društva s ograničenom odgovornošću od 12.02.2008.g.</w:t>
      </w:r>
    </w:p>
    <w:p>
      <w:pPr>
        <w:pStyle w:val="NoSpacing"/>
        <w:rPr/>
      </w:pPr>
      <w:r>
        <w:rPr/>
        <w:t>Iz sudskog registra vidljivo je da je kao član društva upisan:</w:t>
      </w:r>
    </w:p>
    <w:p>
      <w:pPr>
        <w:pStyle w:val="NoSpacing"/>
        <w:rPr/>
      </w:pPr>
      <w:r>
        <w:rPr/>
        <w:t xml:space="preserve"> </w:t>
      </w:r>
      <w:r>
        <w:rPr/>
        <w:t>Ivan Glasnović iz Zagreba,Dubljevička 11, Oib 94170355564 ,ujedno i direktor društva,zastupa društvo samostalno i pojedinačno.</w:t>
      </w:r>
    </w:p>
    <w:p>
      <w:pPr>
        <w:pStyle w:val="NoSpacing"/>
        <w:rPr/>
      </w:pPr>
      <w:r>
        <w:rPr/>
        <w:t>U tijeku postupka kontaktirao sam sa zakonskim zastupnikom.</w:t>
      </w:r>
    </w:p>
    <w:p>
      <w:pPr>
        <w:pStyle w:val="NoSpacing"/>
        <w:rPr/>
      </w:pPr>
      <w:r>
        <w:rPr/>
        <w:t>U postupku ispitivanja okolnosti bitnih za ocjenu ispunjenja uvjeta za otvaranje stečajnog postupka izvršio sam uvid u slijedeću dokumentaciju:</w:t>
      </w:r>
    </w:p>
    <w:p>
      <w:pPr>
        <w:pStyle w:val="NoSpacing"/>
        <w:rPr/>
      </w:pPr>
      <w:r>
        <w:rPr/>
        <w:t xml:space="preserve">1.Podaci HZMO o zaposlenosti od 17.04.2018.g. </w:t>
      </w:r>
    </w:p>
    <w:p>
      <w:pPr>
        <w:pStyle w:val="NoSpacing"/>
        <w:rPr/>
      </w:pPr>
      <w:r>
        <w:rPr/>
        <w:t>2.Uvjerenje Stanice za tehnički Pregled vozila "Autoklub Našice"(iz službene evidencije MUP-a )  broj H035-U-00017-18 od 17.04.2018.g. o vlasništvu registriranih  vozila.</w:t>
      </w:r>
    </w:p>
    <w:p>
      <w:pPr>
        <w:pStyle w:val="NoSpacing"/>
        <w:rPr/>
      </w:pPr>
      <w:r>
        <w:rPr/>
        <w:t xml:space="preserve">3.Zahtjev  Općinskom sudu u Zagrebu,Zemljišno knjižni odjel Zagreb od  19.04.2018.g. o vlasništvu nekretnina.  </w:t>
      </w:r>
    </w:p>
    <w:p>
      <w:pPr>
        <w:pStyle w:val="NoSpacing"/>
        <w:rPr/>
      </w:pPr>
      <w:r>
        <w:rPr/>
        <w:t>4.Potvrda Fine Našice o blokadi računa od 26.04.2018 .g.</w:t>
      </w:r>
    </w:p>
    <w:p>
      <w:pPr>
        <w:pStyle w:val="NoSpacing"/>
        <w:rPr/>
      </w:pPr>
      <w:r>
        <w:rPr/>
        <w:t>5.Knjigovodstvena kartica MF Porezna Uprava Ispostava Zagreb-Dubrava od 17.04.2018.g.</w:t>
      </w:r>
    </w:p>
    <w:p>
      <w:pPr>
        <w:pStyle w:val="NoSpacing"/>
        <w:rPr/>
      </w:pPr>
      <w:r>
        <w:rPr/>
        <w:t>6.Uvid u stanje blokade dužnika na int. stranici Poslovna Hrvatska</w:t>
      </w:r>
    </w:p>
    <w:p>
      <w:pPr>
        <w:pStyle w:val="NoSpacing"/>
        <w:rPr/>
      </w:pPr>
      <w:r>
        <w:rPr/>
        <w:t>7.Bilanca stanja na 31.12.2016.g.(uvid i u podatke za 2015.g.)-</w:t>
      </w:r>
      <w:r>
        <w:rPr/>
        <w:t>izvor Boniteti. hr</w:t>
      </w:r>
    </w:p>
    <w:p>
      <w:pPr>
        <w:pStyle w:val="NoSpacing"/>
        <w:rPr/>
      </w:pPr>
      <w:r>
        <w:rPr/>
        <w:t>8.Račun dobiti i gubitka za 2015.g. i  2016.g.-</w:t>
      </w:r>
      <w:r>
        <w:rPr/>
        <w:t>izvor Boniteti. hr</w:t>
      </w:r>
    </w:p>
    <w:p>
      <w:pPr>
        <w:pStyle w:val="NoSpacing"/>
        <w:rPr/>
      </w:pPr>
      <w:r>
        <w:rPr/>
        <w:t>9.Zahtjev GU za katastar Zagreb o posjedu nekretnina,zatraženo 19.04.2018.g.</w:t>
      </w:r>
    </w:p>
    <w:p>
      <w:pPr>
        <w:pStyle w:val="NoSpacing"/>
        <w:rPr/>
      </w:pPr>
      <w:r>
        <w:rPr/>
        <w:t>10.Prokazni popis imovine od 19.04.2018.g.</w:t>
      </w:r>
    </w:p>
    <w:p>
      <w:pPr>
        <w:pStyle w:val="NoSpacing"/>
        <w:rPr/>
      </w:pPr>
      <w:r>
        <w:rPr/>
        <w:t>U svrhu postupka izvršen je uvid u prikupljenu dokumentaciju,uvid u javno dostupne podatke sudskog registra.</w:t>
      </w:r>
    </w:p>
    <w:p>
      <w:pPr>
        <w:pStyle w:val="NoSpacing"/>
        <w:rPr/>
      </w:pPr>
      <w:r>
        <w:rPr/>
        <w:t>Svi dokumenti prilog su izvješću.</w:t>
      </w:r>
    </w:p>
    <w:p>
      <w:pPr>
        <w:pStyle w:val="NoSpacing"/>
        <w:rPr/>
      </w:pPr>
      <w:r>
        <w:rPr/>
      </w:r>
    </w:p>
    <w:p>
      <w:pPr>
        <w:pStyle w:val="NoSpacing"/>
        <w:rPr/>
      </w:pPr>
      <w:r>
        <w:rPr/>
      </w:r>
    </w:p>
    <w:p>
      <w:pPr>
        <w:pStyle w:val="NoSpacing"/>
        <w:rPr/>
      </w:pPr>
      <w:r>
        <w:rPr/>
      </w:r>
    </w:p>
    <w:p>
      <w:pPr>
        <w:pStyle w:val="NoSpacing"/>
        <w:rPr/>
      </w:pPr>
      <w:r>
        <w:rPr/>
      </w:r>
    </w:p>
    <w:p>
      <w:pPr>
        <w:pStyle w:val="NoSpacing"/>
        <w:rPr/>
      </w:pPr>
      <w:r>
        <w:rPr/>
        <w:t>1.OSNOVNI PODACI O DRUŠTVU</w:t>
      </w:r>
    </w:p>
    <w:p>
      <w:pPr>
        <w:pStyle w:val="NoSpacing"/>
        <w:rPr/>
      </w:pPr>
      <w:r>
        <w:rPr/>
      </w:r>
    </w:p>
    <w:p>
      <w:pPr>
        <w:pStyle w:val="NoSpacing"/>
        <w:rPr/>
      </w:pPr>
      <w:r>
        <w:rPr/>
        <w:t>VIOLETA d.o.o. za usluge, upisana je u sudski registar Trgovačkog suda u Zagrebu na temelju  Izjave o osnivanju  društva s ograničenom odgovornošću od 12.02.2008.g.</w:t>
      </w:r>
    </w:p>
    <w:p>
      <w:pPr>
        <w:pStyle w:val="NoSpacing"/>
        <w:rPr/>
      </w:pPr>
      <w:r>
        <w:rPr/>
        <w:t xml:space="preserve"> </w:t>
      </w:r>
      <w:r>
        <w:rPr/>
        <w:t>Temeljni kapital društva iznosi  20.000,00 kuna. Pretežita djelatnost društva su prodaja i kupnja robe.</w:t>
      </w:r>
    </w:p>
    <w:p>
      <w:pPr>
        <w:pStyle w:val="NoSpacing"/>
        <w:rPr/>
      </w:pPr>
      <w:r>
        <w:rPr/>
        <w:t>2.Potvrda Fine Našice o blokadi računa Klasa:120-11/18-02/97,</w:t>
      </w:r>
    </w:p>
    <w:p>
      <w:pPr>
        <w:pStyle w:val="NoSpacing"/>
        <w:rPr/>
      </w:pPr>
      <w:r>
        <w:rPr/>
        <w:t>Ur. broj 08-6601-18-17 od 16.04.2018.g. i uvid u Poslovnu Hrvatsku</w:t>
      </w:r>
    </w:p>
    <w:p>
      <w:pPr>
        <w:pStyle w:val="NoSpacing"/>
        <w:rPr/>
      </w:pPr>
      <w:r>
        <w:rPr/>
        <w:t xml:space="preserve">Uvidom u Očevidnik vidljivo je </w:t>
      </w:r>
    </w:p>
    <w:p>
      <w:pPr>
        <w:pStyle w:val="NoSpacing"/>
        <w:rPr/>
      </w:pPr>
      <w:r>
        <w:rPr/>
        <w:t>-iznos evidentiranih nepodmirenih obveza na dan 16.04.2018.g. iznosio je 264.905,58 kn</w:t>
      </w:r>
    </w:p>
    <w:p>
      <w:pPr>
        <w:pStyle w:val="NoSpacing"/>
        <w:rPr/>
      </w:pPr>
      <w:r>
        <w:rPr/>
        <w:t>-dužnik je u neprekidnoj blokadi  od 656 dana</w:t>
      </w:r>
    </w:p>
    <w:p>
      <w:pPr>
        <w:pStyle w:val="NoSpacing"/>
        <w:rPr/>
      </w:pPr>
      <w:r>
        <w:rPr/>
        <w:t>-broj dana blokade u zadnjih 6 mjeseci je 180 dana</w:t>
      </w:r>
    </w:p>
    <w:p>
      <w:pPr>
        <w:pStyle w:val="NoSpacing"/>
        <w:rPr/>
      </w:pPr>
      <w:r>
        <w:rPr/>
      </w:r>
    </w:p>
    <w:p>
      <w:pPr>
        <w:pStyle w:val="NoSpacing"/>
        <w:rPr/>
      </w:pPr>
      <w:r>
        <w:rPr/>
        <w:t>3.STANJE duga dužnika poreznoj upravi</w:t>
      </w:r>
    </w:p>
    <w:p>
      <w:pPr>
        <w:pStyle w:val="NoSpacing"/>
        <w:rPr/>
      </w:pPr>
      <w:r>
        <w:rPr/>
        <w:t>Uvidom u knjigovodstvenu karticu stečajnog dužnika od 17.04.2018.g. utvrđeno je stanje obveza.</w:t>
      </w:r>
    </w:p>
    <w:p>
      <w:pPr>
        <w:pStyle w:val="NoSpacing"/>
        <w:rPr/>
      </w:pPr>
      <w:r>
        <w:rPr/>
        <w:t>Dužnik je   dužan 216.029,66 kn.</w:t>
      </w:r>
    </w:p>
    <w:p>
      <w:pPr>
        <w:pStyle w:val="NoSpacing"/>
        <w:rPr/>
      </w:pPr>
      <w:r>
        <w:rPr/>
      </w:r>
    </w:p>
    <w:p>
      <w:pPr>
        <w:pStyle w:val="NoSpacing"/>
        <w:rPr/>
      </w:pPr>
      <w:r>
        <w:rPr/>
        <w:t>4.IMOVINA DUŽNIKA</w:t>
      </w:r>
    </w:p>
    <w:p>
      <w:pPr>
        <w:pStyle w:val="NoSpacing"/>
        <w:rPr/>
      </w:pPr>
      <w:r>
        <w:rPr/>
        <w:t>BILANCA</w:t>
      </w:r>
    </w:p>
    <w:tbl>
      <w:tblPr>
        <w:tblStyle w:val="Reetkatablice"/>
        <w:tblW w:type="dxa" w:w="9020"/>
        <w:jc w:val="left"/>
        <w:tblInd w:type="dxa" w:w="-110"/>
        <w:tblCellMar>
          <w:top w:type="dxa" w:w="0"/>
          <w:left w:type="dxa" w:w="-2"/>
          <w:bottom w:type="dxa" w:w="0"/>
          <w:right w:type="dxa" w:w="108"/>
        </w:tblCellMar>
        <w:tblLook w:val="04a0" w:noVBand="1" w:noHBand="0" w:lastColumn="0" w:firstColumn="1" w:lastRow="0" w:firstRow="1"/>
      </w:tblPr>
      <w:tblGrid>
        <w:gridCol w:w="3313"/>
        <w:gridCol w:w="2770"/>
        <w:gridCol w:w="2937"/>
      </w:tblGrid>
      <w:tr>
        <w:trPr/>
        <w:tc>
          <w:tcPr>
            <w:tcW w:type="dxa" w:w="3313"/>
            <w:tcBorders/>
            <w:shd w:fill="auto" w:color="auto" w:val="clear"/>
            <w:tcMar>
              <w:left w:type="dxa" w:w="-2"/>
            </w:tcMar>
          </w:tcPr>
          <w:p>
            <w:pPr>
              <w:pStyle w:val="NoSpacing"/>
              <w:spacing w:lineRule="auto" w:line="240"/>
              <w:rPr/>
            </w:pPr>
            <w:r>
              <w:rPr/>
              <w:t>AKTIVA u kunama</w:t>
            </w:r>
          </w:p>
        </w:tc>
        <w:tc>
          <w:tcPr>
            <w:tcW w:type="dxa" w:w="2770"/>
            <w:tcBorders/>
            <w:shd w:fill="auto" w:color="auto" w:val="clear"/>
            <w:tcMar>
              <w:left w:type="dxa" w:w="-2"/>
            </w:tcMar>
          </w:tcPr>
          <w:p>
            <w:pPr>
              <w:pStyle w:val="NoSpacing"/>
              <w:spacing w:lineRule="auto" w:line="240"/>
              <w:rPr/>
            </w:pPr>
            <w:r>
              <w:rPr/>
              <w:t>31.12.2015.</w:t>
            </w:r>
          </w:p>
        </w:tc>
        <w:tc>
          <w:tcPr>
            <w:tcW w:type="dxa" w:w="2937"/>
            <w:tcBorders/>
            <w:shd w:fill="auto" w:color="auto" w:val="clear"/>
            <w:tcMar>
              <w:left w:type="dxa" w:w="-2"/>
            </w:tcMar>
          </w:tcPr>
          <w:p>
            <w:pPr>
              <w:pStyle w:val="NoSpacing"/>
              <w:spacing w:lineRule="auto" w:line="240"/>
              <w:rPr/>
            </w:pPr>
            <w:r>
              <w:rPr/>
              <w:t>31.12.2016.</w:t>
            </w:r>
          </w:p>
        </w:tc>
      </w:tr>
      <w:tr>
        <w:trPr/>
        <w:tc>
          <w:tcPr>
            <w:tcW w:type="dxa" w:w="3313"/>
            <w:tcBorders/>
            <w:shd w:fill="auto" w:color="auto" w:val="clear"/>
            <w:tcMar>
              <w:left w:type="dxa" w:w="-2"/>
            </w:tcMar>
          </w:tcPr>
          <w:p>
            <w:pPr>
              <w:pStyle w:val="NoSpacing"/>
              <w:spacing w:lineRule="auto" w:line="240"/>
              <w:rPr/>
            </w:pPr>
            <w:r>
              <w:rPr/>
              <w:t>A.Potraživanja upisanog a nepl.kap</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B.Dugotrajna imovina</w:t>
            </w:r>
          </w:p>
        </w:tc>
        <w:tc>
          <w:tcPr>
            <w:tcW w:type="dxa" w:w="2770"/>
            <w:tcBorders/>
            <w:shd w:fill="auto" w:color="auto" w:val="clear"/>
            <w:tcMar>
              <w:left w:type="dxa" w:w="-2"/>
            </w:tcMar>
          </w:tcPr>
          <w:p>
            <w:pPr>
              <w:pStyle w:val="NoSpacing"/>
              <w:spacing w:lineRule="auto" w:line="240"/>
              <w:rPr/>
            </w:pPr>
            <w:r>
              <w:rPr/>
              <w:t>251.700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I.Nematerijalna imovina</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II.Materijalna imovina</w:t>
            </w:r>
          </w:p>
        </w:tc>
        <w:tc>
          <w:tcPr>
            <w:tcW w:type="dxa" w:w="2770"/>
            <w:tcBorders/>
            <w:shd w:fill="auto" w:color="auto" w:val="clear"/>
            <w:tcMar>
              <w:left w:type="dxa" w:w="-2"/>
            </w:tcMar>
          </w:tcPr>
          <w:p>
            <w:pPr>
              <w:pStyle w:val="NoSpacing"/>
              <w:spacing w:lineRule="auto" w:line="240"/>
              <w:rPr/>
            </w:pPr>
            <w:r>
              <w:rPr/>
              <w:t>251.700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III.Dugotrajna financijska imovina</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IV.Potraživanja</w:t>
            </w:r>
          </w:p>
        </w:tc>
        <w:tc>
          <w:tcPr>
            <w:tcW w:type="dxa" w:w="2770"/>
            <w:tcBorders/>
            <w:shd w:fill="auto" w:color="auto" w:val="clear"/>
            <w:tcMar>
              <w:left w:type="dxa" w:w="-2"/>
            </w:tcMar>
          </w:tcPr>
          <w:p>
            <w:pPr>
              <w:pStyle w:val="NoSpacing"/>
              <w:spacing w:lineRule="auto" w:line="240"/>
              <w:rPr/>
            </w:pPr>
            <w:r>
              <w:rPr/>
              <w:t xml:space="preserve"> </w:t>
            </w: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V.Odgođena porezna imovina</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C.Kratkotrajna imovina</w:t>
            </w:r>
          </w:p>
        </w:tc>
        <w:tc>
          <w:tcPr>
            <w:tcW w:type="dxa" w:w="2770"/>
            <w:tcBorders/>
            <w:shd w:fill="auto" w:color="auto" w:val="clear"/>
            <w:tcMar>
              <w:left w:type="dxa" w:w="-2"/>
            </w:tcMar>
          </w:tcPr>
          <w:p>
            <w:pPr>
              <w:pStyle w:val="NoSpacing"/>
              <w:spacing w:lineRule="auto" w:line="240"/>
              <w:rPr/>
            </w:pPr>
            <w:r>
              <w:rPr/>
              <w:t xml:space="preserve"> </w:t>
            </w:r>
            <w:r>
              <w:rPr/>
              <w:t>1.192.700</w:t>
            </w:r>
          </w:p>
        </w:tc>
        <w:tc>
          <w:tcPr>
            <w:tcW w:type="dxa" w:w="2937"/>
            <w:tcBorders/>
            <w:shd w:fill="auto" w:color="auto" w:val="clear"/>
            <w:tcMar>
              <w:left w:type="dxa" w:w="-2"/>
            </w:tcMar>
          </w:tcPr>
          <w:p>
            <w:pPr>
              <w:pStyle w:val="NoSpacing"/>
              <w:spacing w:lineRule="auto" w:line="240"/>
              <w:rPr/>
            </w:pPr>
            <w:r>
              <w:rPr/>
              <w:t>1.306.900</w:t>
            </w:r>
          </w:p>
        </w:tc>
      </w:tr>
      <w:tr>
        <w:trPr/>
        <w:tc>
          <w:tcPr>
            <w:tcW w:type="dxa" w:w="3313"/>
            <w:tcBorders/>
            <w:shd w:fill="auto" w:color="auto" w:val="clear"/>
            <w:tcMar>
              <w:left w:type="dxa" w:w="-2"/>
            </w:tcMar>
          </w:tcPr>
          <w:p>
            <w:pPr>
              <w:pStyle w:val="NoSpacing"/>
              <w:spacing w:lineRule="auto" w:line="240"/>
              <w:rPr/>
            </w:pPr>
            <w:r>
              <w:rPr/>
              <w:t>I.Zalihe</w:t>
            </w:r>
          </w:p>
        </w:tc>
        <w:tc>
          <w:tcPr>
            <w:tcW w:type="dxa" w:w="2770"/>
            <w:tcBorders/>
            <w:shd w:fill="auto" w:color="auto" w:val="clear"/>
            <w:tcMar>
              <w:left w:type="dxa" w:w="-2"/>
            </w:tcMar>
          </w:tcPr>
          <w:p>
            <w:pPr>
              <w:pStyle w:val="NoSpacing"/>
              <w:spacing w:lineRule="auto" w:line="240"/>
              <w:rPr/>
            </w:pPr>
            <w:r>
              <w:rPr/>
              <w:t xml:space="preserve">      </w:t>
            </w:r>
            <w:r>
              <w:rPr/>
              <w:t>27.400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II.Potraživanja</w:t>
            </w:r>
          </w:p>
        </w:tc>
        <w:tc>
          <w:tcPr>
            <w:tcW w:type="dxa" w:w="2770"/>
            <w:tcBorders/>
            <w:shd w:fill="auto" w:color="auto" w:val="clear"/>
            <w:tcMar>
              <w:left w:type="dxa" w:w="-2"/>
            </w:tcMar>
          </w:tcPr>
          <w:p>
            <w:pPr>
              <w:pStyle w:val="NoSpacing"/>
              <w:spacing w:lineRule="auto" w:line="240"/>
              <w:rPr/>
            </w:pPr>
            <w:r>
              <w:rPr/>
              <w:t xml:space="preserve"> </w:t>
            </w:r>
            <w:r>
              <w:rPr/>
              <w:t>1.082.400</w:t>
            </w:r>
          </w:p>
        </w:tc>
        <w:tc>
          <w:tcPr>
            <w:tcW w:type="dxa" w:w="2937"/>
            <w:tcBorders/>
            <w:shd w:fill="auto" w:color="auto" w:val="clear"/>
            <w:tcMar>
              <w:left w:type="dxa" w:w="-2"/>
            </w:tcMar>
          </w:tcPr>
          <w:p>
            <w:pPr>
              <w:pStyle w:val="NoSpacing"/>
              <w:spacing w:lineRule="auto" w:line="240"/>
              <w:rPr/>
            </w:pPr>
            <w:r>
              <w:rPr/>
              <w:t>1.274.900</w:t>
            </w:r>
          </w:p>
        </w:tc>
      </w:tr>
      <w:tr>
        <w:trPr/>
        <w:tc>
          <w:tcPr>
            <w:tcW w:type="dxa" w:w="3313"/>
            <w:tcBorders/>
            <w:shd w:fill="auto" w:color="auto" w:val="clear"/>
            <w:tcMar>
              <w:left w:type="dxa" w:w="-2"/>
            </w:tcMar>
          </w:tcPr>
          <w:p>
            <w:pPr>
              <w:pStyle w:val="NoSpacing"/>
              <w:spacing w:lineRule="auto" w:line="240"/>
              <w:rPr/>
            </w:pPr>
            <w:r>
              <w:rPr/>
              <w:t>III.Kratkotrajna financijska imovina</w:t>
            </w:r>
          </w:p>
        </w:tc>
        <w:tc>
          <w:tcPr>
            <w:tcW w:type="dxa" w:w="2770"/>
            <w:tcBorders/>
            <w:shd w:fill="auto" w:color="auto" w:val="clear"/>
            <w:tcMar>
              <w:left w:type="dxa" w:w="-2"/>
            </w:tcMar>
          </w:tcPr>
          <w:p>
            <w:pPr>
              <w:pStyle w:val="NoSpacing"/>
              <w:spacing w:lineRule="auto" w:line="240"/>
              <w:rPr/>
            </w:pPr>
            <w:r>
              <w:rPr/>
              <w:t xml:space="preserve">      </w:t>
            </w:r>
            <w:r>
              <w:rPr/>
              <w:t>47.5</w:t>
            </w:r>
            <w:r>
              <w:rPr/>
              <w:t>00</w:t>
            </w:r>
          </w:p>
        </w:tc>
        <w:tc>
          <w:tcPr>
            <w:tcW w:type="dxa" w:w="2937"/>
            <w:tcBorders/>
            <w:shd w:fill="auto" w:color="auto" w:val="clear"/>
            <w:tcMar>
              <w:left w:type="dxa" w:w="-2"/>
            </w:tcMar>
          </w:tcPr>
          <w:p>
            <w:pPr>
              <w:pStyle w:val="NoSpacing"/>
              <w:spacing w:lineRule="auto" w:line="240"/>
              <w:rPr/>
            </w:pPr>
            <w:r>
              <w:rPr/>
              <w:t xml:space="preserve"> </w:t>
            </w:r>
            <w:r>
              <w:rPr/>
              <w:t>0</w:t>
            </w:r>
          </w:p>
        </w:tc>
      </w:tr>
      <w:tr>
        <w:trPr/>
        <w:tc>
          <w:tcPr>
            <w:tcW w:type="dxa" w:w="3313"/>
            <w:tcBorders/>
            <w:shd w:fill="auto" w:color="auto" w:val="clear"/>
            <w:tcMar>
              <w:left w:type="dxa" w:w="-2"/>
            </w:tcMar>
          </w:tcPr>
          <w:p>
            <w:pPr>
              <w:pStyle w:val="NoSpacing"/>
              <w:spacing w:lineRule="auto" w:line="240"/>
              <w:rPr/>
            </w:pPr>
            <w:r>
              <w:rPr/>
              <w:t>IV.Novac u banci i blagajni</w:t>
            </w:r>
          </w:p>
        </w:tc>
        <w:tc>
          <w:tcPr>
            <w:tcW w:type="dxa" w:w="2770"/>
            <w:tcBorders/>
            <w:shd w:fill="auto" w:color="auto" w:val="clear"/>
            <w:tcMar>
              <w:left w:type="dxa" w:w="-2"/>
            </w:tcMar>
          </w:tcPr>
          <w:p>
            <w:pPr>
              <w:pStyle w:val="NoSpacing"/>
              <w:spacing w:lineRule="auto" w:line="240"/>
              <w:rPr/>
            </w:pPr>
            <w:r>
              <w:rPr/>
              <w:t xml:space="preserve">      </w:t>
            </w:r>
            <w:r>
              <w:rPr/>
              <w:t>35</w:t>
            </w:r>
            <w:r>
              <w:rPr/>
              <w:t>.400</w:t>
            </w:r>
          </w:p>
        </w:tc>
        <w:tc>
          <w:tcPr>
            <w:tcW w:type="dxa" w:w="2937"/>
            <w:tcBorders/>
            <w:shd w:fill="auto" w:color="auto" w:val="clear"/>
            <w:tcMar>
              <w:left w:type="dxa" w:w="-2"/>
            </w:tcMar>
          </w:tcPr>
          <w:p>
            <w:pPr>
              <w:pStyle w:val="NoSpacing"/>
              <w:spacing w:lineRule="auto" w:line="240"/>
              <w:rPr/>
            </w:pPr>
            <w:r>
              <w:rPr/>
              <w:t xml:space="preserve"> </w:t>
            </w:r>
            <w:r>
              <w:rPr/>
              <w:t>32.</w:t>
            </w:r>
            <w:r>
              <w:rPr/>
              <w:t>1</w:t>
            </w:r>
            <w:r>
              <w:rPr/>
              <w:t>00</w:t>
            </w:r>
          </w:p>
        </w:tc>
      </w:tr>
      <w:tr>
        <w:trPr/>
        <w:tc>
          <w:tcPr>
            <w:tcW w:type="dxa" w:w="3313"/>
            <w:tcBorders/>
            <w:shd w:fill="auto" w:color="auto" w:val="clear"/>
            <w:tcMar>
              <w:left w:type="dxa" w:w="-2"/>
            </w:tcMar>
          </w:tcPr>
          <w:p>
            <w:pPr>
              <w:pStyle w:val="NoSpacing"/>
              <w:spacing w:lineRule="auto" w:line="240"/>
              <w:rPr/>
            </w:pPr>
            <w:r>
              <w:rPr/>
              <w:t>D.Plaćeni troškovi budućeg razd.</w:t>
            </w:r>
          </w:p>
        </w:tc>
        <w:tc>
          <w:tcPr>
            <w:tcW w:type="dxa" w:w="2770"/>
            <w:tcBorders/>
            <w:shd w:fill="auto" w:color="auto" w:val="clear"/>
            <w:tcMar>
              <w:left w:type="dxa" w:w="-2"/>
            </w:tcMar>
          </w:tcPr>
          <w:p>
            <w:pPr>
              <w:pStyle w:val="NoSpacing"/>
              <w:spacing w:lineRule="auto" w:line="240"/>
              <w:rPr/>
            </w:pPr>
            <w:r>
              <w:rPr/>
              <w:t xml:space="preserve">  </w:t>
            </w:r>
            <w:r>
              <w:rPr/>
              <w:t>0</w:t>
            </w:r>
          </w:p>
        </w:tc>
        <w:tc>
          <w:tcPr>
            <w:tcW w:type="dxa" w:w="2937"/>
            <w:tcBorders/>
            <w:shd w:fill="auto" w:color="auto" w:val="clear"/>
            <w:tcMar>
              <w:left w:type="dxa" w:w="-2"/>
            </w:tcMar>
          </w:tcPr>
          <w:p>
            <w:pPr>
              <w:pStyle w:val="NoSpacing"/>
              <w:spacing w:lineRule="auto" w:line="240"/>
              <w:rPr/>
            </w:pPr>
            <w:r>
              <w:rPr/>
              <w:t xml:space="preserve">  </w:t>
            </w:r>
            <w:r>
              <w:rPr/>
              <w:t>0</w:t>
            </w:r>
          </w:p>
        </w:tc>
      </w:tr>
      <w:tr>
        <w:trPr/>
        <w:tc>
          <w:tcPr>
            <w:tcW w:type="dxa" w:w="3313"/>
            <w:tcBorders/>
            <w:shd w:fill="auto" w:color="auto" w:val="clear"/>
            <w:tcMar>
              <w:left w:type="dxa" w:w="-2"/>
            </w:tcMar>
          </w:tcPr>
          <w:p>
            <w:pPr>
              <w:pStyle w:val="NoSpacing"/>
              <w:spacing w:lineRule="auto" w:line="240"/>
              <w:rPr/>
            </w:pPr>
            <w:r>
              <w:rPr/>
              <w:t>E.UKUPNA AKTIVA</w:t>
            </w:r>
          </w:p>
        </w:tc>
        <w:tc>
          <w:tcPr>
            <w:tcW w:type="dxa" w:w="2770"/>
            <w:tcBorders/>
            <w:shd w:fill="auto" w:color="auto" w:val="clear"/>
            <w:tcMar>
              <w:left w:type="dxa" w:w="-2"/>
            </w:tcMar>
          </w:tcPr>
          <w:p>
            <w:pPr>
              <w:pStyle w:val="NoSpacing"/>
              <w:spacing w:lineRule="auto" w:line="240"/>
              <w:rPr/>
            </w:pPr>
            <w:r>
              <w:rPr/>
              <w:t>1.444.400</w:t>
            </w:r>
          </w:p>
        </w:tc>
        <w:tc>
          <w:tcPr>
            <w:tcW w:type="dxa" w:w="2937"/>
            <w:tcBorders/>
            <w:shd w:fill="auto" w:color="auto" w:val="clear"/>
            <w:tcMar>
              <w:left w:type="dxa" w:w="-2"/>
            </w:tcMar>
          </w:tcPr>
          <w:p>
            <w:pPr>
              <w:pStyle w:val="NoSpacing"/>
              <w:spacing w:lineRule="auto" w:line="240"/>
              <w:rPr/>
            </w:pPr>
            <w:r>
              <w:rPr/>
              <w:t>1.306.900</w:t>
            </w:r>
          </w:p>
        </w:tc>
      </w:tr>
      <w:tr>
        <w:trPr/>
        <w:tc>
          <w:tcPr>
            <w:tcW w:type="dxa" w:w="3313"/>
            <w:tcBorders/>
            <w:shd w:fill="auto" w:color="auto" w:val="clear"/>
            <w:tcMar>
              <w:left w:type="dxa" w:w="-2"/>
            </w:tcMar>
          </w:tcPr>
          <w:p>
            <w:pPr>
              <w:pStyle w:val="NoSpacing"/>
              <w:spacing w:lineRule="auto" w:line="240"/>
              <w:rPr/>
            </w:pPr>
            <w:r>
              <w:rPr/>
              <w:t>F.Izvanbilančni zapisi</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PASIVA</w:t>
            </w:r>
          </w:p>
        </w:tc>
        <w:tc>
          <w:tcPr>
            <w:tcW w:type="dxa" w:w="2770"/>
            <w:tcBorders/>
            <w:shd w:fill="auto" w:color="auto" w:val="clear"/>
            <w:tcMar>
              <w:left w:type="dxa" w:w="-2"/>
            </w:tcMar>
          </w:tcPr>
          <w:p>
            <w:pPr>
              <w:pStyle w:val="NoSpacing"/>
              <w:spacing w:lineRule="auto" w:line="240"/>
              <w:rPr/>
            </w:pPr>
            <w:r>
              <w:rPr/>
            </w:r>
          </w:p>
        </w:tc>
        <w:tc>
          <w:tcPr>
            <w:tcW w:type="dxa" w:w="2937"/>
            <w:tcBorders/>
            <w:shd w:fill="auto" w:color="auto" w:val="clear"/>
            <w:tcMar>
              <w:left w:type="dxa" w:w="-2"/>
            </w:tcMar>
          </w:tcPr>
          <w:p>
            <w:pPr>
              <w:pStyle w:val="NoSpacing"/>
              <w:spacing w:lineRule="auto" w:line="240"/>
              <w:rPr/>
            </w:pPr>
            <w:r>
              <w:rPr/>
            </w:r>
          </w:p>
        </w:tc>
      </w:tr>
      <w:tr>
        <w:trPr/>
        <w:tc>
          <w:tcPr>
            <w:tcW w:type="dxa" w:w="3313"/>
            <w:tcBorders/>
            <w:shd w:fill="auto" w:color="auto" w:val="clear"/>
            <w:tcMar>
              <w:left w:type="dxa" w:w="-2"/>
            </w:tcMar>
          </w:tcPr>
          <w:p>
            <w:pPr>
              <w:pStyle w:val="NoSpacing"/>
              <w:spacing w:lineRule="auto" w:line="240"/>
              <w:rPr/>
            </w:pPr>
            <w:r>
              <w:rPr/>
              <w:t>A.Kapital i rezerve</w:t>
            </w:r>
          </w:p>
        </w:tc>
        <w:tc>
          <w:tcPr>
            <w:tcW w:type="dxa" w:w="2770"/>
            <w:tcBorders/>
            <w:shd w:fill="auto" w:color="auto" w:val="clear"/>
            <w:tcMar>
              <w:left w:type="dxa" w:w="-2"/>
            </w:tcMar>
          </w:tcPr>
          <w:p>
            <w:pPr>
              <w:pStyle w:val="NoSpacing"/>
              <w:spacing w:lineRule="auto" w:line="240"/>
              <w:rPr/>
            </w:pPr>
            <w:r>
              <w:rPr/>
              <w:t xml:space="preserve">   </w:t>
            </w:r>
            <w:r>
              <w:rPr/>
              <w:t>282.400</w:t>
            </w:r>
          </w:p>
        </w:tc>
        <w:tc>
          <w:tcPr>
            <w:tcW w:type="dxa" w:w="2937"/>
            <w:tcBorders/>
            <w:shd w:fill="auto" w:color="auto" w:val="clear"/>
            <w:tcMar>
              <w:left w:type="dxa" w:w="-2"/>
            </w:tcMar>
          </w:tcPr>
          <w:p>
            <w:pPr>
              <w:pStyle w:val="NoSpacing"/>
              <w:spacing w:lineRule="auto" w:line="240"/>
              <w:rPr/>
            </w:pPr>
            <w:r>
              <w:rPr/>
              <w:t>170.600</w:t>
            </w:r>
          </w:p>
        </w:tc>
      </w:tr>
      <w:tr>
        <w:trPr/>
        <w:tc>
          <w:tcPr>
            <w:tcW w:type="dxa" w:w="3313"/>
            <w:tcBorders/>
            <w:shd w:fill="auto" w:color="auto" w:val="clear"/>
            <w:tcMar>
              <w:left w:type="dxa" w:w="-2"/>
            </w:tcMar>
          </w:tcPr>
          <w:p>
            <w:pPr>
              <w:pStyle w:val="NoSpacing"/>
              <w:spacing w:lineRule="auto" w:line="240"/>
              <w:rPr/>
            </w:pPr>
            <w:r>
              <w:rPr/>
              <w:t>I.Temeljni-upisani kapital</w:t>
            </w:r>
          </w:p>
        </w:tc>
        <w:tc>
          <w:tcPr>
            <w:tcW w:type="dxa" w:w="2770"/>
            <w:tcBorders/>
            <w:shd w:fill="auto" w:color="auto" w:val="clear"/>
            <w:tcMar>
              <w:left w:type="dxa" w:w="-2"/>
            </w:tcMar>
          </w:tcPr>
          <w:p>
            <w:pPr>
              <w:pStyle w:val="NoSpacing"/>
              <w:spacing w:lineRule="auto" w:line="240"/>
              <w:rPr/>
            </w:pPr>
            <w:r>
              <w:rPr/>
              <w:t xml:space="preserve"> </w:t>
            </w:r>
            <w:r>
              <w:rPr/>
              <w:t xml:space="preserve">20.000         </w:t>
            </w:r>
          </w:p>
        </w:tc>
        <w:tc>
          <w:tcPr>
            <w:tcW w:type="dxa" w:w="2937"/>
            <w:tcBorders/>
            <w:shd w:fill="auto" w:color="auto" w:val="clear"/>
            <w:tcMar>
              <w:left w:type="dxa" w:w="-2"/>
            </w:tcMar>
          </w:tcPr>
          <w:p>
            <w:pPr>
              <w:pStyle w:val="NoSpacing"/>
              <w:spacing w:lineRule="auto" w:line="240"/>
              <w:rPr/>
            </w:pPr>
            <w:r>
              <w:rPr/>
              <w:t xml:space="preserve">  </w:t>
            </w:r>
            <w:r>
              <w:rPr/>
              <w:t xml:space="preserve">20.000   </w:t>
            </w:r>
          </w:p>
        </w:tc>
      </w:tr>
      <w:tr>
        <w:trPr/>
        <w:tc>
          <w:tcPr>
            <w:tcW w:type="dxa" w:w="3313"/>
            <w:tcBorders/>
            <w:shd w:fill="auto" w:color="auto" w:val="clear"/>
            <w:tcMar>
              <w:left w:type="dxa" w:w="-2"/>
            </w:tcMar>
          </w:tcPr>
          <w:p>
            <w:pPr>
              <w:pStyle w:val="NoSpacing"/>
              <w:spacing w:lineRule="auto" w:line="240"/>
              <w:rPr/>
            </w:pPr>
            <w:r>
              <w:rPr/>
              <w:t>II.Kapitalne rezerve</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III.Rezerve iz dobiti</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IV.Revalorizacijske rezerve</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V.Zadržana dobit ili preneseni gub.</w:t>
            </w:r>
          </w:p>
        </w:tc>
        <w:tc>
          <w:tcPr>
            <w:tcW w:type="dxa" w:w="2770"/>
            <w:tcBorders/>
            <w:shd w:fill="auto" w:color="auto" w:val="clear"/>
            <w:tcMar>
              <w:left w:type="dxa" w:w="-2"/>
            </w:tcMar>
          </w:tcPr>
          <w:p>
            <w:pPr>
              <w:pStyle w:val="NoSpacing"/>
              <w:spacing w:lineRule="auto" w:line="240"/>
              <w:rPr/>
            </w:pPr>
            <w:r>
              <w:rPr/>
              <w:t>164.400</w:t>
            </w:r>
          </w:p>
        </w:tc>
        <w:tc>
          <w:tcPr>
            <w:tcW w:type="dxa" w:w="2937"/>
            <w:tcBorders/>
            <w:shd w:fill="auto" w:color="auto" w:val="clear"/>
            <w:tcMar>
              <w:left w:type="dxa" w:w="-2"/>
            </w:tcMar>
          </w:tcPr>
          <w:p>
            <w:pPr>
              <w:pStyle w:val="NoSpacing"/>
              <w:spacing w:lineRule="auto" w:line="240"/>
              <w:rPr/>
            </w:pPr>
            <w:r>
              <w:rPr/>
              <w:t>262.400</w:t>
            </w:r>
          </w:p>
        </w:tc>
      </w:tr>
      <w:tr>
        <w:trPr/>
        <w:tc>
          <w:tcPr>
            <w:tcW w:type="dxa" w:w="3313"/>
            <w:tcBorders/>
            <w:shd w:fill="auto" w:color="auto" w:val="clear"/>
            <w:tcMar>
              <w:left w:type="dxa" w:w="-2"/>
            </w:tcMar>
          </w:tcPr>
          <w:p>
            <w:pPr>
              <w:pStyle w:val="NoSpacing"/>
              <w:spacing w:lineRule="auto" w:line="240"/>
              <w:rPr/>
            </w:pPr>
            <w:r>
              <w:rPr/>
              <w:t>VI.Dobit ili gubitak poslovne god.</w:t>
            </w:r>
          </w:p>
        </w:tc>
        <w:tc>
          <w:tcPr>
            <w:tcW w:type="dxa" w:w="2770"/>
            <w:tcBorders/>
            <w:shd w:fill="auto" w:color="auto" w:val="clear"/>
            <w:tcMar>
              <w:left w:type="dxa" w:w="-2"/>
            </w:tcMar>
          </w:tcPr>
          <w:p>
            <w:pPr>
              <w:pStyle w:val="NoSpacing"/>
              <w:spacing w:lineRule="auto" w:line="240"/>
              <w:rPr/>
            </w:pPr>
            <w:r>
              <w:rPr/>
              <w:t xml:space="preserve"> </w:t>
            </w:r>
            <w:r>
              <w:rPr/>
              <w:t>97.900</w:t>
            </w:r>
          </w:p>
        </w:tc>
        <w:tc>
          <w:tcPr>
            <w:tcW w:type="dxa" w:w="2937"/>
            <w:tcBorders/>
            <w:shd w:fill="auto" w:color="auto" w:val="clear"/>
            <w:tcMar>
              <w:left w:type="dxa" w:w="-2"/>
            </w:tcMar>
          </w:tcPr>
          <w:p>
            <w:pPr>
              <w:pStyle w:val="NoSpacing"/>
              <w:spacing w:lineRule="auto" w:line="240"/>
              <w:rPr/>
            </w:pPr>
            <w:r>
              <w:rPr/>
              <w:t xml:space="preserve"> </w:t>
            </w:r>
            <w:r>
              <w:rPr/>
              <w:t>-</w:t>
            </w:r>
            <w:r>
              <w:rPr/>
              <w:t>111.700</w:t>
            </w:r>
          </w:p>
        </w:tc>
      </w:tr>
      <w:tr>
        <w:trPr/>
        <w:tc>
          <w:tcPr>
            <w:tcW w:type="dxa" w:w="3313"/>
            <w:tcBorders/>
            <w:shd w:fill="auto" w:color="auto" w:val="clear"/>
            <w:tcMar>
              <w:left w:type="dxa" w:w="-2"/>
            </w:tcMar>
          </w:tcPr>
          <w:p>
            <w:pPr>
              <w:pStyle w:val="NoSpacing"/>
              <w:spacing w:lineRule="auto" w:line="240"/>
              <w:rPr/>
            </w:pPr>
            <w:r>
              <w:rPr/>
              <w:t>VII.Manjinski interes</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B.Rezerviranja</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C.Dugoročne obveze</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D.Kratkoročne obveze</w:t>
            </w:r>
          </w:p>
        </w:tc>
        <w:tc>
          <w:tcPr>
            <w:tcW w:type="dxa" w:w="2770"/>
            <w:tcBorders/>
            <w:shd w:fill="auto" w:color="auto" w:val="clear"/>
            <w:tcMar>
              <w:left w:type="dxa" w:w="-2"/>
            </w:tcMar>
          </w:tcPr>
          <w:p>
            <w:pPr>
              <w:pStyle w:val="NoSpacing"/>
              <w:spacing w:lineRule="auto" w:line="240"/>
              <w:rPr/>
            </w:pPr>
            <w:r>
              <w:rPr/>
              <w:t>1.162.000</w:t>
            </w:r>
          </w:p>
        </w:tc>
        <w:tc>
          <w:tcPr>
            <w:tcW w:type="dxa" w:w="2937"/>
            <w:tcBorders/>
            <w:shd w:fill="auto" w:color="auto" w:val="clear"/>
            <w:tcMar>
              <w:left w:type="dxa" w:w="-2"/>
            </w:tcMar>
          </w:tcPr>
          <w:p>
            <w:pPr>
              <w:pStyle w:val="NoSpacing"/>
              <w:spacing w:lineRule="auto" w:line="240"/>
              <w:rPr/>
            </w:pPr>
            <w:r>
              <w:rPr/>
              <w:t xml:space="preserve"> </w:t>
            </w:r>
            <w:r>
              <w:rPr/>
              <w:t>1.136.300</w:t>
            </w:r>
          </w:p>
        </w:tc>
      </w:tr>
      <w:tr>
        <w:trPr/>
        <w:tc>
          <w:tcPr>
            <w:tcW w:type="dxa" w:w="3313"/>
            <w:tcBorders/>
            <w:shd w:fill="auto" w:color="auto" w:val="clear"/>
            <w:tcMar>
              <w:left w:type="dxa" w:w="-2"/>
            </w:tcMar>
          </w:tcPr>
          <w:p>
            <w:pPr>
              <w:pStyle w:val="NoSpacing"/>
              <w:spacing w:lineRule="auto" w:line="240"/>
              <w:rPr/>
            </w:pPr>
            <w:r>
              <w:rPr/>
              <w:t>E.Odgođeno plačanje troškova</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r>
        <w:trPr/>
        <w:tc>
          <w:tcPr>
            <w:tcW w:type="dxa" w:w="3313"/>
            <w:tcBorders/>
            <w:shd w:fill="auto" w:color="auto" w:val="clear"/>
            <w:tcMar>
              <w:left w:type="dxa" w:w="-2"/>
            </w:tcMar>
          </w:tcPr>
          <w:p>
            <w:pPr>
              <w:pStyle w:val="NoSpacing"/>
              <w:spacing w:lineRule="auto" w:line="240"/>
              <w:rPr/>
            </w:pPr>
            <w:r>
              <w:rPr/>
              <w:t>F.UKUPNO PASIVA</w:t>
            </w:r>
          </w:p>
        </w:tc>
        <w:tc>
          <w:tcPr>
            <w:tcW w:type="dxa" w:w="2770"/>
            <w:tcBorders/>
            <w:shd w:fill="auto" w:color="auto" w:val="clear"/>
            <w:tcMar>
              <w:left w:type="dxa" w:w="-2"/>
            </w:tcMar>
          </w:tcPr>
          <w:p>
            <w:pPr>
              <w:pStyle w:val="NoSpacing"/>
              <w:spacing w:lineRule="auto" w:line="240"/>
              <w:rPr/>
            </w:pPr>
            <w:r>
              <w:rPr/>
              <w:t xml:space="preserve"> </w:t>
            </w:r>
            <w:r>
              <w:rPr/>
              <w:t>1.444.400</w:t>
            </w:r>
          </w:p>
        </w:tc>
        <w:tc>
          <w:tcPr>
            <w:tcW w:type="dxa" w:w="2937"/>
            <w:tcBorders/>
            <w:shd w:fill="auto" w:color="auto" w:val="clear"/>
            <w:tcMar>
              <w:left w:type="dxa" w:w="-2"/>
            </w:tcMar>
          </w:tcPr>
          <w:p>
            <w:pPr>
              <w:pStyle w:val="NoSpacing"/>
              <w:spacing w:lineRule="auto" w:line="240"/>
              <w:rPr/>
            </w:pPr>
            <w:r>
              <w:rPr/>
              <w:t xml:space="preserve"> </w:t>
            </w:r>
            <w:r>
              <w:rPr/>
              <w:t>1.306.900</w:t>
            </w:r>
          </w:p>
        </w:tc>
      </w:tr>
      <w:tr>
        <w:trPr/>
        <w:tc>
          <w:tcPr>
            <w:tcW w:type="dxa" w:w="3313"/>
            <w:tcBorders/>
            <w:shd w:fill="auto" w:color="auto" w:val="clear"/>
            <w:tcMar>
              <w:left w:type="dxa" w:w="-2"/>
            </w:tcMar>
          </w:tcPr>
          <w:p>
            <w:pPr>
              <w:pStyle w:val="NoSpacing"/>
              <w:spacing w:lineRule="auto" w:line="240"/>
              <w:rPr/>
            </w:pPr>
            <w:r>
              <w:rPr/>
              <w:t>G.Izvanbilančni zapisi</w:t>
            </w:r>
          </w:p>
        </w:tc>
        <w:tc>
          <w:tcPr>
            <w:tcW w:type="dxa" w:w="2770"/>
            <w:tcBorders/>
            <w:shd w:fill="auto" w:color="auto" w:val="clear"/>
            <w:tcMar>
              <w:left w:type="dxa" w:w="-2"/>
            </w:tcMar>
          </w:tcPr>
          <w:p>
            <w:pPr>
              <w:pStyle w:val="NoSpacing"/>
              <w:spacing w:lineRule="auto" w:line="240"/>
              <w:rPr/>
            </w:pPr>
            <w:r>
              <w:rPr/>
              <w:t>0</w:t>
            </w:r>
          </w:p>
        </w:tc>
        <w:tc>
          <w:tcPr>
            <w:tcW w:type="dxa" w:w="2937"/>
            <w:tcBorders/>
            <w:shd w:fill="auto" w:color="auto" w:val="clear"/>
            <w:tcMar>
              <w:left w:type="dxa" w:w="-2"/>
            </w:tcMar>
          </w:tcPr>
          <w:p>
            <w:pPr>
              <w:pStyle w:val="NoSpacing"/>
              <w:spacing w:lineRule="auto" w:line="240"/>
              <w:rPr/>
            </w:pPr>
            <w:r>
              <w:rPr/>
              <w:t>0</w:t>
            </w:r>
          </w:p>
        </w:tc>
      </w:tr>
    </w:tbl>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t>RAČUN DOBITI I GUBITKA</w:t>
      </w:r>
    </w:p>
    <w:p>
      <w:pPr>
        <w:pStyle w:val="NoSpacing"/>
        <w:rPr/>
      </w:pPr>
      <w:r>
        <w:rPr/>
        <w:t xml:space="preserve">                                                                                                   </w:t>
      </w:r>
      <w:r>
        <w:rPr/>
        <w:t>2015.g.                         2016.g.</w:t>
      </w:r>
    </w:p>
    <w:tbl>
      <w:tblPr>
        <w:tblStyle w:val="Reetkatablice"/>
        <w:tblW w:type="dxa" w:w="9126"/>
        <w:jc w:val="left"/>
        <w:tblInd w:type="dxa" w:w="-110"/>
        <w:tblCellMar>
          <w:top w:type="dxa" w:w="0"/>
          <w:left w:type="dxa" w:w="-2"/>
          <w:bottom w:type="dxa" w:w="0"/>
          <w:right w:type="dxa" w:w="108"/>
        </w:tblCellMar>
        <w:tblLook w:val="04a0" w:noVBand="1" w:noHBand="0" w:lastColumn="0" w:firstColumn="1" w:lastRow="0" w:firstRow="1"/>
      </w:tblPr>
      <w:tblGrid>
        <w:gridCol w:w="3079"/>
        <w:gridCol w:w="3054"/>
        <w:gridCol w:w="2993"/>
      </w:tblGrid>
      <w:tr>
        <w:trPr/>
        <w:tc>
          <w:tcPr>
            <w:tcW w:type="dxa" w:w="3079"/>
            <w:tcBorders/>
            <w:shd w:fill="auto" w:color="auto" w:val="clear"/>
            <w:tcMar>
              <w:left w:type="dxa" w:w="-2"/>
            </w:tcMar>
          </w:tcPr>
          <w:p>
            <w:pPr>
              <w:pStyle w:val="NoSpacing"/>
              <w:spacing w:lineRule="auto" w:line="240"/>
              <w:rPr/>
            </w:pPr>
            <w:r>
              <w:rPr/>
              <w:t>Poslovni prihodi</w:t>
            </w:r>
          </w:p>
        </w:tc>
        <w:tc>
          <w:tcPr>
            <w:tcW w:type="dxa" w:w="3054"/>
            <w:tcBorders/>
            <w:shd w:fill="auto" w:color="auto" w:val="clear"/>
            <w:tcMar>
              <w:left w:type="dxa" w:w="-2"/>
            </w:tcMar>
          </w:tcPr>
          <w:p>
            <w:pPr>
              <w:pStyle w:val="NoSpacing"/>
              <w:spacing w:lineRule="auto" w:line="240"/>
              <w:rPr/>
            </w:pPr>
            <w:r>
              <w:rPr/>
              <w:t>2.163.500</w:t>
            </w:r>
          </w:p>
        </w:tc>
        <w:tc>
          <w:tcPr>
            <w:tcW w:type="dxa" w:w="2993"/>
            <w:tcBorders/>
            <w:shd w:fill="auto" w:color="auto" w:val="clear"/>
            <w:tcMar>
              <w:left w:type="dxa" w:w="-2"/>
            </w:tcMar>
          </w:tcPr>
          <w:p>
            <w:pPr>
              <w:pStyle w:val="NoSpacing"/>
              <w:spacing w:lineRule="auto" w:line="240"/>
              <w:rPr/>
            </w:pPr>
            <w:r>
              <w:rPr/>
              <w:t>1.430.300</w:t>
            </w:r>
          </w:p>
        </w:tc>
      </w:tr>
      <w:tr>
        <w:trPr/>
        <w:tc>
          <w:tcPr>
            <w:tcW w:type="dxa" w:w="3079"/>
            <w:tcBorders/>
            <w:shd w:fill="auto" w:color="auto" w:val="clear"/>
            <w:tcMar>
              <w:left w:type="dxa" w:w="-2"/>
            </w:tcMar>
          </w:tcPr>
          <w:p>
            <w:pPr>
              <w:pStyle w:val="NoSpacing"/>
              <w:spacing w:lineRule="auto" w:line="240"/>
              <w:rPr/>
            </w:pPr>
            <w:r>
              <w:rPr/>
              <w:t>Poslovni rashodi</w:t>
            </w:r>
          </w:p>
        </w:tc>
        <w:tc>
          <w:tcPr>
            <w:tcW w:type="dxa" w:w="3054"/>
            <w:tcBorders/>
            <w:shd w:fill="auto" w:color="auto" w:val="clear"/>
            <w:tcMar>
              <w:left w:type="dxa" w:w="-2"/>
            </w:tcMar>
          </w:tcPr>
          <w:p>
            <w:pPr>
              <w:pStyle w:val="NoSpacing"/>
              <w:spacing w:lineRule="auto" w:line="240"/>
              <w:rPr/>
            </w:pPr>
            <w:r>
              <w:rPr/>
              <w:t>2.043.500</w:t>
            </w:r>
          </w:p>
        </w:tc>
        <w:tc>
          <w:tcPr>
            <w:tcW w:type="dxa" w:w="2993"/>
            <w:tcBorders/>
            <w:shd w:fill="auto" w:color="auto" w:val="clear"/>
            <w:tcMar>
              <w:left w:type="dxa" w:w="-2"/>
            </w:tcMar>
          </w:tcPr>
          <w:p>
            <w:pPr>
              <w:pStyle w:val="NoSpacing"/>
              <w:spacing w:lineRule="auto" w:line="240"/>
              <w:rPr/>
            </w:pPr>
            <w:r>
              <w:rPr/>
              <w:t>1.527.000</w:t>
            </w:r>
          </w:p>
        </w:tc>
      </w:tr>
      <w:tr>
        <w:trPr/>
        <w:tc>
          <w:tcPr>
            <w:tcW w:type="dxa" w:w="3079"/>
            <w:tcBorders/>
            <w:shd w:fill="auto" w:color="auto" w:val="clear"/>
            <w:tcMar>
              <w:left w:type="dxa" w:w="-2"/>
            </w:tcMar>
          </w:tcPr>
          <w:p>
            <w:pPr>
              <w:pStyle w:val="NoSpacing"/>
              <w:spacing w:lineRule="auto" w:line="240"/>
              <w:rPr/>
            </w:pPr>
            <w:r>
              <w:rPr/>
              <w:t>Financijski prihodi</w:t>
            </w:r>
          </w:p>
        </w:tc>
        <w:tc>
          <w:tcPr>
            <w:tcW w:type="dxa" w:w="3054"/>
            <w:tcBorders/>
            <w:shd w:fill="auto" w:color="auto" w:val="clear"/>
            <w:tcMar>
              <w:left w:type="dxa" w:w="-2"/>
            </w:tcMar>
          </w:tcPr>
          <w:p>
            <w:pPr>
              <w:pStyle w:val="NoSpacing"/>
              <w:spacing w:lineRule="auto" w:line="240"/>
              <w:rPr/>
            </w:pPr>
            <w:r>
              <w:rPr/>
              <w:t xml:space="preserve">        </w:t>
            </w:r>
            <w:r>
              <w:rPr/>
              <w:t>7.500</w:t>
            </w:r>
            <w:r>
              <w:rPr/>
              <w:t xml:space="preserve"> </w:t>
            </w:r>
          </w:p>
        </w:tc>
        <w:tc>
          <w:tcPr>
            <w:tcW w:type="dxa" w:w="2993"/>
            <w:tcBorders/>
            <w:shd w:fill="auto" w:color="auto" w:val="clear"/>
            <w:tcMar>
              <w:left w:type="dxa" w:w="-2"/>
            </w:tcMar>
          </w:tcPr>
          <w:p>
            <w:pPr>
              <w:pStyle w:val="NoSpacing"/>
              <w:spacing w:lineRule="auto" w:line="240"/>
              <w:rPr/>
            </w:pPr>
            <w:r>
              <w:rPr/>
              <w:t xml:space="preserve">      </w:t>
            </w:r>
            <w:r>
              <w:rPr/>
              <w:t>11.600</w:t>
            </w:r>
            <w:r>
              <w:rPr/>
              <w:t xml:space="preserve">    </w:t>
            </w:r>
          </w:p>
        </w:tc>
      </w:tr>
      <w:tr>
        <w:trPr/>
        <w:tc>
          <w:tcPr>
            <w:tcW w:type="dxa" w:w="3079"/>
            <w:tcBorders/>
            <w:shd w:fill="auto" w:color="auto" w:val="clear"/>
            <w:tcMar>
              <w:left w:type="dxa" w:w="-2"/>
            </w:tcMar>
          </w:tcPr>
          <w:p>
            <w:pPr>
              <w:pStyle w:val="NoSpacing"/>
              <w:spacing w:lineRule="auto" w:line="240"/>
              <w:rPr/>
            </w:pPr>
            <w:r>
              <w:rPr/>
              <w:t>Financijski rashodi</w:t>
            </w:r>
          </w:p>
        </w:tc>
        <w:tc>
          <w:tcPr>
            <w:tcW w:type="dxa" w:w="3054"/>
            <w:tcBorders/>
            <w:shd w:fill="auto" w:color="auto" w:val="clear"/>
            <w:tcMar>
              <w:left w:type="dxa" w:w="-2"/>
            </w:tcMar>
          </w:tcPr>
          <w:p>
            <w:pPr>
              <w:pStyle w:val="NoSpacing"/>
              <w:spacing w:lineRule="auto" w:line="240"/>
              <w:rPr/>
            </w:pPr>
            <w:r>
              <w:rPr/>
              <w:t xml:space="preserve">        </w:t>
            </w:r>
            <w:r>
              <w:rPr/>
              <w:t>1.200</w:t>
            </w:r>
          </w:p>
        </w:tc>
        <w:tc>
          <w:tcPr>
            <w:tcW w:type="dxa" w:w="2993"/>
            <w:tcBorders/>
            <w:shd w:fill="auto" w:color="auto" w:val="clear"/>
            <w:tcMar>
              <w:left w:type="dxa" w:w="-2"/>
            </w:tcMar>
          </w:tcPr>
          <w:p>
            <w:pPr>
              <w:pStyle w:val="NoSpacing"/>
              <w:spacing w:lineRule="auto" w:line="240"/>
              <w:rPr/>
            </w:pPr>
            <w:r>
              <w:rPr/>
              <w:t xml:space="preserve">         </w:t>
            </w:r>
            <w:r>
              <w:rPr/>
              <w:t>7.300</w:t>
            </w:r>
          </w:p>
        </w:tc>
      </w:tr>
      <w:tr>
        <w:trPr/>
        <w:tc>
          <w:tcPr>
            <w:tcW w:type="dxa" w:w="3079"/>
            <w:tcBorders/>
            <w:shd w:fill="auto" w:color="auto" w:val="clear"/>
            <w:tcMar>
              <w:left w:type="dxa" w:w="-2"/>
            </w:tcMar>
          </w:tcPr>
          <w:p>
            <w:pPr>
              <w:pStyle w:val="NoSpacing"/>
              <w:spacing w:lineRule="auto" w:line="240"/>
              <w:rPr/>
            </w:pPr>
            <w:r>
              <w:rPr/>
              <w:t>Izvanredni-ostali prihodi</w:t>
            </w:r>
          </w:p>
        </w:tc>
        <w:tc>
          <w:tcPr>
            <w:tcW w:type="dxa" w:w="3054"/>
            <w:tcBorders/>
            <w:shd w:fill="auto" w:color="auto" w:val="clear"/>
            <w:tcMar>
              <w:left w:type="dxa" w:w="-2"/>
            </w:tcMar>
          </w:tcPr>
          <w:p>
            <w:pPr>
              <w:pStyle w:val="NoSpacing"/>
              <w:spacing w:lineRule="auto" w:line="240"/>
              <w:rPr/>
            </w:pPr>
            <w:r>
              <w:rPr/>
              <w:t>0</w:t>
            </w:r>
          </w:p>
        </w:tc>
        <w:tc>
          <w:tcPr>
            <w:tcW w:type="dxa" w:w="2993"/>
            <w:tcBorders/>
            <w:shd w:fill="auto" w:color="auto" w:val="clear"/>
            <w:tcMar>
              <w:left w:type="dxa" w:w="-2"/>
            </w:tcMar>
          </w:tcPr>
          <w:p>
            <w:pPr>
              <w:pStyle w:val="NoSpacing"/>
              <w:spacing w:lineRule="auto" w:line="240"/>
              <w:rPr/>
            </w:pPr>
            <w:r>
              <w:rPr/>
              <w:t>0</w:t>
            </w:r>
          </w:p>
        </w:tc>
      </w:tr>
      <w:tr>
        <w:trPr/>
        <w:tc>
          <w:tcPr>
            <w:tcW w:type="dxa" w:w="3079"/>
            <w:tcBorders/>
            <w:shd w:fill="auto" w:color="auto" w:val="clear"/>
            <w:tcMar>
              <w:left w:type="dxa" w:w="-2"/>
            </w:tcMar>
          </w:tcPr>
          <w:p>
            <w:pPr>
              <w:pStyle w:val="NoSpacing"/>
              <w:spacing w:lineRule="auto" w:line="240"/>
              <w:rPr/>
            </w:pPr>
            <w:r>
              <w:rPr/>
              <w:t>Izvanredni-ostali rashodi</w:t>
            </w:r>
          </w:p>
        </w:tc>
        <w:tc>
          <w:tcPr>
            <w:tcW w:type="dxa" w:w="3054"/>
            <w:tcBorders/>
            <w:shd w:fill="auto" w:color="auto" w:val="clear"/>
            <w:tcMar>
              <w:left w:type="dxa" w:w="-2"/>
            </w:tcMar>
          </w:tcPr>
          <w:p>
            <w:pPr>
              <w:pStyle w:val="NoSpacing"/>
              <w:spacing w:lineRule="auto" w:line="240"/>
              <w:rPr/>
            </w:pPr>
            <w:r>
              <w:rPr/>
              <w:t>0</w:t>
            </w:r>
          </w:p>
        </w:tc>
        <w:tc>
          <w:tcPr>
            <w:tcW w:type="dxa" w:w="2993"/>
            <w:tcBorders/>
            <w:shd w:fill="auto" w:color="auto" w:val="clear"/>
            <w:tcMar>
              <w:left w:type="dxa" w:w="-2"/>
            </w:tcMar>
          </w:tcPr>
          <w:p>
            <w:pPr>
              <w:pStyle w:val="NoSpacing"/>
              <w:spacing w:lineRule="auto" w:line="240"/>
              <w:rPr/>
            </w:pPr>
            <w:r>
              <w:rPr/>
              <w:t>0</w:t>
            </w:r>
          </w:p>
        </w:tc>
      </w:tr>
      <w:tr>
        <w:trPr/>
        <w:tc>
          <w:tcPr>
            <w:tcW w:type="dxa" w:w="3079"/>
            <w:tcBorders/>
            <w:shd w:fill="auto" w:color="auto" w:val="clear"/>
            <w:tcMar>
              <w:left w:type="dxa" w:w="-2"/>
            </w:tcMar>
          </w:tcPr>
          <w:p>
            <w:pPr>
              <w:pStyle w:val="NoSpacing"/>
              <w:spacing w:lineRule="auto" w:line="240"/>
              <w:rPr/>
            </w:pPr>
            <w:r>
              <w:rPr/>
              <w:t>Ukupni prihodi</w:t>
            </w:r>
          </w:p>
        </w:tc>
        <w:tc>
          <w:tcPr>
            <w:tcW w:type="dxa" w:w="3054"/>
            <w:tcBorders/>
            <w:shd w:fill="auto" w:color="auto" w:val="clear"/>
            <w:tcMar>
              <w:left w:type="dxa" w:w="-2"/>
            </w:tcMar>
          </w:tcPr>
          <w:p>
            <w:pPr>
              <w:pStyle w:val="NoSpacing"/>
              <w:spacing w:lineRule="auto" w:line="240"/>
              <w:rPr/>
            </w:pPr>
            <w:r>
              <w:rPr/>
              <w:t>2.171.000</w:t>
            </w:r>
          </w:p>
        </w:tc>
        <w:tc>
          <w:tcPr>
            <w:tcW w:type="dxa" w:w="2993"/>
            <w:tcBorders/>
            <w:shd w:fill="auto" w:color="auto" w:val="clear"/>
            <w:tcMar>
              <w:left w:type="dxa" w:w="-2"/>
            </w:tcMar>
          </w:tcPr>
          <w:p>
            <w:pPr>
              <w:pStyle w:val="NoSpacing"/>
              <w:spacing w:lineRule="auto" w:line="240"/>
              <w:rPr/>
            </w:pPr>
            <w:r>
              <w:rPr/>
              <w:t>1.441.900</w:t>
            </w:r>
          </w:p>
        </w:tc>
      </w:tr>
      <w:tr>
        <w:trPr/>
        <w:tc>
          <w:tcPr>
            <w:tcW w:type="dxa" w:w="3079"/>
            <w:tcBorders/>
            <w:shd w:fill="auto" w:color="auto" w:val="clear"/>
            <w:tcMar>
              <w:left w:type="dxa" w:w="-2"/>
            </w:tcMar>
          </w:tcPr>
          <w:p>
            <w:pPr>
              <w:pStyle w:val="NoSpacing"/>
              <w:spacing w:lineRule="auto" w:line="240"/>
              <w:rPr/>
            </w:pPr>
            <w:r>
              <w:rPr/>
              <w:t>Ukupni rashodi</w:t>
            </w:r>
          </w:p>
        </w:tc>
        <w:tc>
          <w:tcPr>
            <w:tcW w:type="dxa" w:w="3054"/>
            <w:tcBorders/>
            <w:shd w:fill="auto" w:color="auto" w:val="clear"/>
            <w:tcMar>
              <w:left w:type="dxa" w:w="-2"/>
            </w:tcMar>
          </w:tcPr>
          <w:p>
            <w:pPr>
              <w:pStyle w:val="NoSpacing"/>
              <w:spacing w:lineRule="auto" w:line="240"/>
              <w:rPr/>
            </w:pPr>
            <w:r>
              <w:rPr/>
              <w:t>2.044.700</w:t>
            </w:r>
          </w:p>
        </w:tc>
        <w:tc>
          <w:tcPr>
            <w:tcW w:type="dxa" w:w="2993"/>
            <w:tcBorders/>
            <w:shd w:fill="auto" w:color="auto" w:val="clear"/>
            <w:tcMar>
              <w:left w:type="dxa" w:w="-2"/>
            </w:tcMar>
          </w:tcPr>
          <w:p>
            <w:pPr>
              <w:pStyle w:val="NoSpacing"/>
              <w:spacing w:lineRule="auto" w:line="240"/>
              <w:rPr/>
            </w:pPr>
            <w:r>
              <w:rPr/>
              <w:t>1.534.300</w:t>
            </w:r>
          </w:p>
        </w:tc>
      </w:tr>
      <w:tr>
        <w:trPr/>
        <w:tc>
          <w:tcPr>
            <w:tcW w:type="dxa" w:w="3079"/>
            <w:tcBorders/>
            <w:shd w:fill="auto" w:color="auto" w:val="clear"/>
            <w:tcMar>
              <w:left w:type="dxa" w:w="-2"/>
            </w:tcMar>
          </w:tcPr>
          <w:p>
            <w:pPr>
              <w:pStyle w:val="NoSpacing"/>
              <w:spacing w:lineRule="auto" w:line="240"/>
              <w:rPr/>
            </w:pPr>
            <w:r>
              <w:rPr/>
              <w:t>Dobit ili gubitak prije oporeziv.</w:t>
            </w:r>
          </w:p>
        </w:tc>
        <w:tc>
          <w:tcPr>
            <w:tcW w:type="dxa" w:w="3054"/>
            <w:tcBorders/>
            <w:shd w:fill="auto" w:color="auto" w:val="clear"/>
            <w:tcMar>
              <w:left w:type="dxa" w:w="-2"/>
            </w:tcMar>
          </w:tcPr>
          <w:p>
            <w:pPr>
              <w:pStyle w:val="NoSpacing"/>
              <w:spacing w:lineRule="auto" w:line="240"/>
              <w:rPr/>
            </w:pPr>
            <w:r>
              <w:rPr/>
              <w:t xml:space="preserve">   </w:t>
            </w:r>
            <w:r>
              <w:rPr/>
              <w:t>126.300</w:t>
            </w:r>
          </w:p>
        </w:tc>
        <w:tc>
          <w:tcPr>
            <w:tcW w:type="dxa" w:w="2993"/>
            <w:tcBorders/>
            <w:shd w:fill="auto" w:color="auto" w:val="clear"/>
            <w:tcMar>
              <w:left w:type="dxa" w:w="-2"/>
            </w:tcMar>
          </w:tcPr>
          <w:p>
            <w:pPr>
              <w:pStyle w:val="NoSpacing"/>
              <w:spacing w:lineRule="auto" w:line="240"/>
              <w:rPr/>
            </w:pPr>
            <w:r>
              <w:rPr/>
              <w:t xml:space="preserve">   </w:t>
            </w:r>
            <w:r>
              <w:rPr/>
              <w:t xml:space="preserve">-  </w:t>
            </w:r>
            <w:r>
              <w:rPr/>
              <w:t>92.400</w:t>
            </w:r>
          </w:p>
        </w:tc>
      </w:tr>
      <w:tr>
        <w:trPr/>
        <w:tc>
          <w:tcPr>
            <w:tcW w:type="dxa" w:w="3079"/>
            <w:tcBorders/>
            <w:shd w:fill="auto" w:color="auto" w:val="clear"/>
            <w:tcMar>
              <w:left w:type="dxa" w:w="-2"/>
            </w:tcMar>
          </w:tcPr>
          <w:p>
            <w:pPr>
              <w:pStyle w:val="NoSpacing"/>
              <w:spacing w:lineRule="auto" w:line="240"/>
              <w:rPr/>
            </w:pPr>
            <w:r>
              <w:rPr/>
              <w:t>Porez na dobit</w:t>
            </w:r>
          </w:p>
        </w:tc>
        <w:tc>
          <w:tcPr>
            <w:tcW w:type="dxa" w:w="3054"/>
            <w:tcBorders/>
            <w:shd w:fill="auto" w:color="auto" w:val="clear"/>
            <w:tcMar>
              <w:left w:type="dxa" w:w="-2"/>
            </w:tcMar>
          </w:tcPr>
          <w:p>
            <w:pPr>
              <w:pStyle w:val="NoSpacing"/>
              <w:spacing w:lineRule="auto" w:line="240"/>
              <w:rPr/>
            </w:pPr>
            <w:r>
              <w:rPr/>
              <w:t xml:space="preserve">     </w:t>
            </w:r>
            <w:r>
              <w:rPr/>
              <w:t>28.400</w:t>
            </w:r>
          </w:p>
        </w:tc>
        <w:tc>
          <w:tcPr>
            <w:tcW w:type="dxa" w:w="2993"/>
            <w:tcBorders/>
            <w:shd w:fill="auto" w:color="auto" w:val="clear"/>
            <w:tcMar>
              <w:left w:type="dxa" w:w="-2"/>
            </w:tcMar>
          </w:tcPr>
          <w:p>
            <w:pPr>
              <w:pStyle w:val="NoSpacing"/>
              <w:spacing w:lineRule="auto" w:line="240"/>
              <w:rPr/>
            </w:pPr>
            <w:r>
              <w:rPr/>
              <w:t xml:space="preserve">  </w:t>
            </w:r>
          </w:p>
        </w:tc>
      </w:tr>
      <w:tr>
        <w:trPr/>
        <w:tc>
          <w:tcPr>
            <w:tcW w:type="dxa" w:w="3079"/>
            <w:tcBorders/>
            <w:shd w:fill="auto" w:color="auto" w:val="clear"/>
            <w:tcMar>
              <w:left w:type="dxa" w:w="-2"/>
            </w:tcMar>
          </w:tcPr>
          <w:p>
            <w:pPr>
              <w:pStyle w:val="NoSpacing"/>
              <w:spacing w:lineRule="auto" w:line="240"/>
              <w:rPr/>
            </w:pPr>
            <w:r>
              <w:rPr/>
              <w:t>Dobit ili gubitak razdoblja</w:t>
            </w:r>
          </w:p>
        </w:tc>
        <w:tc>
          <w:tcPr>
            <w:tcW w:type="dxa" w:w="3054"/>
            <w:tcBorders/>
            <w:shd w:fill="auto" w:color="auto" w:val="clear"/>
            <w:tcMar>
              <w:left w:type="dxa" w:w="-2"/>
            </w:tcMar>
          </w:tcPr>
          <w:p>
            <w:pPr>
              <w:pStyle w:val="NoSpacing"/>
              <w:spacing w:lineRule="auto" w:line="240"/>
              <w:rPr/>
            </w:pPr>
            <w:r>
              <w:rPr/>
              <w:t xml:space="preserve">     </w:t>
            </w:r>
            <w:r>
              <w:rPr/>
              <w:t>97.900</w:t>
            </w:r>
          </w:p>
        </w:tc>
        <w:tc>
          <w:tcPr>
            <w:tcW w:type="dxa" w:w="2993"/>
            <w:tcBorders/>
            <w:shd w:fill="auto" w:color="auto" w:val="clear"/>
            <w:tcMar>
              <w:left w:type="dxa" w:w="-2"/>
            </w:tcMar>
          </w:tcPr>
          <w:p>
            <w:pPr>
              <w:pStyle w:val="NoSpacing"/>
              <w:spacing w:lineRule="auto" w:line="240"/>
              <w:rPr/>
            </w:pPr>
            <w:r>
              <w:rPr/>
              <w:t xml:space="preserve">   </w:t>
            </w:r>
            <w:r>
              <w:rPr/>
              <w:t>-</w:t>
            </w:r>
            <w:r>
              <w:rPr/>
              <w:t>111.700</w:t>
            </w:r>
          </w:p>
        </w:tc>
      </w:tr>
    </w:tbl>
    <w:p>
      <w:pPr>
        <w:pStyle w:val="NoSpacing"/>
        <w:rPr/>
      </w:pPr>
      <w:r>
        <w:rPr/>
      </w:r>
    </w:p>
    <w:p>
      <w:pPr>
        <w:pStyle w:val="NoSpacing"/>
        <w:rPr/>
      </w:pPr>
      <w:r>
        <w:rPr/>
      </w:r>
    </w:p>
    <w:p>
      <w:pPr>
        <w:pStyle w:val="NoSpacing"/>
        <w:rPr/>
      </w:pPr>
      <w:r>
        <w:rPr/>
        <w:t>U  Bilanci na dan 31.12.2016.g. materijalna-dugotrajna imovina nije iskazana .</w:t>
      </w:r>
    </w:p>
    <w:p>
      <w:pPr>
        <w:pStyle w:val="NoSpacing"/>
        <w:rPr/>
      </w:pPr>
      <w:r>
        <w:rPr/>
        <w:t>U kratkotrajnoj imovini vidljivoj iz Bilance na 31.12.2016.g. ista iznosi 1.306.900,00 kn i sastoji se od :</w:t>
      </w:r>
    </w:p>
    <w:p>
      <w:pPr>
        <w:pStyle w:val="NoSpacing"/>
        <w:rPr/>
      </w:pPr>
      <w:r>
        <w:rPr/>
        <w:t xml:space="preserve">-kratkoročnih potraživanja  1.274.900,00 kn i </w:t>
      </w:r>
    </w:p>
    <w:p>
      <w:pPr>
        <w:pStyle w:val="NoSpacing"/>
        <w:rPr/>
      </w:pPr>
      <w:r>
        <w:rPr/>
        <w:t>-novca u blagajni                        32.100,00  kn.</w:t>
      </w:r>
    </w:p>
    <w:p>
      <w:pPr>
        <w:pStyle w:val="NoSpacing"/>
        <w:rPr/>
      </w:pPr>
      <w:r>
        <w:rPr/>
        <w:t>Zakonski zastupnik stečajnog dužnika u ovjerenom prokaznom popisu imovine izjavio je da isto ne postoji.</w:t>
      </w:r>
    </w:p>
    <w:p>
      <w:pPr>
        <w:pStyle w:val="NoSpacing"/>
        <w:rPr/>
      </w:pPr>
      <w:r>
        <w:rPr/>
      </w:r>
    </w:p>
    <w:p>
      <w:pPr>
        <w:pStyle w:val="NoSpacing"/>
        <w:rPr/>
      </w:pPr>
      <w:r>
        <w:rPr/>
        <w:t>5.POKRETNINE</w:t>
      </w:r>
    </w:p>
    <w:p>
      <w:pPr>
        <w:pStyle w:val="NoSpacing"/>
        <w:rPr/>
      </w:pPr>
      <w:r>
        <w:rPr/>
        <w:t>Prema Uvjerenju STP"Autoklub Našice"(iz službene evidencije MUP)  od 17.04.2018.g.,broj:H035-U-00017-18 dužnik  nije evidentiran kao vlasnik vozila.</w:t>
      </w:r>
    </w:p>
    <w:p>
      <w:pPr>
        <w:pStyle w:val="NoSpacing"/>
        <w:rPr/>
      </w:pPr>
      <w:r>
        <w:rPr/>
      </w:r>
    </w:p>
    <w:p>
      <w:pPr>
        <w:pStyle w:val="NoSpacing"/>
        <w:rPr/>
      </w:pPr>
      <w:r>
        <w:rPr/>
        <w:t>6.NEKRETNINE</w:t>
      </w:r>
    </w:p>
    <w:p>
      <w:pPr>
        <w:pStyle w:val="NoSpacing"/>
        <w:rPr/>
      </w:pPr>
      <w:r>
        <w:rPr/>
        <w:t>Podnešen je zahtijev 19.04.2018.g. Općinskom suda u Zagreb,Zemljišno knjižni odjel Zagreb  o stanju vlasništva,a koja potvrd</w:t>
      </w:r>
      <w:r>
        <w:rPr/>
        <w:t>a</w:t>
      </w:r>
      <w:r>
        <w:rPr/>
        <w:t xml:space="preserve"> nije do dana pravljenja izvješća izdana.</w:t>
      </w:r>
    </w:p>
    <w:p>
      <w:pPr>
        <w:pStyle w:val="NoSpacing"/>
        <w:rPr/>
      </w:pPr>
      <w:r>
        <w:rPr/>
        <w:t>Podnešen je zahtjev GU za katastar grada Zagreba o stanju posjeda dužnika. Do sastavljanja Izvješća nije isto dobiveno.</w:t>
      </w:r>
    </w:p>
    <w:p>
      <w:pPr>
        <w:pStyle w:val="NoSpacing"/>
        <w:rPr/>
      </w:pPr>
      <w:bookmarkStart w:name="_GoBack" w:id="0"/>
      <w:bookmarkStart w:name="_GoBack" w:id="1"/>
      <w:bookmarkEnd w:id="1"/>
      <w:r>
        <w:rPr/>
      </w:r>
    </w:p>
    <w:p>
      <w:pPr>
        <w:pStyle w:val="NoSpacing"/>
        <w:rPr/>
      </w:pPr>
      <w:r>
        <w:rPr/>
        <w:t>7.PROKAZNI POPIS IMOVINE</w:t>
      </w:r>
    </w:p>
    <w:p>
      <w:pPr>
        <w:pStyle w:val="NoSpacing"/>
        <w:rPr/>
      </w:pPr>
      <w:r>
        <w:rPr/>
        <w:t xml:space="preserve">Zakonski zastupnik  je dostavio  prokazni popis imovine ovjeren kod Javnog bilježnika. </w:t>
      </w:r>
    </w:p>
    <w:p>
      <w:pPr>
        <w:pStyle w:val="NoSpacing"/>
        <w:rPr/>
      </w:pPr>
      <w:r>
        <w:rPr/>
      </w:r>
    </w:p>
    <w:p>
      <w:pPr>
        <w:pStyle w:val="NoSpacing"/>
        <w:rPr/>
      </w:pPr>
      <w:r>
        <w:rPr/>
        <w:t>8.ZAPOSLENICI</w:t>
      </w:r>
    </w:p>
    <w:p>
      <w:pPr>
        <w:pStyle w:val="NoSpacing"/>
        <w:rPr/>
      </w:pPr>
      <w:r>
        <w:rPr/>
        <w:t>Prema Potvrdi HZMO dužnik nema  zaposlenika.</w:t>
      </w:r>
    </w:p>
    <w:p>
      <w:pPr>
        <w:pStyle w:val="NoSpacing"/>
        <w:rPr/>
      </w:pPr>
      <w:r>
        <w:rPr/>
      </w:r>
    </w:p>
    <w:p>
      <w:pPr>
        <w:pStyle w:val="NoSpacing"/>
        <w:rPr/>
      </w:pPr>
      <w:r>
        <w:rPr/>
        <w:t>9.KRATKOROČNE OBVEZE DUŽNIKA</w:t>
      </w:r>
    </w:p>
    <w:p>
      <w:pPr>
        <w:pStyle w:val="NoSpacing"/>
        <w:rPr/>
      </w:pPr>
      <w:r>
        <w:rPr/>
        <w:t xml:space="preserve">Prema  bilanci na dan 31.12.2016.g. dužnik ima obveza u iznosu od </w:t>
      </w:r>
      <w:r>
        <w:rPr/>
        <w:t>1.136.300,00</w:t>
      </w:r>
      <w:r>
        <w:rPr/>
        <w:t xml:space="preserve"> kn.</w:t>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t>OČITOVANJE O POSTOJANJU STEČAJNIH RAZLOGA</w:t>
      </w:r>
    </w:p>
    <w:p>
      <w:pPr>
        <w:pStyle w:val="NoSpacing"/>
        <w:rPr/>
      </w:pPr>
      <w:r>
        <w:rPr/>
      </w:r>
    </w:p>
    <w:p>
      <w:pPr>
        <w:pStyle w:val="NoSpacing"/>
        <w:rPr/>
      </w:pPr>
      <w:r>
        <w:rPr/>
        <w:t xml:space="preserve">Radi utvrđivanja postojanja stečajnih razloga izvršen je uvid u javno dostupne podatke </w:t>
      </w:r>
      <w:r>
        <w:rPr/>
        <w:t>i podatke</w:t>
      </w:r>
      <w:r>
        <w:rPr/>
        <w:t xml:space="preserve"> Fine ,te uvid u stanje poreznog duga.</w:t>
      </w:r>
    </w:p>
    <w:p>
      <w:pPr>
        <w:pStyle w:val="NoSpacing"/>
        <w:rPr/>
      </w:pPr>
      <w:r>
        <w:rPr/>
        <w:t xml:space="preserve"> </w:t>
      </w:r>
      <w:r>
        <w:rPr/>
        <w:t>Prema podacima Fine na dan 16.04.2018.g. dužnik ima evidentirane  neizvršene obveze za plaćanje u vremenu duljem od 60 dana,u iznosu od 264.905,58 kn.</w:t>
      </w:r>
    </w:p>
    <w:p>
      <w:pPr>
        <w:pStyle w:val="NoSpacing"/>
        <w:rPr/>
      </w:pPr>
      <w:r>
        <w:rPr/>
        <w:t>Stečajni dužnik ima obveze prema Poreznoj upravi u visini od 216.029,66 kn.</w:t>
      </w:r>
    </w:p>
    <w:p>
      <w:pPr>
        <w:pStyle w:val="NoSpacing"/>
        <w:rPr/>
      </w:pPr>
      <w:r>
        <w:rPr/>
        <w:t>Time je utvrđen stečajni razlog iz čl. 6.st.2. Stečajnog zakona nesposobnost za plaćanje,dužnik je nelikvidan jer kasni više od 60 dana u ispunjenju novčanih obveza.</w:t>
      </w:r>
    </w:p>
    <w:p>
      <w:pPr>
        <w:pStyle w:val="NoSpacing"/>
        <w:rPr/>
      </w:pPr>
      <w:r>
        <w:rPr/>
      </w:r>
    </w:p>
    <w:p>
      <w:pPr>
        <w:pStyle w:val="NoSpacing"/>
        <w:rPr/>
      </w:pPr>
      <w:r>
        <w:rPr/>
        <w:t>MIŠLJENJE</w:t>
      </w:r>
    </w:p>
    <w:p>
      <w:pPr>
        <w:pStyle w:val="NoSpacing"/>
        <w:rPr/>
      </w:pPr>
      <w:r>
        <w:rPr/>
      </w:r>
    </w:p>
    <w:p>
      <w:pPr>
        <w:pStyle w:val="NoSpacing"/>
        <w:rPr/>
      </w:pPr>
      <w:r>
        <w:rPr/>
        <w:t>U ovom trenutku temeljem svega navedenog zaključujem da stečajni dužnik VIOLETA d.o.o.  Zagreb,Dubljevička 11 ,Oib 18085368645 nema izgleda za nastavak poslovanja jer mu je račun blokiran duže od 60 dana.</w:t>
      </w:r>
    </w:p>
    <w:p>
      <w:pPr>
        <w:pStyle w:val="NoSpacing"/>
        <w:rPr/>
      </w:pPr>
      <w:r>
        <w:rPr/>
        <w:t xml:space="preserve">U ovom trenutku dužnik je nesposoban za plaćanje ,nelikvidan,u neprekinutoj blokadi  od 656 dana,a iznos blokade na dan 16.04.2018.g. iznosi 264.905,58 kn. </w:t>
      </w:r>
    </w:p>
    <w:p>
      <w:pPr>
        <w:pStyle w:val="NoSpacing"/>
        <w:rPr/>
      </w:pPr>
      <w:r>
        <w:rPr/>
        <w:t xml:space="preserve"> </w:t>
      </w:r>
      <w:r>
        <w:rPr/>
        <w:t>Vidljivo je da dužnik nema  imovinu čijim bi se unovčenjem mogla prikupiti sredstva koja bi bila dostatna za podmirenje troškova stečajnog postupka.</w:t>
      </w:r>
    </w:p>
    <w:p>
      <w:pPr>
        <w:pStyle w:val="NoSpacing"/>
        <w:rPr/>
      </w:pPr>
      <w:r>
        <w:rPr/>
        <w:t xml:space="preserve">Slijedom navedenog,budući da je dužnik nesposoban za plaćanje,te postoje stečajni razlozi predviđeni čl.6.Stečajnog zakona, predlažem sudu da sukladno čl.132.Stečajnog zakona pozove osobe koje imaju pravni interes za provedbom stečajnog postupka da u roku od 15 dana uplate predujam za namirenje troškova prethodnog i otvorenog stečajnog postupka iznos od </w:t>
      </w:r>
      <w:r>
        <w:rPr/>
        <w:t>21.9</w:t>
      </w:r>
      <w:r>
        <w:rPr/>
        <w:t>00,00 kn.</w:t>
      </w:r>
    </w:p>
    <w:p>
      <w:pPr>
        <w:pStyle w:val="NoSpacing"/>
        <w:rPr/>
      </w:pPr>
      <w:r>
        <w:rPr/>
      </w:r>
    </w:p>
    <w:p>
      <w:pPr>
        <w:pStyle w:val="NoSpacing"/>
        <w:rPr/>
      </w:pPr>
      <w:r>
        <w:rPr/>
        <w:t>Troškovi su obračunati na slijedeći način:</w:t>
      </w:r>
    </w:p>
    <w:p>
      <w:pPr>
        <w:pStyle w:val="NoSpacing"/>
        <w:rPr/>
      </w:pPr>
      <w:r>
        <w:rPr/>
      </w:r>
    </w:p>
    <w:tbl>
      <w:tblPr>
        <w:tblStyle w:val="Reetkatablice"/>
        <w:tblW w:type="dxa" w:w="9288"/>
        <w:jc w:val="left"/>
        <w:tblInd w:type="dxa" w:w="-100"/>
        <w:tblCellMar>
          <w:top w:type="dxa" w:w="0"/>
          <w:left w:type="dxa" w:w="8"/>
          <w:bottom w:type="dxa" w:w="0"/>
          <w:right w:type="dxa" w:w="108"/>
        </w:tblCellMar>
        <w:tblLook w:val="04a0" w:noVBand="1" w:noHBand="0" w:lastColumn="0" w:firstColumn="1" w:lastRow="0" w:firstRow="1"/>
      </w:tblPr>
      <w:tblGrid>
        <w:gridCol w:w="3096"/>
        <w:gridCol w:w="3096"/>
        <w:gridCol w:w="3096"/>
      </w:tblGrid>
      <w:tr>
        <w:trPr/>
        <w:tc>
          <w:tcPr>
            <w:tcW w:type="dxa" w:w="3096"/>
            <w:tcBorders/>
            <w:shd w:fill="auto" w:color="auto" w:val="clear"/>
            <w:tcMar>
              <w:left w:type="dxa" w:w="8"/>
            </w:tcMar>
          </w:tcPr>
          <w:p>
            <w:pPr>
              <w:pStyle w:val="NoSpacing"/>
              <w:spacing w:lineRule="auto" w:line="240"/>
              <w:rPr/>
            </w:pPr>
            <w:r>
              <w:rPr/>
              <w:t>Redni broj</w:t>
            </w:r>
          </w:p>
        </w:tc>
        <w:tc>
          <w:tcPr>
            <w:tcW w:type="dxa" w:w="3096"/>
            <w:tcBorders/>
            <w:shd w:fill="auto" w:color="auto" w:val="clear"/>
            <w:tcMar>
              <w:left w:type="dxa" w:w="8"/>
            </w:tcMar>
          </w:tcPr>
          <w:p>
            <w:pPr>
              <w:pStyle w:val="NoSpacing"/>
              <w:spacing w:lineRule="auto" w:line="240"/>
              <w:rPr/>
            </w:pPr>
            <w:r>
              <w:rPr/>
              <w:t>Opis troškova</w:t>
            </w:r>
          </w:p>
        </w:tc>
        <w:tc>
          <w:tcPr>
            <w:tcW w:type="dxa" w:w="3096"/>
            <w:tcBorders/>
            <w:shd w:fill="auto" w:color="auto" w:val="clear"/>
            <w:tcMar>
              <w:left w:type="dxa" w:w="8"/>
            </w:tcMar>
          </w:tcPr>
          <w:p>
            <w:pPr>
              <w:pStyle w:val="NoSpacing"/>
              <w:spacing w:lineRule="auto" w:line="240"/>
              <w:rPr/>
            </w:pPr>
            <w:r>
              <w:rPr/>
              <w:t>Iznos u kn</w:t>
            </w:r>
          </w:p>
        </w:tc>
      </w:tr>
      <w:tr>
        <w:trPr/>
        <w:tc>
          <w:tcPr>
            <w:tcW w:type="dxa" w:w="3096"/>
            <w:tcBorders/>
            <w:shd w:fill="auto" w:color="auto" w:val="clear"/>
            <w:tcMar>
              <w:left w:type="dxa" w:w="8"/>
            </w:tcMar>
          </w:tcPr>
          <w:p>
            <w:pPr>
              <w:pStyle w:val="NoSpacing"/>
              <w:spacing w:lineRule="auto" w:line="240"/>
              <w:rPr/>
            </w:pPr>
            <w:r>
              <w:rPr/>
              <w:t>1.</w:t>
            </w:r>
          </w:p>
        </w:tc>
        <w:tc>
          <w:tcPr>
            <w:tcW w:type="dxa" w:w="3096"/>
            <w:tcBorders/>
            <w:shd w:fill="auto" w:color="auto" w:val="clear"/>
            <w:tcMar>
              <w:left w:type="dxa" w:w="8"/>
            </w:tcMar>
          </w:tcPr>
          <w:p>
            <w:pPr>
              <w:pStyle w:val="NoSpacing"/>
              <w:spacing w:lineRule="auto" w:line="240"/>
              <w:rPr/>
            </w:pPr>
            <w:r>
              <w:rPr/>
              <w:t>Trošak izrade pečata</w:t>
            </w:r>
          </w:p>
        </w:tc>
        <w:tc>
          <w:tcPr>
            <w:tcW w:type="dxa" w:w="3096"/>
            <w:tcBorders/>
            <w:shd w:fill="auto" w:color="auto" w:val="clear"/>
            <w:tcMar>
              <w:left w:type="dxa" w:w="8"/>
            </w:tcMar>
          </w:tcPr>
          <w:p>
            <w:pPr>
              <w:pStyle w:val="NoSpacing"/>
              <w:spacing w:lineRule="auto" w:line="240"/>
              <w:rPr/>
            </w:pPr>
            <w:r>
              <w:rPr/>
              <w:t xml:space="preserve">      </w:t>
            </w:r>
            <w:r>
              <w:rPr/>
              <w:t>100,00</w:t>
            </w:r>
          </w:p>
        </w:tc>
      </w:tr>
      <w:tr>
        <w:trPr/>
        <w:tc>
          <w:tcPr>
            <w:tcW w:type="dxa" w:w="3096"/>
            <w:tcBorders/>
            <w:shd w:fill="auto" w:color="auto" w:val="clear"/>
            <w:tcMar>
              <w:left w:type="dxa" w:w="8"/>
            </w:tcMar>
          </w:tcPr>
          <w:p>
            <w:pPr>
              <w:pStyle w:val="NoSpacing"/>
              <w:spacing w:lineRule="auto" w:line="240"/>
              <w:rPr/>
            </w:pPr>
            <w:r>
              <w:rPr/>
              <w:t>2.</w:t>
            </w:r>
          </w:p>
        </w:tc>
        <w:tc>
          <w:tcPr>
            <w:tcW w:type="dxa" w:w="3096"/>
            <w:tcBorders/>
            <w:shd w:fill="auto" w:color="auto" w:val="clear"/>
            <w:tcMar>
              <w:left w:type="dxa" w:w="8"/>
            </w:tcMar>
          </w:tcPr>
          <w:p>
            <w:pPr>
              <w:pStyle w:val="NoSpacing"/>
              <w:spacing w:lineRule="auto" w:line="240"/>
              <w:rPr/>
            </w:pPr>
            <w:r>
              <w:rPr/>
              <w:t>Trošak zatvaranja žrn i otvaranja novog žrn</w:t>
            </w:r>
          </w:p>
        </w:tc>
        <w:tc>
          <w:tcPr>
            <w:tcW w:type="dxa" w:w="3096"/>
            <w:tcBorders/>
            <w:shd w:fill="auto" w:color="auto" w:val="clear"/>
            <w:tcMar>
              <w:left w:type="dxa" w:w="8"/>
            </w:tcMar>
          </w:tcPr>
          <w:p>
            <w:pPr>
              <w:pStyle w:val="NoSpacing"/>
              <w:spacing w:lineRule="auto" w:line="240"/>
              <w:rPr/>
            </w:pPr>
            <w:r>
              <w:rPr/>
              <w:t xml:space="preserve">      </w:t>
            </w:r>
            <w:r>
              <w:rPr/>
              <w:t>300,00</w:t>
            </w:r>
          </w:p>
        </w:tc>
      </w:tr>
      <w:tr>
        <w:trPr/>
        <w:tc>
          <w:tcPr>
            <w:tcW w:type="dxa" w:w="3096"/>
            <w:tcBorders/>
            <w:shd w:fill="auto" w:color="auto" w:val="clear"/>
            <w:tcMar>
              <w:left w:type="dxa" w:w="8"/>
            </w:tcMar>
          </w:tcPr>
          <w:p>
            <w:pPr>
              <w:pStyle w:val="NoSpacing"/>
              <w:spacing w:lineRule="auto" w:line="240"/>
              <w:rPr/>
            </w:pPr>
            <w:r>
              <w:rPr/>
              <w:t>3.</w:t>
            </w:r>
          </w:p>
        </w:tc>
        <w:tc>
          <w:tcPr>
            <w:tcW w:type="dxa" w:w="3096"/>
            <w:tcBorders/>
            <w:shd w:fill="auto" w:color="auto" w:val="clear"/>
            <w:tcMar>
              <w:left w:type="dxa" w:w="8"/>
            </w:tcMar>
          </w:tcPr>
          <w:p>
            <w:pPr>
              <w:pStyle w:val="NoSpacing"/>
              <w:spacing w:lineRule="auto" w:line="240"/>
              <w:rPr/>
            </w:pPr>
            <w:r>
              <w:rPr/>
              <w:t>Trošak knjig.servisa-6 mjeseci</w:t>
            </w:r>
          </w:p>
        </w:tc>
        <w:tc>
          <w:tcPr>
            <w:tcW w:type="dxa" w:w="3096"/>
            <w:tcBorders/>
            <w:shd w:fill="auto" w:color="auto" w:val="clear"/>
            <w:tcMar>
              <w:left w:type="dxa" w:w="8"/>
            </w:tcMar>
          </w:tcPr>
          <w:p>
            <w:pPr>
              <w:pStyle w:val="NoSpacing"/>
              <w:spacing w:lineRule="auto" w:line="240"/>
              <w:rPr/>
            </w:pPr>
            <w:r>
              <w:rPr/>
              <w:t xml:space="preserve">      </w:t>
            </w:r>
            <w:r>
              <w:rPr/>
              <w:t>7.5</w:t>
            </w:r>
            <w:r>
              <w:rPr/>
              <w:t>00,00</w:t>
            </w:r>
          </w:p>
        </w:tc>
      </w:tr>
      <w:tr>
        <w:trPr/>
        <w:tc>
          <w:tcPr>
            <w:tcW w:type="dxa" w:w="3096"/>
            <w:tcBorders/>
            <w:shd w:fill="auto" w:color="auto" w:val="clear"/>
            <w:tcMar>
              <w:left w:type="dxa" w:w="8"/>
            </w:tcMar>
          </w:tcPr>
          <w:p>
            <w:pPr>
              <w:pStyle w:val="NoSpacing"/>
              <w:spacing w:lineRule="auto" w:line="240"/>
              <w:rPr/>
            </w:pPr>
            <w:r>
              <w:rPr/>
              <w:t>4.</w:t>
            </w:r>
          </w:p>
        </w:tc>
        <w:tc>
          <w:tcPr>
            <w:tcW w:type="dxa" w:w="3096"/>
            <w:tcBorders/>
            <w:shd w:fill="auto" w:color="auto" w:val="clear"/>
            <w:tcMar>
              <w:left w:type="dxa" w:w="8"/>
            </w:tcMar>
          </w:tcPr>
          <w:p>
            <w:pPr>
              <w:pStyle w:val="NoSpacing"/>
              <w:spacing w:lineRule="auto" w:line="240"/>
              <w:rPr/>
            </w:pPr>
            <w:r>
              <w:rPr/>
              <w:t>Nagrada stečajnom upravitelju u bruto iznosu</w:t>
            </w:r>
          </w:p>
          <w:p>
            <w:pPr>
              <w:pStyle w:val="NoSpacing"/>
              <w:spacing w:lineRule="auto" w:line="240"/>
              <w:rPr/>
            </w:pPr>
            <w:r>
              <w:rPr/>
              <w:t>Putni trošak stečajnog upr.</w:t>
            </w:r>
          </w:p>
        </w:tc>
        <w:tc>
          <w:tcPr>
            <w:tcW w:type="dxa" w:w="3096"/>
            <w:tcBorders/>
            <w:shd w:fill="auto" w:color="auto" w:val="clear"/>
            <w:tcMar>
              <w:left w:type="dxa" w:w="8"/>
            </w:tcMar>
          </w:tcPr>
          <w:p>
            <w:pPr>
              <w:pStyle w:val="NoSpacing"/>
              <w:spacing w:lineRule="auto" w:line="240"/>
              <w:rPr/>
            </w:pPr>
            <w:r>
              <w:rPr/>
              <w:t xml:space="preserve">    </w:t>
            </w:r>
            <w:r>
              <w:rPr/>
              <w:t>10.000,00</w:t>
            </w:r>
          </w:p>
          <w:p>
            <w:pPr>
              <w:pStyle w:val="NoSpacing"/>
              <w:spacing w:lineRule="auto" w:line="240"/>
              <w:rPr/>
            </w:pPr>
            <w:r>
              <w:rPr/>
            </w:r>
          </w:p>
          <w:p>
            <w:pPr>
              <w:pStyle w:val="NoSpacing"/>
              <w:spacing w:lineRule="auto" w:line="240"/>
              <w:rPr/>
            </w:pPr>
            <w:r>
              <w:rPr/>
              <w:t xml:space="preserve">      </w:t>
            </w:r>
            <w:r>
              <w:rPr/>
              <w:t>3.000,00</w:t>
            </w:r>
          </w:p>
        </w:tc>
      </w:tr>
      <w:tr>
        <w:trPr/>
        <w:tc>
          <w:tcPr>
            <w:tcW w:type="dxa" w:w="3096"/>
            <w:tcBorders/>
            <w:shd w:fill="auto" w:color="auto" w:val="clear"/>
            <w:tcMar>
              <w:left w:type="dxa" w:w="8"/>
            </w:tcMar>
          </w:tcPr>
          <w:p>
            <w:pPr>
              <w:pStyle w:val="NoSpacing"/>
              <w:spacing w:lineRule="auto" w:line="240"/>
              <w:rPr/>
            </w:pPr>
            <w:r>
              <w:rPr/>
              <w:t>5.</w:t>
            </w:r>
          </w:p>
        </w:tc>
        <w:tc>
          <w:tcPr>
            <w:tcW w:type="dxa" w:w="3096"/>
            <w:tcBorders/>
            <w:shd w:fill="auto" w:color="auto" w:val="clear"/>
            <w:tcMar>
              <w:left w:type="dxa" w:w="8"/>
            </w:tcMar>
          </w:tcPr>
          <w:p>
            <w:pPr>
              <w:pStyle w:val="NoSpacing"/>
              <w:spacing w:lineRule="auto" w:line="240"/>
              <w:rPr/>
            </w:pPr>
            <w:r>
              <w:rPr/>
              <w:t>Trošak sređivanja arh.građe</w:t>
            </w:r>
          </w:p>
        </w:tc>
        <w:tc>
          <w:tcPr>
            <w:tcW w:type="dxa" w:w="3096"/>
            <w:tcBorders/>
            <w:shd w:fill="auto" w:color="auto" w:val="clear"/>
            <w:tcMar>
              <w:left w:type="dxa" w:w="8"/>
            </w:tcMar>
          </w:tcPr>
          <w:p>
            <w:pPr>
              <w:pStyle w:val="NoSpacing"/>
              <w:spacing w:lineRule="auto" w:line="240"/>
              <w:rPr/>
            </w:pPr>
            <w:r>
              <w:rPr/>
              <w:t xml:space="preserve">      </w:t>
            </w:r>
            <w:r>
              <w:rPr/>
              <w:t>1.000,00</w:t>
            </w:r>
          </w:p>
        </w:tc>
      </w:tr>
      <w:tr>
        <w:trPr/>
        <w:tc>
          <w:tcPr>
            <w:tcW w:type="dxa" w:w="3096"/>
            <w:tcBorders/>
            <w:shd w:fill="auto" w:color="auto" w:val="clear"/>
            <w:tcMar>
              <w:left w:type="dxa" w:w="8"/>
            </w:tcMar>
          </w:tcPr>
          <w:p>
            <w:pPr>
              <w:pStyle w:val="NoSpacing"/>
              <w:spacing w:lineRule="auto" w:line="240"/>
              <w:rPr/>
            </w:pPr>
            <w:r>
              <w:rPr/>
            </w:r>
          </w:p>
        </w:tc>
        <w:tc>
          <w:tcPr>
            <w:tcW w:type="dxa" w:w="3096"/>
            <w:tcBorders/>
            <w:shd w:fill="auto" w:color="auto" w:val="clear"/>
            <w:tcMar>
              <w:left w:type="dxa" w:w="8"/>
            </w:tcMar>
          </w:tcPr>
          <w:p>
            <w:pPr>
              <w:pStyle w:val="NoSpacing"/>
              <w:spacing w:lineRule="auto" w:line="240"/>
              <w:rPr/>
            </w:pPr>
            <w:r>
              <w:rPr/>
              <w:t>UKUPNO</w:t>
            </w:r>
          </w:p>
        </w:tc>
        <w:tc>
          <w:tcPr>
            <w:tcW w:type="dxa" w:w="3096"/>
            <w:tcBorders/>
            <w:shd w:fill="auto" w:color="auto" w:val="clear"/>
            <w:tcMar>
              <w:left w:type="dxa" w:w="8"/>
            </w:tcMar>
          </w:tcPr>
          <w:p>
            <w:pPr>
              <w:pStyle w:val="NoSpacing"/>
              <w:spacing w:lineRule="auto" w:line="240"/>
              <w:rPr/>
            </w:pPr>
            <w:r>
              <w:rPr/>
              <w:t xml:space="preserve">   </w:t>
            </w:r>
            <w:r>
              <w:rPr/>
              <w:t>21.9</w:t>
            </w:r>
            <w:r>
              <w:rPr/>
              <w:t>00,00</w:t>
            </w:r>
          </w:p>
        </w:tc>
      </w:tr>
    </w:tbl>
    <w:p>
      <w:pPr>
        <w:pStyle w:val="NoSpacing"/>
        <w:rPr/>
      </w:pPr>
      <w:r>
        <w:rPr/>
        <w:t xml:space="preserve"> </w:t>
      </w:r>
    </w:p>
    <w:p>
      <w:pPr>
        <w:pStyle w:val="NoSpacing"/>
        <w:rPr/>
      </w:pPr>
      <w:r>
        <w:rPr/>
        <w:t>Ako osoba koja ima pravni interes ne predujmi navedeni iznos,predlažem sudu da donese odluku o otvaranju stečajnog postupka i istovremenom zaključenju postupka budući da dužnik nema imovine koja bi bila dostatna za pokriće  troškova stečajnog postupka.</w:t>
      </w:r>
    </w:p>
    <w:p>
      <w:pPr>
        <w:pStyle w:val="NoSpacing"/>
        <w:rPr/>
      </w:pPr>
      <w:r>
        <w:rPr/>
        <w:t>Također predlažem Sudu da zakonskog zastupnika obveže na arhiviranje poslovne dokumentacije.</w:t>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t xml:space="preserve">                                         </w:t>
      </w:r>
      <w:r>
        <w:rPr/>
        <w:t>Privremeni stečajni upravitelj: Zvonko Tomljanović</w:t>
      </w:r>
    </w:p>
    <w:p>
      <w:pPr>
        <w:pStyle w:val="NoSpacing"/>
        <w:rPr/>
      </w:pPr>
      <w:r>
        <w:rPr/>
      </w:r>
    </w:p>
    <w:p>
      <w:pPr>
        <w:pStyle w:val="NoSpacing"/>
        <w:rPr/>
      </w:pPr>
      <w:r>
        <w:rPr/>
      </w:r>
    </w:p>
    <w:p>
      <w:pPr>
        <w:pStyle w:val="NoSpacing"/>
        <w:rPr/>
      </w:pPr>
      <w:r>
        <w:rPr/>
      </w:r>
    </w:p>
    <w:p>
      <w:pPr>
        <w:pStyle w:val="NoSpacing"/>
        <w:rPr/>
      </w:pPr>
      <w:r>
        <w:rPr/>
        <w:t xml:space="preserve">                                          </w:t>
      </w:r>
    </w:p>
    <w:p>
      <w:pPr>
        <w:pStyle w:val="NoSpacing"/>
        <w:rPr/>
      </w:pPr>
      <w:r>
        <w:rPr/>
        <w:t xml:space="preserve">                                                 </w:t>
      </w:r>
    </w:p>
    <w:p>
      <w:pPr>
        <w:pStyle w:val="NoSpacing"/>
        <w:rPr/>
      </w:pPr>
      <w:r>
        <w:rPr/>
        <w:t xml:space="preserve">                                                               </w:t>
      </w:r>
    </w:p>
    <w:sectPr>
      <w:type w:val="nextPage"/>
      <w:pgSz w:h="16838" w:w="11906"/>
      <w:pgMar w:gutter="0" w:footer="0" w:header="0" w:left="1417" w:bottom="1417" w:right="1417" w:top="1417"/>
      <w:pgNumType w:fmt="decimal"/>
      <w:formProt w:val="false"/>
      <w:textDirection w:val="lrTb"/>
      <w:docGrid w:charSpace="4294965247" w:linePitch="360" w:type="default"/>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themeFontLang w:bidi="" w:eastAsia="" w:val="hr-HR"/>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cs="" w:eastAsia="Calibri" w:hAnsi="Calibri" w:ascii="Calibri"/>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bidi w:val="false"/>
      <w:spacing w:lineRule="auto" w:line="276" w:after="200" w:before="0"/>
      <w:jc w:val="left"/>
    </w:pPr>
    <w:rPr>
      <w:rFonts w:cs="" w:eastAsia="Calibri" w:hAnsi="Calibri" w:ascii="Calibri"/>
      <w:color w:val="00000A"/>
      <w:sz w:val="22"/>
      <w:szCs w:val="22"/>
      <w:lang w:bidi="ar-SA" w:eastAsia="en-US" w:val="hr-HR"/>
    </w:rPr>
  </w:style>
  <w:style w:default="true" w:styleId="DefaultParagraphFont" w:type="character">
    <w:name w:val="Default Paragraph Font"/>
    <w:uiPriority w:val="1"/>
    <w:semiHidden/>
    <w:unhideWhenUsed/>
    <w:qFormat/>
    <w:rPr/>
  </w:style>
  <w:style w:customStyle="true" w:styleId="Stilnaslova" w:type="paragraph">
    <w:name w:val="Stil naslova"/>
    <w:basedOn w:val="Normal"/>
    <w:next w:val="Tijeloteksta"/>
    <w:qFormat/>
    <w:pPr>
      <w:keepNext/>
      <w:spacing w:after="120" w:before="240"/>
    </w:pPr>
    <w:rPr>
      <w:rFonts w:cs="Arial" w:eastAsia="Microsoft YaHei" w:hAnsi="Liberation Sans" w:ascii="Liberation Sans"/>
      <w:sz w:val="28"/>
      <w:szCs w:val="28"/>
    </w:rPr>
  </w:style>
  <w:style w:styleId="Tijeloteksta" w:type="paragraph">
    <w:name w:val="Body Text"/>
    <w:basedOn w:val="Normal"/>
    <w:pPr>
      <w:spacing w:lineRule="auto" w:line="288" w:after="140" w:before="0"/>
    </w:pPr>
    <w:rPr/>
  </w:style>
  <w:style w:styleId="Popis" w:type="paragraph">
    <w:name w:val="List"/>
    <w:basedOn w:val="Tijeloteksta"/>
    <w:pPr/>
    <w:rPr>
      <w:rFonts w:cs="Arial"/>
    </w:rPr>
  </w:style>
  <w:style w:styleId="Opiselementa" w:type="paragraph">
    <w:name w:val="Caption"/>
    <w:basedOn w:val="Normal"/>
    <w:qFormat/>
    <w:pPr>
      <w:suppressLineNumbers/>
      <w:spacing w:after="120" w:before="120"/>
    </w:pPr>
    <w:rPr>
      <w:rFonts w:cs="Arial"/>
      <w:i/>
      <w:iCs/>
      <w:sz w:val="24"/>
      <w:szCs w:val="24"/>
    </w:rPr>
  </w:style>
  <w:style w:customStyle="true" w:styleId="Indeks" w:type="paragraph">
    <w:name w:val="Indeks"/>
    <w:basedOn w:val="Normal"/>
    <w:qFormat/>
    <w:pPr>
      <w:suppressLineNumbers/>
    </w:pPr>
    <w:rPr>
      <w:rFonts w:cs="Arial"/>
    </w:rPr>
  </w:style>
  <w:style w:styleId="Caption" w:type="paragraph">
    <w:name w:val="caption"/>
    <w:basedOn w:val="Normal"/>
    <w:qFormat/>
    <w:pPr>
      <w:suppressLineNumbers/>
      <w:spacing w:after="120" w:before="120"/>
    </w:pPr>
    <w:rPr>
      <w:rFonts w:cs="Arial"/>
      <w:i/>
      <w:iCs/>
      <w:sz w:val="24"/>
      <w:szCs w:val="24"/>
    </w:rPr>
  </w:style>
  <w:style w:styleId="NoSpacing" w:type="paragraph">
    <w:name w:val="No Spacing"/>
    <w:uiPriority w:val="1"/>
    <w:qFormat/>
    <w:rsid w:val="004e21e4"/>
    <w:pPr>
      <w:widowControl/>
      <w:bidi w:val="false"/>
      <w:spacing w:lineRule="auto" w:line="240"/>
      <w:jc w:val="left"/>
    </w:pPr>
    <w:rPr>
      <w:rFonts w:cs="" w:eastAsia="Calibri" w:hAnsi="Calibri" w:ascii="Calibri"/>
      <w:color w:val="00000A"/>
      <w:sz w:val="22"/>
      <w:szCs w:val="22"/>
      <w:lang w:bidi="ar-SA" w:eastAsia="en-US" w:val="hr-HR"/>
    </w:rPr>
  </w:style>
  <w:style w:default="true" w:styleId="NoList" w:type="numbering">
    <w:name w:val="No List"/>
    <w:uiPriority w:val="99"/>
    <w:semiHidden/>
    <w:unhideWhenUsed/>
    <w:qFormat/>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styleId="Reetkatablice" w:type="table">
    <w:name w:val="Table Grid"/>
    <w:basedOn w:val="Obinatablica"/>
    <w:uiPriority w:val="59"/>
    <w:rsid w:val="00471349"/>
    <w:pPr>
      <w:spacing w:lineRule="auto" w:line="24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Pages>5</properties:Pages>
  <properties:Words>1087</properties:Words>
  <properties:Characters>6998</properties:Characters>
  <properties:Paragraphs>227</properties:Paragraphs>
  <properties:TotalTime>114</properties:TotalTime>
  <properties:CharactersWithSpaces>8607</properties:CharactersWithSpaces>
  <properties:Application>LibreOffice/5.1.2.2$Windows_X86_64 LibreOffice_project/d3bf12ecb743fc0d20e0be0c58ca359301eb705f</properties:Application>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2018-02-12T17:39:00Z</dcterms:created>
  <dc:creator>Zvonko</dc:creator>
  <dc:description/>
  <dc:language>hr-HR</dc:language>
  <cp:lastModifiedBy/>
  <cp:lastPrinted>2018-04-24T09:05:37Z</cp:lastPrinted>
  <dcterms:modified xmlns:xsi="http://www.w3.org/2001/XMLSchema-instance" xsi:type="dcterms:W3CDTF">2018-04-24T09:07:57Z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DocSecurity" pid="3" fmtid="{D5CDD505-2E9C-101B-9397-08002B2CF9AE}">
    <vt:i4>0</vt:i4>
  </prop:property>
  <prop:property name="HyperlinksChanged" pid="4" fmtid="{D5CDD505-2E9C-101B-9397-08002B2CF9AE}">
    <vt:bool>false</vt:bool>
  </prop:property>
  <prop:property name="LinksUpToDate" pid="5" fmtid="{D5CDD505-2E9C-101B-9397-08002B2CF9AE}">
    <vt:bool>false</vt:bool>
  </prop:property>
  <prop:property name="ScaleCrop" pid="6" fmtid="{D5CDD505-2E9C-101B-9397-08002B2CF9AE}">
    <vt:bool>false</vt:bool>
  </prop:property>
  <prop:property name="ShareDoc" pid="7" fmtid="{D5CDD505-2E9C-101B-9397-08002B2CF9AE}">
    <vt:bool>false</vt:bool>
  </prop:property>
</prop:Properties>
</file>