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ba1a" w14:paraId="7a4ba1a" w:rsidRDefault="003E3B5D" w:rsidP="003E3B5D" w:rsidR="003E3B5D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2630" cx="543560"/>
            <wp:effectExtent b="1270" r="889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B5D" w:rsidP="003E3B5D" w:rsidR="003E3B5D">
      <w:r>
        <w:t>REPUBLIKA HRVATSKA</w:t>
      </w:r>
    </w:p>
    <w:p w:rsidRDefault="003E3B5D" w:rsidP="003E3B5D" w:rsidR="003E3B5D">
      <w:r>
        <w:t>TRGOVAČKI SUD U  OSIJEKU</w:t>
      </w:r>
    </w:p>
    <w:p w:rsidRDefault="003E3B5D" w:rsidP="003E3B5D" w:rsidR="003E3B5D">
      <w:r>
        <w:t>STALNA SLUŽBA U SLAVONSKOM BRODU</w:t>
      </w:r>
    </w:p>
    <w:p w:rsidRDefault="003E3B5D" w:rsidP="003E3B5D" w:rsidR="003E3B5D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Broj: 3/St-240/2015-224</w:t>
      </w:r>
    </w:p>
    <w:p w:rsidRDefault="003E3B5D" w:rsidP="003E3B5D" w:rsidR="003E3B5D">
      <w:r>
        <w:t>Trg pobjede 13</w:t>
      </w:r>
    </w:p>
    <w:p w:rsidRDefault="003E3B5D" w:rsidP="003E3B5D" w:rsidR="003E3B5D">
      <w:pPr>
        <w:jc w:val="center"/>
        <w:rPr>
          <w:b/>
        </w:rPr>
      </w:pPr>
    </w:p>
    <w:p w:rsidRDefault="003E3B5D" w:rsidP="003E3B5D" w:rsidR="003E3B5D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E3B5D" w:rsidP="003E3B5D" w:rsidR="003E3B5D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FENIX d.o.o. Slavonski Brod, u stečaju, Vinogradska 2 F, OIB: 11119953057</w:t>
      </w:r>
      <w:r>
        <w:t xml:space="preserve">, koga zastupa stečajni upravitelj Nikola Kruljac iz Martina, Našice, 2. ožujka 2018.  </w:t>
      </w:r>
    </w:p>
    <w:p w:rsidRDefault="003E3B5D" w:rsidP="003E3B5D" w:rsidR="003E3B5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3E3B5D" w:rsidP="003E3B5D" w:rsidR="003E3B5D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Poziva se ŠTEDBANKA d.d. u likvidaciji da za nekretnine za koje je istakla najpovoljniju ponudu u postupku pred Finom, a radi se o nekretninama: </w:t>
      </w:r>
    </w:p>
    <w:p w:rsidRDefault="003E3B5D" w:rsidP="003E3B5D" w:rsidR="003E3B5D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>upisanim u zk.uložak 1405 k.o. Novigrad, k.č.br. 1163/159, Pašnjak u površini od 916 m2, u naravi gradilište, na adresi Novigrad, Naselje Pavulj bb i za nekretnine poslovni kompleks u Slav. Brodu unutar Industrijske zone Đuro Đaković</w:t>
      </w:r>
    </w:p>
    <w:p w:rsidRDefault="003E3B5D" w:rsidP="003E3B5D" w:rsidR="003E3B5D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napravi obračun tražbina s osnova razlučnih prava na tim nekretninama i to kamate i troškove za razdoblje od tri godine (zadnje), te za ukupno razdoblje, te da se izjasnite o tome jeste li suglasni da se iznos uplaćenih jamčevina pred Finom koristi radi namirenja tražbine stečajne mase s osnova troškova utvrđenja i unovčenja tražbine jer je potrebno izvršiti prijeboj međusobnih tražbina steč. mase s osnova kupoprodajne cijene postignute na javnim dražbama i razlučnog vjerovnika s osnova tražbine po osnovi razlučnih prava, a također je potrebno namiriti steč. masu.</w:t>
      </w:r>
    </w:p>
    <w:p w:rsidRDefault="003E3B5D" w:rsidP="003E3B5D" w:rsidR="003E3B5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Traženo je potrebno dostaviti u roku od osam dana.</w:t>
      </w:r>
    </w:p>
    <w:p w:rsidRDefault="003E3B5D" w:rsidP="003E3B5D" w:rsidR="003E3B5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Nakon što se zaprimi izjašnjenje steč.upravitelja o troškovima unovčenja i utvrđivanja tražbine na predmetnim nekretninama isto će biti dostavljeno istom razlučnom vjerovniku – kupcu.</w:t>
      </w:r>
    </w:p>
    <w:p w:rsidRDefault="003E3B5D" w:rsidP="003E3B5D" w:rsidR="003E3B5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zbog prijeboja s kupoprodajnom cijenom ne bude mogućnosti za isplatu troškova steč. mase, a razlučni vjerovnik odbije isplatu iznosa tražbine steč. mase, sud može ocijeniti dali je prodaja svrhovita s obzirom na mogućnost namirenja troškova – tražbina </w:t>
      </w:r>
      <w:r>
        <w:rPr>
          <w:color w:val="222222"/>
        </w:rPr>
        <w:lastRenderedPageBreak/>
        <w:t xml:space="preserve">stečajne mase (čl. 94. st. 3. Ovršnog zakona) te odbiti ponudu ako ocjeni da prodaja nije svrhovita. </w:t>
      </w:r>
    </w:p>
    <w:p w:rsidRDefault="003E3B5D" w:rsidP="003E3B5D" w:rsidR="003E3B5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2. ožujka 2018.                              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>Stečajni sudac:</w:t>
      </w:r>
    </w:p>
    <w:p w:rsidRDefault="003E3B5D" w:rsidP="003E3B5D" w:rsidR="003E3B5D">
      <w:pPr>
        <w:spacing w:beforeAutospacing="true" w:before="100"/>
      </w:pPr>
      <w:r>
        <w:rPr>
          <w:color w:val="222222"/>
          <w:sz w:val="22"/>
          <w:szCs w:val="22"/>
        </w:rPr>
        <w:t xml:space="preserve">                                                                        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C71744" w:rsidP="003E3B5D" w:rsidR="00C71744" w:rsidRPr="003E3B5D"/>
    <w:sectPr w:rsidR="00C71744" w:rsidRPr="003E3B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B0964"/>
    <w:multiLevelType w:val="hybridMultilevel"/>
    <w:tmpl w:val="9B78BFB6"/>
    <w:lvl w:tplc="63FC44D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852"/>
    <w:rsid w:val="000E1C25"/>
    <w:rsid w:val="001B5225"/>
    <w:rsid w:val="002D5496"/>
    <w:rsid w:val="00350D50"/>
    <w:rsid w:val="003E3B5D"/>
    <w:rsid w:val="0045404E"/>
    <w:rsid w:val="005D3A15"/>
    <w:rsid w:val="005E15FD"/>
    <w:rsid w:val="007C15FD"/>
    <w:rsid w:val="008370CC"/>
    <w:rsid w:val="009549BA"/>
    <w:rsid w:val="009E45F5"/>
    <w:rsid w:val="00AE6875"/>
    <w:rsid w:val="00B31852"/>
    <w:rsid w:val="00B7258A"/>
    <w:rsid w:val="00BD2C56"/>
    <w:rsid w:val="00C71744"/>
    <w:rsid w:val="00CA07A9"/>
    <w:rsid w:val="00D01B29"/>
    <w:rsid w:val="00D5583F"/>
    <w:rsid w:val="00DD7845"/>
    <w:rsid w:val="00E93146"/>
    <w:rsid w:val="00F0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3B5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1C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3B5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1C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45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45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0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St-240/2015-224</izvorni_sadrzaj>
    <derivirana_varijabla naziv="DomainObject.Oznaka_1">St-240/2015-224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 ref</izvorni_sadrzaj>
    <derivirana_varijabla naziv="DomainObject.Predmet.PrimjedbaSuca_1">I, II ,III i IV kod Dubi , , V i VI dio u ref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St-240/2015-224</izvorni_sadrzaj>
    <derivirana_varijabla naziv="DomainObject.PoslovniBrojDokumenta_1">St-240/2015-224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328</properties:Words>
  <properties:Characters>1760</properties:Characters>
  <properties:Lines>37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2018-03-02T09:47:00Z</dcterms:created>
  <dc:creator>wsadmin</dc:creator>
  <cp:lastModifiedBy>wsadmin</cp:lastModifiedBy>
  <cp:lastPrinted>2018-03-02T10:13:00Z</cp:lastPrinted>
  <dcterms:modified xmlns:xsi="http://www.w3.org/2001/XMLSchema-instance" xsi:type="dcterms:W3CDTF">2018-03-02T10:23:00Z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St-240/2015-224 / Odluka - Zaključak (St-240-2015-zaključak.docx)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