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141f6" w14:paraId="0f141f6" w:rsidRDefault="0068229E" w:rsidP="00B54BE9" w:rsidR="0068229E">
      <w:pPr>
        <w:spacing w:lineRule="auto" w:line="276" w:after="0"/>
        <w15:collapsed w:val="false"/>
        <w:rPr>
          <w:rFonts w:cs="Times New Roman" w:hAnsi="Times New Roman" w:ascii="Times New Roman"/>
          <w:b/>
        </w:rPr>
      </w:pPr>
      <w:bookmarkStart w:name="_GoBack" w:id="0"/>
      <w:bookmarkEnd w:id="0"/>
    </w:p>
    <w:p w:rsidRDefault="0068229E" w:rsidP="0068229E" w:rsidR="0068229E" w:rsidRPr="003726DD">
      <w:pPr>
        <w:jc w:val="center"/>
        <w:rPr>
          <w:rFonts w:hAnsi="Times New Roman" w:ascii="Times New Roman"/>
          <w:b/>
          <w:sz w:val="28"/>
        </w:rPr>
      </w:pPr>
      <w:r w:rsidRPr="00655B39">
        <w:rPr>
          <w:rFonts w:hAnsi="Times New Roman" w:ascii="Times New Roman"/>
          <w:b/>
          <w:sz w:val="28"/>
        </w:rPr>
        <w:t xml:space="preserve">Obrazac </w:t>
      </w:r>
      <w:r w:rsidRPr="003726DD">
        <w:rPr>
          <w:rFonts w:hAnsi="Times New Roman" w:ascii="Times New Roman"/>
          <w:b/>
          <w:sz w:val="28"/>
        </w:rPr>
        <w:t>19.</w:t>
      </w:r>
    </w:p>
    <w:p w:rsidRDefault="0068229E" w:rsidP="00B54BE9" w:rsidR="0068229E">
      <w:pPr>
        <w:spacing w:lineRule="auto" w:line="276" w:after="0"/>
        <w:rPr>
          <w:rFonts w:cs="Times New Roman" w:hAnsi="Times New Roman" w:ascii="Times New Roman"/>
          <w:b/>
        </w:rPr>
      </w:pPr>
      <w:r>
        <w:rPr>
          <w:rFonts w:cs="Times New Roman" w:hAnsi="Times New Roman" w:ascii="Times New Roman"/>
          <w:b/>
        </w:rPr>
        <w:t>Nadležni sud: TRGOVAČKI SUD U ZAGREBU</w:t>
      </w:r>
    </w:p>
    <w:p w:rsidRDefault="0068229E" w:rsidP="00B54BE9" w:rsidR="0068229E">
      <w:pPr>
        <w:spacing w:lineRule="auto" w:line="276" w:after="0"/>
        <w:rPr>
          <w:rFonts w:cs="Times New Roman" w:hAnsi="Times New Roman" w:ascii="Times New Roman"/>
          <w:b/>
        </w:rPr>
      </w:pPr>
      <w:r>
        <w:rPr>
          <w:rFonts w:cs="Times New Roman" w:hAnsi="Times New Roman" w:ascii="Times New Roman"/>
          <w:b/>
        </w:rPr>
        <w:t>Poslovni broj:  31 ST-790/13</w:t>
      </w:r>
    </w:p>
    <w:p w:rsidRDefault="0068229E" w:rsidP="00B54BE9" w:rsidR="0068229E">
      <w:pPr>
        <w:spacing w:lineRule="auto" w:line="276" w:after="0"/>
        <w:rPr>
          <w:rFonts w:cs="Times New Roman" w:hAnsi="Times New Roman" w:ascii="Times New Roman"/>
          <w:b/>
        </w:rPr>
      </w:pPr>
    </w:p>
    <w:p w:rsidRDefault="0068229E" w:rsidP="00B54BE9" w:rsidR="00B54BE9" w:rsidRPr="00B54BE9">
      <w:pPr>
        <w:spacing w:lineRule="auto" w:line="276" w:after="0"/>
        <w:rPr>
          <w:rFonts w:cs="Times New Roman" w:hAnsi="Times New Roman" w:ascii="Times New Roman"/>
          <w:b/>
        </w:rPr>
      </w:pPr>
      <w:r>
        <w:rPr>
          <w:rFonts w:cs="Times New Roman" w:hAnsi="Times New Roman" w:ascii="Times New Roman"/>
          <w:b/>
        </w:rPr>
        <w:t xml:space="preserve">Dužnik: </w:t>
      </w:r>
      <w:r w:rsidR="00B54BE9" w:rsidRPr="00B54BE9">
        <w:rPr>
          <w:rFonts w:cs="Times New Roman" w:hAnsi="Times New Roman" w:ascii="Times New Roman"/>
          <w:b/>
        </w:rPr>
        <w:t>EUROYACHTING d.o.o. u stečaju</w:t>
      </w:r>
    </w:p>
    <w:p w:rsidRDefault="00B54BE9" w:rsidP="00B54BE9" w:rsidR="00B54BE9" w:rsidRPr="00B54BE9">
      <w:pPr>
        <w:spacing w:lineRule="auto" w:line="276" w:after="0"/>
        <w:rPr>
          <w:rFonts w:cs="Times New Roman" w:hAnsi="Times New Roman" w:ascii="Times New Roman"/>
          <w:b/>
        </w:rPr>
      </w:pPr>
      <w:r w:rsidRPr="00B54BE9">
        <w:rPr>
          <w:rFonts w:cs="Times New Roman" w:hAnsi="Times New Roman" w:ascii="Times New Roman"/>
          <w:b/>
        </w:rPr>
        <w:t>Zagreb, Ogrizovićeva 41</w:t>
      </w:r>
    </w:p>
    <w:p w:rsidRDefault="00B54BE9" w:rsidP="00B54BE9" w:rsidR="00B54BE9" w:rsidRPr="00B54BE9">
      <w:pPr>
        <w:spacing w:lineRule="auto" w:line="276" w:after="0"/>
        <w:rPr>
          <w:rFonts w:cs="Times New Roman" w:hAnsi="Times New Roman" w:ascii="Times New Roman"/>
          <w:b/>
        </w:rPr>
      </w:pPr>
      <w:r w:rsidRPr="00B54BE9">
        <w:rPr>
          <w:rFonts w:cs="Times New Roman" w:hAnsi="Times New Roman" w:ascii="Times New Roman"/>
          <w:b/>
        </w:rPr>
        <w:t>MBS:080455164, OIB:56804906735</w:t>
      </w:r>
    </w:p>
    <w:p w:rsidRDefault="00B54BE9" w:rsidP="00B54BE9" w:rsidR="00B54BE9" w:rsidRPr="00B54BE9">
      <w:pPr>
        <w:spacing w:lineRule="auto" w:line="276" w:after="0"/>
        <w:rPr>
          <w:rFonts w:cs="Times New Roman" w:hAnsi="Times New Roman" w:ascii="Times New Roman"/>
          <w:b/>
        </w:rPr>
      </w:pPr>
    </w:p>
    <w:p w:rsidRDefault="00B54BE9" w:rsidP="00B54BE9" w:rsidR="00B54BE9" w:rsidRPr="00B54BE9">
      <w:pPr>
        <w:spacing w:after="0"/>
        <w:ind w:left="360"/>
        <w:jc w:val="center"/>
        <w:rPr>
          <w:rFonts w:cs="Times New Roman" w:hAnsi="Times New Roman" w:ascii="Times New Roman"/>
          <w:b/>
          <w:iCs/>
        </w:rPr>
      </w:pPr>
      <w:r w:rsidRPr="00B54BE9">
        <w:rPr>
          <w:rFonts w:cs="Times New Roman" w:hAnsi="Times New Roman" w:ascii="Times New Roman"/>
          <w:b/>
          <w:iCs/>
        </w:rPr>
        <w:t xml:space="preserve">DIOBNI POPIS </w:t>
      </w:r>
    </w:p>
    <w:p w:rsidRDefault="00B54BE9" w:rsidP="00B54BE9" w:rsidR="00B54BE9" w:rsidRPr="00B54BE9">
      <w:pPr>
        <w:spacing w:after="0"/>
        <w:ind w:left="360"/>
        <w:jc w:val="center"/>
        <w:rPr>
          <w:rFonts w:cs="Times New Roman" w:hAnsi="Times New Roman" w:ascii="Times New Roman"/>
          <w:b/>
          <w:iCs/>
        </w:rPr>
      </w:pPr>
      <w:r w:rsidRPr="00B54BE9">
        <w:rPr>
          <w:rFonts w:cs="Times New Roman" w:hAnsi="Times New Roman" w:ascii="Times New Roman"/>
          <w:b/>
          <w:iCs/>
        </w:rPr>
        <w:t>za 2. djelomičnu diobu</w:t>
      </w:r>
    </w:p>
    <w:p w:rsidRDefault="00B54BE9" w:rsidP="00B54BE9" w:rsidR="00B54BE9">
      <w:pPr>
        <w:spacing w:after="0"/>
        <w:ind w:left="360"/>
        <w:jc w:val="center"/>
        <w:rPr>
          <w:rFonts w:cs="Times New Roman" w:hAnsi="Times New Roman" w:ascii="Times New Roman"/>
          <w:b/>
          <w:iCs/>
        </w:rPr>
      </w:pPr>
      <w:r w:rsidRPr="00B54BE9">
        <w:rPr>
          <w:rFonts w:cs="Times New Roman" w:hAnsi="Times New Roman" w:ascii="Times New Roman"/>
          <w:b/>
          <w:iCs/>
        </w:rPr>
        <w:t>Vjerovnici II. višeg isplatnog reda</w:t>
      </w:r>
    </w:p>
    <w:p w:rsidRDefault="00B54BE9" w:rsidP="00B54BE9" w:rsidR="00B54BE9" w:rsidRPr="00B54BE9">
      <w:pPr>
        <w:spacing w:after="0"/>
        <w:ind w:left="360"/>
        <w:jc w:val="center"/>
        <w:rPr>
          <w:rFonts w:cs="Times New Roman" w:hAnsi="Times New Roman" w:ascii="Times New Roman"/>
          <w:b/>
          <w:iCs/>
        </w:rPr>
      </w:pPr>
    </w:p>
    <w:p w:rsidRDefault="00B54BE9" w:rsidP="00B54BE9" w:rsidR="00B54BE9" w:rsidRPr="00687B42">
      <w:pPr>
        <w:jc w:val="both"/>
        <w:rPr>
          <w:rFonts w:cs="Arial" w:hAnsi="Arial" w:ascii="Arial"/>
          <w:b/>
          <w:bCs/>
        </w:rPr>
      </w:pPr>
      <w:r w:rsidRPr="00546CEB">
        <w:rPr>
          <w:rFonts w:cs="Tahoma" w:hAnsi="Cambria" w:ascii="Cambria"/>
        </w:rPr>
        <w:t>Raspoloživ</w:t>
      </w:r>
      <w:r>
        <w:rPr>
          <w:rFonts w:cs="Tahoma" w:hAnsi="Cambria" w:ascii="Cambria"/>
        </w:rPr>
        <w:t>i iznos</w:t>
      </w:r>
      <w:r w:rsidRPr="00546CEB">
        <w:rPr>
          <w:rFonts w:cs="Tahoma" w:hAnsi="Cambria" w:ascii="Cambria"/>
        </w:rPr>
        <w:t xml:space="preserve"> sredstava za namirenje stečajnih vjerovnika</w:t>
      </w:r>
      <w:r>
        <w:rPr>
          <w:rFonts w:cs="Tahoma" w:hAnsi="Cambria" w:ascii="Cambria"/>
        </w:rPr>
        <w:t xml:space="preserve"> drugog višeg isplatnog reda, </w:t>
      </w:r>
      <w:r w:rsidRPr="00546CEB">
        <w:rPr>
          <w:rFonts w:cs="Tahoma" w:hAnsi="Cambria" w:ascii="Cambria"/>
        </w:rPr>
        <w:t xml:space="preserve"> odnosno diobu </w:t>
      </w:r>
      <w:r>
        <w:rPr>
          <w:rFonts w:cs="Tahoma" w:hAnsi="Cambria" w:ascii="Cambria"/>
        </w:rPr>
        <w:t xml:space="preserve"> je iznos od </w:t>
      </w:r>
      <w:r>
        <w:rPr>
          <w:rFonts w:cs="Arial" w:hAnsi="Cambria" w:ascii="Cambria"/>
          <w:b/>
          <w:bCs/>
        </w:rPr>
        <w:t>2.700.000,00</w:t>
      </w:r>
      <w:r>
        <w:rPr>
          <w:rFonts w:cs="Arial" w:hAnsi="Arial" w:ascii="Arial"/>
          <w:b/>
          <w:bCs/>
        </w:rPr>
        <w:t xml:space="preserve"> </w:t>
      </w:r>
      <w:r w:rsidRPr="00546CEB">
        <w:rPr>
          <w:rFonts w:cs="Tahoma" w:hAnsi="Cambria" w:ascii="Cambria"/>
        </w:rPr>
        <w:t>kn</w:t>
      </w:r>
      <w:r w:rsidR="00F904CA">
        <w:rPr>
          <w:rFonts w:cs="Tahoma" w:hAnsi="Cambria" w:ascii="Cambria"/>
        </w:rPr>
        <w:t>,</w:t>
      </w:r>
      <w:r>
        <w:rPr>
          <w:rFonts w:cs="Tahoma" w:hAnsi="Cambria" w:ascii="Cambria"/>
        </w:rPr>
        <w:t xml:space="preserve"> odnosno 0,78</w:t>
      </w:r>
      <w:r w:rsidRPr="00687B42">
        <w:rPr>
          <w:rFonts w:cs="Tahoma" w:hAnsi="Cambria" w:ascii="Cambria"/>
        </w:rPr>
        <w:t>%</w:t>
      </w:r>
      <w:r>
        <w:rPr>
          <w:rFonts w:cs="Tahoma" w:hAnsi="Cambria" w:ascii="Cambria"/>
        </w:rPr>
        <w:t xml:space="preserve"> od ukupno utvrđenih tražbina vjerovnika II. višeg isplatnog reda</w:t>
      </w:r>
      <w:r w:rsidRPr="00546CEB">
        <w:rPr>
          <w:rFonts w:cs="Tahoma" w:hAnsi="Cambria" w:ascii="Cambria"/>
        </w:rPr>
        <w:t>.</w:t>
      </w:r>
    </w:p>
    <w:tbl>
      <w:tblPr>
        <w:tblW w:type="dxa" w:w="14860"/>
        <w:tblLook w:val="04A0" w:noVBand="1" w:noHBand="0" w:lastColumn="0" w:firstColumn="1" w:lastRow="0" w:firstRow="1"/>
      </w:tblPr>
      <w:tblGrid>
        <w:gridCol w:w="480"/>
        <w:gridCol w:w="2980"/>
        <w:gridCol w:w="1960"/>
        <w:gridCol w:w="1220"/>
        <w:gridCol w:w="1420"/>
        <w:gridCol w:w="1520"/>
        <w:gridCol w:w="1840"/>
        <w:gridCol w:w="1780"/>
        <w:gridCol w:w="1660"/>
      </w:tblGrid>
      <w:tr w:rsidTr="00B54BE9" w:rsidR="00B54BE9" w:rsidRPr="00B54BE9">
        <w:trPr>
          <w:trHeight w:val="1065"/>
        </w:trPr>
        <w:tc>
          <w:tcPr>
            <w:tcW w:type="dxa" w:w="480"/>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B54BE9" w:rsidP="00B54BE9" w:rsidR="00B54BE9">
            <w:pPr>
              <w:spacing w:lineRule="auto" w:line="240" w:after="0"/>
              <w:jc w:val="center"/>
              <w:rPr>
                <w:rFonts w:cs="Times New Roman" w:eastAsia="Times New Roman" w:hAnsi="Times New Roman" w:ascii="Times New Roman"/>
                <w:b/>
                <w:bCs/>
                <w:sz w:val="16"/>
                <w:szCs w:val="16"/>
                <w:lang w:eastAsia="hr-HR"/>
              </w:rPr>
            </w:pPr>
          </w:p>
          <w:p w:rsidRDefault="00B54BE9" w:rsidP="00B54BE9" w:rsidR="00B54BE9" w:rsidRPr="00B54BE9">
            <w:pPr>
              <w:spacing w:lineRule="auto" w:line="240" w:after="0"/>
              <w:jc w:val="center"/>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Br. Pr.</w:t>
            </w:r>
          </w:p>
        </w:tc>
        <w:tc>
          <w:tcPr>
            <w:tcW w:type="dxa" w:w="2980"/>
            <w:tcBorders>
              <w:top w:space="0" w:sz="4" w:color="auto" w:val="single"/>
              <w:left w:val="nil"/>
              <w:bottom w:space="0" w:sz="4" w:color="auto" w:val="single"/>
              <w:right w:space="0" w:sz="4" w:color="auto" w:val="single"/>
            </w:tcBorders>
            <w:shd w:fill="C5D9F1" w:color="000000"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vjerovnik</w:t>
            </w:r>
          </w:p>
        </w:tc>
        <w:tc>
          <w:tcPr>
            <w:tcW w:type="dxa" w:w="1960"/>
            <w:tcBorders>
              <w:top w:space="0" w:sz="4" w:color="auto" w:val="single"/>
              <w:left w:val="nil"/>
              <w:bottom w:space="0" w:sz="4" w:color="auto" w:val="single"/>
              <w:right w:space="0" w:sz="4" w:color="auto" w:val="single"/>
            </w:tcBorders>
            <w:shd w:fill="C5D9F1" w:color="000000"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 xml:space="preserve">Utvrđena </w:t>
            </w:r>
          </w:p>
        </w:tc>
        <w:tc>
          <w:tcPr>
            <w:tcW w:type="dxa" w:w="1220"/>
            <w:tcBorders>
              <w:top w:space="0" w:sz="4" w:color="auto" w:val="single"/>
              <w:left w:val="nil"/>
              <w:bottom w:space="0" w:sz="4" w:color="auto" w:val="single"/>
              <w:right w:val="nil"/>
            </w:tcBorders>
            <w:shd w:fill="C5D9F1" w:color="000000"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 u ukupno priznatim tražbinama</w:t>
            </w:r>
          </w:p>
        </w:tc>
        <w:tc>
          <w:tcPr>
            <w:tcW w:type="dxa" w:w="1420"/>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Namirenje kompenzacija kupoprodaja pokretnina</w:t>
            </w:r>
          </w:p>
        </w:tc>
        <w:tc>
          <w:tcPr>
            <w:tcW w:type="dxa" w:w="1520"/>
            <w:tcBorders>
              <w:top w:space="0" w:sz="4" w:color="auto" w:val="single"/>
              <w:left w:val="nil"/>
              <w:bottom w:space="0" w:sz="4" w:color="auto" w:val="single"/>
              <w:right w:space="0" w:sz="4" w:color="auto" w:val="single"/>
            </w:tcBorders>
            <w:shd w:fill="C5D9F1" w:color="000000"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Namirenje po rješenjima o namirenju</w:t>
            </w:r>
          </w:p>
        </w:tc>
        <w:tc>
          <w:tcPr>
            <w:tcW w:type="dxa" w:w="1840"/>
            <w:tcBorders>
              <w:top w:space="0" w:sz="4" w:color="auto" w:val="single"/>
              <w:left w:val="nil"/>
              <w:bottom w:space="0" w:sz="4" w:color="auto" w:val="single"/>
              <w:right w:space="0" w:sz="4" w:color="auto" w:val="single"/>
            </w:tcBorders>
            <w:shd w:fill="C5D9F1" w:color="000000"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Stanje nakon izvršene I. djelomične diobe</w:t>
            </w:r>
            <w:r>
              <w:rPr>
                <w:rFonts w:cs="Times New Roman" w:eastAsia="Times New Roman" w:hAnsi="Times New Roman" w:ascii="Times New Roman"/>
                <w:sz w:val="16"/>
                <w:szCs w:val="16"/>
                <w:lang w:eastAsia="hr-HR"/>
              </w:rPr>
              <w:t xml:space="preserve"> </w:t>
            </w:r>
          </w:p>
        </w:tc>
        <w:tc>
          <w:tcPr>
            <w:tcW w:type="dxa" w:w="1780"/>
            <w:tcBorders>
              <w:top w:space="0" w:sz="4" w:color="auto" w:val="single"/>
              <w:left w:val="nil"/>
              <w:bottom w:space="0" w:sz="4" w:color="auto" w:val="single"/>
              <w:right w:space="0" w:sz="4" w:color="auto" w:val="single"/>
            </w:tcBorders>
            <w:shd w:fill="D8E4BC" w:color="000000" w:val="clear"/>
            <w:vAlign w:val="center"/>
            <w:hideMark/>
          </w:tcPr>
          <w:p w:rsidRDefault="006D738B" w:rsidP="006D738B" w:rsidR="00B54BE9" w:rsidRPr="00B54BE9">
            <w:pPr>
              <w:spacing w:lineRule="auto" w:line="240" w:after="0"/>
              <w:jc w:val="center"/>
              <w:rPr>
                <w:rFonts w:cs="Times New Roman" w:eastAsia="Times New Roman" w:hAnsi="Times New Roman" w:ascii="Times New Roman"/>
                <w:b/>
                <w:bCs/>
                <w:sz w:val="16"/>
                <w:szCs w:val="16"/>
                <w:lang w:eastAsia="hr-HR"/>
              </w:rPr>
            </w:pPr>
            <w:r>
              <w:rPr>
                <w:rFonts w:cs="Times New Roman" w:eastAsia="Times New Roman" w:hAnsi="Times New Roman" w:ascii="Times New Roman"/>
                <w:b/>
                <w:bCs/>
                <w:sz w:val="16"/>
                <w:szCs w:val="16"/>
                <w:lang w:eastAsia="hr-HR"/>
              </w:rPr>
              <w:t xml:space="preserve">2. </w:t>
            </w:r>
            <w:r w:rsidR="00B54BE9" w:rsidRPr="00B54BE9">
              <w:rPr>
                <w:rFonts w:cs="Times New Roman" w:eastAsia="Times New Roman" w:hAnsi="Times New Roman" w:ascii="Times New Roman"/>
                <w:b/>
                <w:bCs/>
                <w:sz w:val="16"/>
                <w:szCs w:val="16"/>
                <w:lang w:eastAsia="hr-HR"/>
              </w:rPr>
              <w:t>DIOBA 0,784795915%</w:t>
            </w:r>
          </w:p>
        </w:tc>
        <w:tc>
          <w:tcPr>
            <w:tcW w:type="dxa" w:w="1660"/>
            <w:tcBorders>
              <w:top w:space="0" w:sz="4" w:color="auto" w:val="single"/>
              <w:left w:val="nil"/>
              <w:bottom w:space="0" w:sz="4" w:color="auto" w:val="single"/>
              <w:right w:space="0" w:sz="4" w:color="auto" w:val="single"/>
            </w:tcBorders>
            <w:shd w:fill="C5D9F1" w:color="000000"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Za sljedeću diobu</w:t>
            </w:r>
          </w:p>
        </w:tc>
      </w:tr>
      <w:tr w:rsidTr="00B54BE9" w:rsidR="00B54BE9" w:rsidRPr="00B54BE9">
        <w:trPr>
          <w:trHeight w:val="1095"/>
        </w:trPr>
        <w:tc>
          <w:tcPr>
            <w:tcW w:type="dxa" w:w="480"/>
            <w:tcBorders>
              <w:top w:val="nil"/>
              <w:left w:space="0" w:sz="4" w:color="auto" w:val="single"/>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1</w:t>
            </w:r>
          </w:p>
        </w:tc>
        <w:tc>
          <w:tcPr>
            <w:tcW w:type="dxa" w:w="298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b/>
                <w:sz w:val="16"/>
                <w:szCs w:val="16"/>
                <w:lang w:eastAsia="hr-HR"/>
              </w:rPr>
              <w:t xml:space="preserve">HRVATSKE VODE, </w:t>
            </w:r>
            <w:r w:rsidRPr="00B54BE9">
              <w:rPr>
                <w:rFonts w:cs="Times New Roman" w:eastAsia="Times New Roman" w:hAnsi="Times New Roman" w:ascii="Times New Roman"/>
                <w:sz w:val="16"/>
                <w:szCs w:val="16"/>
                <w:lang w:eastAsia="hr-HR"/>
              </w:rPr>
              <w:t>VODNOGOSPODARSKI ODJEL ZA GORNJU SAVU, Zagreb, Ul.grada Vukovara 271/VIII</w:t>
            </w:r>
          </w:p>
        </w:tc>
        <w:tc>
          <w:tcPr>
            <w:tcW w:type="dxa" w:w="196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795.864,86</w:t>
            </w:r>
          </w:p>
        </w:tc>
        <w:tc>
          <w:tcPr>
            <w:tcW w:type="dxa" w:w="1220"/>
            <w:tcBorders>
              <w:top w:val="nil"/>
              <w:left w:val="nil"/>
              <w:bottom w:space="0" w:sz="4" w:color="auto" w:val="single"/>
              <w:right w:val="nil"/>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0,23133    </w:t>
            </w:r>
          </w:p>
        </w:tc>
        <w:tc>
          <w:tcPr>
            <w:tcW w:type="dxa" w:w="1420"/>
            <w:tcBorders>
              <w:top w:val="nil"/>
              <w:left w:space="0" w:sz="4" w:color="auto" w:val="single"/>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52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84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782.685,20    </w:t>
            </w:r>
          </w:p>
        </w:tc>
        <w:tc>
          <w:tcPr>
            <w:tcW w:type="dxa" w:w="1780"/>
            <w:tcBorders>
              <w:top w:val="nil"/>
              <w:left w:val="nil"/>
              <w:bottom w:space="0" w:sz="4" w:color="auto" w:val="single"/>
              <w:right w:space="0" w:sz="4" w:color="auto" w:val="single"/>
            </w:tcBorders>
            <w:shd w:fill="D8E4BC" w:color="000000" w:val="clear"/>
            <w:noWrap/>
            <w:vAlign w:val="center"/>
            <w:hideMark/>
          </w:tcPr>
          <w:p w:rsidRDefault="00B54BE9" w:rsidP="00B54BE9" w:rsidR="00B54BE9" w:rsidRPr="00B54BE9">
            <w:pPr>
              <w:spacing w:lineRule="auto" w:line="240" w:after="0"/>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 xml:space="preserve">                   6.245,91    </w:t>
            </w:r>
          </w:p>
        </w:tc>
        <w:tc>
          <w:tcPr>
            <w:tcW w:type="dxa" w:w="16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776.439,29    </w:t>
            </w:r>
          </w:p>
        </w:tc>
      </w:tr>
      <w:tr w:rsidTr="00B54BE9" w:rsidR="00B54BE9" w:rsidRPr="00B54BE9">
        <w:trPr>
          <w:trHeight w:val="885"/>
        </w:trPr>
        <w:tc>
          <w:tcPr>
            <w:tcW w:type="dxa" w:w="480"/>
            <w:tcBorders>
              <w:top w:val="nil"/>
              <w:left w:space="0" w:sz="4" w:color="auto" w:val="single"/>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2</w:t>
            </w:r>
          </w:p>
        </w:tc>
        <w:tc>
          <w:tcPr>
            <w:tcW w:type="dxa" w:w="298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b/>
                <w:sz w:val="16"/>
                <w:szCs w:val="16"/>
                <w:lang w:eastAsia="hr-HR"/>
              </w:rPr>
              <w:t>VOD d.o.o.</w:t>
            </w:r>
            <w:r w:rsidRPr="00B54BE9">
              <w:rPr>
                <w:rFonts w:cs="Times New Roman" w:eastAsia="Times New Roman" w:hAnsi="Times New Roman" w:ascii="Times New Roman"/>
                <w:sz w:val="16"/>
                <w:szCs w:val="16"/>
                <w:lang w:eastAsia="hr-HR"/>
              </w:rPr>
              <w:t xml:space="preserve"> Zagreb, Vučanska 16</w:t>
            </w:r>
          </w:p>
        </w:tc>
        <w:tc>
          <w:tcPr>
            <w:tcW w:type="dxa" w:w="196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101.370,83</w:t>
            </w:r>
          </w:p>
        </w:tc>
        <w:tc>
          <w:tcPr>
            <w:tcW w:type="dxa" w:w="1220"/>
            <w:tcBorders>
              <w:top w:val="nil"/>
              <w:left w:val="nil"/>
              <w:bottom w:space="0" w:sz="4" w:color="auto" w:val="single"/>
              <w:right w:val="nil"/>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0,02946    </w:t>
            </w:r>
          </w:p>
        </w:tc>
        <w:tc>
          <w:tcPr>
            <w:tcW w:type="dxa" w:w="1420"/>
            <w:tcBorders>
              <w:top w:val="nil"/>
              <w:left w:space="0" w:sz="4" w:color="auto" w:val="single"/>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52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84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99.692,11    </w:t>
            </w:r>
          </w:p>
        </w:tc>
        <w:tc>
          <w:tcPr>
            <w:tcW w:type="dxa" w:w="1780"/>
            <w:tcBorders>
              <w:top w:val="nil"/>
              <w:left w:val="nil"/>
              <w:bottom w:space="0" w:sz="4" w:color="auto" w:val="single"/>
              <w:right w:space="0" w:sz="4" w:color="auto" w:val="single"/>
            </w:tcBorders>
            <w:shd w:fill="D8E4BC" w:color="000000" w:val="clear"/>
            <w:noWrap/>
            <w:vAlign w:val="center"/>
            <w:hideMark/>
          </w:tcPr>
          <w:p w:rsidRDefault="00B54BE9" w:rsidP="00B54BE9" w:rsidR="00B54BE9" w:rsidRPr="00B54BE9">
            <w:pPr>
              <w:spacing w:lineRule="auto" w:line="240" w:after="0"/>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 xml:space="preserve">                      795,55    </w:t>
            </w:r>
          </w:p>
        </w:tc>
        <w:tc>
          <w:tcPr>
            <w:tcW w:type="dxa" w:w="16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98.896,56    </w:t>
            </w:r>
          </w:p>
        </w:tc>
      </w:tr>
      <w:tr w:rsidTr="00B54BE9" w:rsidR="00B54BE9" w:rsidRPr="00B54BE9">
        <w:trPr>
          <w:trHeight w:val="1350"/>
        </w:trPr>
        <w:tc>
          <w:tcPr>
            <w:tcW w:type="dxa" w:w="480"/>
            <w:tcBorders>
              <w:top w:val="nil"/>
              <w:left w:space="0" w:sz="4" w:color="auto" w:val="single"/>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lastRenderedPageBreak/>
              <w:t>3</w:t>
            </w:r>
          </w:p>
        </w:tc>
        <w:tc>
          <w:tcPr>
            <w:tcW w:type="dxa" w:w="2980"/>
            <w:tcBorders>
              <w:top w:val="nil"/>
              <w:left w:val="nil"/>
              <w:bottom w:space="0" w:sz="4" w:color="auto" w:val="single"/>
              <w:right w:space="0" w:sz="4" w:color="auto" w:val="single"/>
            </w:tcBorders>
            <w:shd w:fill="auto" w:color="auto" w:val="clear"/>
            <w:vAlign w:val="center"/>
            <w:hideMark/>
          </w:tcPr>
          <w:p w:rsidRDefault="00B54BE9" w:rsidP="00B54BE9" w:rsidR="00B54BE9">
            <w:pPr>
              <w:spacing w:lineRule="auto" w:line="240" w:after="0"/>
              <w:jc w:val="center"/>
              <w:rPr>
                <w:rFonts w:cs="Times New Roman" w:eastAsia="Times New Roman" w:hAnsi="Times New Roman" w:ascii="Times New Roman"/>
                <w:b/>
                <w:sz w:val="16"/>
                <w:szCs w:val="16"/>
                <w:lang w:eastAsia="hr-HR"/>
              </w:rPr>
            </w:pPr>
            <w:r w:rsidRPr="00B54BE9">
              <w:rPr>
                <w:rFonts w:cs="Times New Roman" w:eastAsia="Times New Roman" w:hAnsi="Times New Roman" w:ascii="Times New Roman"/>
                <w:b/>
                <w:sz w:val="16"/>
                <w:szCs w:val="16"/>
                <w:lang w:eastAsia="hr-HR"/>
              </w:rPr>
              <w:t>FUEGO d.o.o.</w:t>
            </w:r>
          </w:p>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Savska opatovina 28, Zagreb (Ugovorom o prijen</w:t>
            </w:r>
            <w:r>
              <w:rPr>
                <w:rFonts w:cs="Times New Roman" w:eastAsia="Times New Roman" w:hAnsi="Times New Roman" w:ascii="Times New Roman"/>
                <w:sz w:val="16"/>
                <w:szCs w:val="16"/>
                <w:lang w:eastAsia="hr-HR"/>
              </w:rPr>
              <w:t>o</w:t>
            </w:r>
            <w:r w:rsidRPr="00B54BE9">
              <w:rPr>
                <w:rFonts w:cs="Times New Roman" w:eastAsia="Times New Roman" w:hAnsi="Times New Roman" w:ascii="Times New Roman"/>
                <w:sz w:val="16"/>
                <w:szCs w:val="16"/>
                <w:lang w:eastAsia="hr-HR"/>
              </w:rPr>
              <w:t xml:space="preserve">su potraživanja kupio tražbinu od BRANKO MAČEK Zagreb,)  </w:t>
            </w:r>
          </w:p>
        </w:tc>
        <w:tc>
          <w:tcPr>
            <w:tcW w:type="dxa" w:w="196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16.587.714,69</w:t>
            </w:r>
          </w:p>
        </w:tc>
        <w:tc>
          <w:tcPr>
            <w:tcW w:type="dxa" w:w="1220"/>
            <w:tcBorders>
              <w:top w:val="nil"/>
              <w:left w:val="nil"/>
              <w:bottom w:space="0" w:sz="4" w:color="auto" w:val="single"/>
              <w:right w:val="nil"/>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4,82147    </w:t>
            </w:r>
          </w:p>
        </w:tc>
        <w:tc>
          <w:tcPr>
            <w:tcW w:type="dxa" w:w="1420"/>
            <w:tcBorders>
              <w:top w:val="nil"/>
              <w:left w:space="0" w:sz="4" w:color="auto" w:val="single"/>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1.002.500,00    </w:t>
            </w:r>
          </w:p>
        </w:tc>
        <w:tc>
          <w:tcPr>
            <w:tcW w:type="dxa" w:w="152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84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15.310.519,27    </w:t>
            </w:r>
          </w:p>
        </w:tc>
        <w:tc>
          <w:tcPr>
            <w:tcW w:type="dxa" w:w="1780"/>
            <w:tcBorders>
              <w:top w:val="nil"/>
              <w:left w:val="nil"/>
              <w:bottom w:space="0" w:sz="4" w:color="auto" w:val="single"/>
              <w:right w:space="0" w:sz="4" w:color="auto" w:val="single"/>
            </w:tcBorders>
            <w:shd w:fill="D8E4BC" w:color="000000" w:val="clear"/>
            <w:noWrap/>
            <w:vAlign w:val="center"/>
            <w:hideMark/>
          </w:tcPr>
          <w:p w:rsidRDefault="00B54BE9" w:rsidP="00B54BE9" w:rsidR="00B54BE9" w:rsidRPr="00B54BE9">
            <w:pPr>
              <w:spacing w:lineRule="auto" w:line="240" w:after="0"/>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 xml:space="preserve">               130.179,71    </w:t>
            </w:r>
          </w:p>
        </w:tc>
        <w:tc>
          <w:tcPr>
            <w:tcW w:type="dxa" w:w="16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15.180.339,56    </w:t>
            </w:r>
          </w:p>
        </w:tc>
      </w:tr>
      <w:tr w:rsidTr="00B54BE9" w:rsidR="00B54BE9" w:rsidRPr="00B54BE9">
        <w:trPr>
          <w:trHeight w:val="615"/>
        </w:trPr>
        <w:tc>
          <w:tcPr>
            <w:tcW w:type="dxa" w:w="480"/>
            <w:tcBorders>
              <w:top w:val="nil"/>
              <w:left w:space="0" w:sz="4" w:color="auto" w:val="single"/>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4</w:t>
            </w:r>
          </w:p>
        </w:tc>
        <w:tc>
          <w:tcPr>
            <w:tcW w:type="dxa" w:w="298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b/>
                <w:sz w:val="16"/>
                <w:szCs w:val="16"/>
                <w:lang w:eastAsia="hr-HR"/>
              </w:rPr>
            </w:pPr>
            <w:r w:rsidRPr="00B54BE9">
              <w:rPr>
                <w:rFonts w:cs="Times New Roman" w:eastAsia="Times New Roman" w:hAnsi="Times New Roman" w:ascii="Times New Roman"/>
                <w:b/>
                <w:sz w:val="16"/>
                <w:szCs w:val="16"/>
                <w:lang w:eastAsia="hr-HR"/>
              </w:rPr>
              <w:t xml:space="preserve">FINANCIJSKA AGENCIJA, </w:t>
            </w:r>
          </w:p>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Zagreb, Vrtni put 3</w:t>
            </w:r>
          </w:p>
        </w:tc>
        <w:tc>
          <w:tcPr>
            <w:tcW w:type="dxa" w:w="196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8.159,94</w:t>
            </w:r>
          </w:p>
        </w:tc>
        <w:tc>
          <w:tcPr>
            <w:tcW w:type="dxa" w:w="1220"/>
            <w:tcBorders>
              <w:top w:val="nil"/>
              <w:left w:val="nil"/>
              <w:bottom w:space="0" w:sz="4" w:color="auto" w:val="single"/>
              <w:right w:val="nil"/>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0,00237    </w:t>
            </w:r>
          </w:p>
        </w:tc>
        <w:tc>
          <w:tcPr>
            <w:tcW w:type="dxa" w:w="1420"/>
            <w:tcBorders>
              <w:top w:val="nil"/>
              <w:left w:space="0" w:sz="4" w:color="auto" w:val="single"/>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52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84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8.024,81    </w:t>
            </w:r>
          </w:p>
        </w:tc>
        <w:tc>
          <w:tcPr>
            <w:tcW w:type="dxa" w:w="1780"/>
            <w:tcBorders>
              <w:top w:val="nil"/>
              <w:left w:val="nil"/>
              <w:bottom w:space="0" w:sz="4" w:color="auto" w:val="single"/>
              <w:right w:space="0" w:sz="4" w:color="auto" w:val="single"/>
            </w:tcBorders>
            <w:shd w:fill="D8E4BC" w:color="000000" w:val="clear"/>
            <w:noWrap/>
            <w:vAlign w:val="center"/>
            <w:hideMark/>
          </w:tcPr>
          <w:p w:rsidRDefault="00B54BE9" w:rsidP="00B54BE9" w:rsidR="00B54BE9" w:rsidRPr="00B54BE9">
            <w:pPr>
              <w:spacing w:lineRule="auto" w:line="240" w:after="0"/>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 xml:space="preserve">                        64,04    </w:t>
            </w:r>
          </w:p>
        </w:tc>
        <w:tc>
          <w:tcPr>
            <w:tcW w:type="dxa" w:w="16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7.960,77    </w:t>
            </w:r>
          </w:p>
        </w:tc>
      </w:tr>
      <w:tr w:rsidTr="00B54BE9" w:rsidR="00B54BE9" w:rsidRPr="00B54BE9">
        <w:trPr>
          <w:trHeight w:val="930"/>
        </w:trPr>
        <w:tc>
          <w:tcPr>
            <w:tcW w:type="dxa" w:w="480"/>
            <w:tcBorders>
              <w:top w:val="nil"/>
              <w:left w:space="0" w:sz="4" w:color="auto" w:val="single"/>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5</w:t>
            </w:r>
          </w:p>
        </w:tc>
        <w:tc>
          <w:tcPr>
            <w:tcW w:type="dxa" w:w="298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b/>
                <w:sz w:val="16"/>
                <w:szCs w:val="16"/>
                <w:lang w:eastAsia="hr-HR"/>
              </w:rPr>
            </w:pPr>
            <w:r w:rsidRPr="00B54BE9">
              <w:rPr>
                <w:rFonts w:cs="Times New Roman" w:eastAsia="Times New Roman" w:hAnsi="Times New Roman" w:ascii="Times New Roman"/>
                <w:b/>
                <w:sz w:val="16"/>
                <w:szCs w:val="16"/>
                <w:lang w:eastAsia="hr-HR"/>
              </w:rPr>
              <w:t xml:space="preserve">NIVA INŽENJERING d.d. </w:t>
            </w:r>
          </w:p>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Zagreb, Vlaška 83</w:t>
            </w:r>
          </w:p>
        </w:tc>
        <w:tc>
          <w:tcPr>
            <w:tcW w:type="dxa" w:w="196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1.049.752,10</w:t>
            </w:r>
          </w:p>
        </w:tc>
        <w:tc>
          <w:tcPr>
            <w:tcW w:type="dxa" w:w="1220"/>
            <w:tcBorders>
              <w:top w:val="nil"/>
              <w:left w:val="nil"/>
              <w:bottom w:space="0" w:sz="4" w:color="auto" w:val="single"/>
              <w:right w:val="nil"/>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0,30513    </w:t>
            </w:r>
          </w:p>
        </w:tc>
        <w:tc>
          <w:tcPr>
            <w:tcW w:type="dxa" w:w="1420"/>
            <w:tcBorders>
              <w:top w:val="nil"/>
              <w:left w:space="0" w:sz="4" w:color="auto" w:val="single"/>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52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84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1.032.368,02    </w:t>
            </w:r>
          </w:p>
        </w:tc>
        <w:tc>
          <w:tcPr>
            <w:tcW w:type="dxa" w:w="1780"/>
            <w:tcBorders>
              <w:top w:val="nil"/>
              <w:left w:val="nil"/>
              <w:bottom w:space="0" w:sz="4" w:color="auto" w:val="single"/>
              <w:right w:space="0" w:sz="4" w:color="auto" w:val="single"/>
            </w:tcBorders>
            <w:shd w:fill="D8E4BC" w:color="000000" w:val="clear"/>
            <w:noWrap/>
            <w:vAlign w:val="center"/>
            <w:hideMark/>
          </w:tcPr>
          <w:p w:rsidRDefault="00B54BE9" w:rsidP="00B54BE9" w:rsidR="00B54BE9" w:rsidRPr="00B54BE9">
            <w:pPr>
              <w:spacing w:lineRule="auto" w:line="240" w:after="0"/>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 xml:space="preserve">                   8.238,41    </w:t>
            </w:r>
          </w:p>
        </w:tc>
        <w:tc>
          <w:tcPr>
            <w:tcW w:type="dxa" w:w="16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1.024.129,61    </w:t>
            </w:r>
          </w:p>
        </w:tc>
      </w:tr>
      <w:tr w:rsidTr="00B54BE9" w:rsidR="00B54BE9" w:rsidRPr="00B54BE9">
        <w:trPr>
          <w:trHeight w:val="1185"/>
        </w:trPr>
        <w:tc>
          <w:tcPr>
            <w:tcW w:type="dxa" w:w="480"/>
            <w:tcBorders>
              <w:top w:val="nil"/>
              <w:left w:space="0" w:sz="4" w:color="auto" w:val="single"/>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7</w:t>
            </w:r>
          </w:p>
        </w:tc>
        <w:tc>
          <w:tcPr>
            <w:tcW w:type="dxa" w:w="2980"/>
            <w:tcBorders>
              <w:top w:val="nil"/>
              <w:left w:val="nil"/>
              <w:bottom w:space="0" w:sz="4" w:color="auto" w:val="single"/>
              <w:right w:space="0" w:sz="4" w:color="auto" w:val="single"/>
            </w:tcBorders>
            <w:shd w:fill="auto" w:color="auto" w:val="clear"/>
            <w:vAlign w:val="center"/>
            <w:hideMark/>
          </w:tcPr>
          <w:p w:rsidRDefault="00B54BE9" w:rsidP="00B54BE9" w:rsid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b/>
                <w:sz w:val="16"/>
                <w:szCs w:val="16"/>
                <w:lang w:eastAsia="hr-HR"/>
              </w:rPr>
              <w:t>SUVLASNICI STAMBENE ZGRADE Savska opatovina 28-34</w:t>
            </w:r>
            <w:r w:rsidRPr="00B54BE9">
              <w:rPr>
                <w:rFonts w:cs="Times New Roman" w:eastAsia="Times New Roman" w:hAnsi="Times New Roman" w:ascii="Times New Roman"/>
                <w:sz w:val="16"/>
                <w:szCs w:val="16"/>
                <w:lang w:eastAsia="hr-HR"/>
              </w:rPr>
              <w:t xml:space="preserve"> </w:t>
            </w:r>
          </w:p>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zastupani po" Stanbeni ZG"Zagreb, Savska opatovina 28-34</w:t>
            </w:r>
          </w:p>
        </w:tc>
        <w:tc>
          <w:tcPr>
            <w:tcW w:type="dxa" w:w="196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37.596,42</w:t>
            </w:r>
          </w:p>
        </w:tc>
        <w:tc>
          <w:tcPr>
            <w:tcW w:type="dxa" w:w="1220"/>
            <w:tcBorders>
              <w:top w:val="nil"/>
              <w:left w:val="nil"/>
              <w:bottom w:space="0" w:sz="4" w:color="auto" w:val="single"/>
              <w:right w:val="nil"/>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0,01093    </w:t>
            </w:r>
          </w:p>
        </w:tc>
        <w:tc>
          <w:tcPr>
            <w:tcW w:type="dxa" w:w="1420"/>
            <w:tcBorders>
              <w:top w:val="nil"/>
              <w:left w:space="0" w:sz="4" w:color="auto" w:val="single"/>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52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84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36.973,82    </w:t>
            </w:r>
          </w:p>
        </w:tc>
        <w:tc>
          <w:tcPr>
            <w:tcW w:type="dxa" w:w="1780"/>
            <w:tcBorders>
              <w:top w:val="nil"/>
              <w:left w:val="nil"/>
              <w:bottom w:space="0" w:sz="4" w:color="auto" w:val="single"/>
              <w:right w:space="0" w:sz="4" w:color="auto" w:val="single"/>
            </w:tcBorders>
            <w:shd w:fill="D8E4BC" w:color="000000" w:val="clear"/>
            <w:noWrap/>
            <w:vAlign w:val="center"/>
            <w:hideMark/>
          </w:tcPr>
          <w:p w:rsidRDefault="00B54BE9" w:rsidP="00B54BE9" w:rsidR="00B54BE9" w:rsidRPr="00B54BE9">
            <w:pPr>
              <w:spacing w:lineRule="auto" w:line="240" w:after="0"/>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 xml:space="preserve">                      295,06    </w:t>
            </w:r>
          </w:p>
        </w:tc>
        <w:tc>
          <w:tcPr>
            <w:tcW w:type="dxa" w:w="16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36.678,76    </w:t>
            </w:r>
          </w:p>
        </w:tc>
      </w:tr>
      <w:tr w:rsidTr="00B54BE9" w:rsidR="00B54BE9" w:rsidRPr="00B54BE9">
        <w:trPr>
          <w:trHeight w:val="885"/>
        </w:trPr>
        <w:tc>
          <w:tcPr>
            <w:tcW w:type="dxa" w:w="480"/>
            <w:tcBorders>
              <w:top w:val="nil"/>
              <w:left w:space="0" w:sz="4" w:color="auto" w:val="single"/>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8</w:t>
            </w:r>
          </w:p>
        </w:tc>
        <w:tc>
          <w:tcPr>
            <w:tcW w:type="dxa" w:w="298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b/>
                <w:sz w:val="16"/>
                <w:szCs w:val="16"/>
                <w:lang w:eastAsia="hr-HR"/>
              </w:rPr>
            </w:pPr>
            <w:r w:rsidRPr="00B54BE9">
              <w:rPr>
                <w:rFonts w:cs="Times New Roman" w:eastAsia="Times New Roman" w:hAnsi="Times New Roman" w:ascii="Times New Roman"/>
                <w:b/>
                <w:sz w:val="16"/>
                <w:szCs w:val="16"/>
                <w:lang w:eastAsia="hr-HR"/>
              </w:rPr>
              <w:t>HRVATSKI TELEKOM D.D.</w:t>
            </w:r>
          </w:p>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Zagreb, Roberta Frangeša Mihanovića 9</w:t>
            </w:r>
          </w:p>
        </w:tc>
        <w:tc>
          <w:tcPr>
            <w:tcW w:type="dxa" w:w="196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8.292,41</w:t>
            </w:r>
          </w:p>
        </w:tc>
        <w:tc>
          <w:tcPr>
            <w:tcW w:type="dxa" w:w="1220"/>
            <w:tcBorders>
              <w:top w:val="nil"/>
              <w:left w:val="nil"/>
              <w:bottom w:space="0" w:sz="4" w:color="auto" w:val="single"/>
              <w:right w:val="nil"/>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0,00241    </w:t>
            </w:r>
          </w:p>
        </w:tc>
        <w:tc>
          <w:tcPr>
            <w:tcW w:type="dxa" w:w="1420"/>
            <w:tcBorders>
              <w:top w:val="nil"/>
              <w:left w:space="0" w:sz="4" w:color="auto" w:val="single"/>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52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84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8.155,09    </w:t>
            </w:r>
          </w:p>
        </w:tc>
        <w:tc>
          <w:tcPr>
            <w:tcW w:type="dxa" w:w="1780"/>
            <w:tcBorders>
              <w:top w:val="nil"/>
              <w:left w:val="nil"/>
              <w:bottom w:space="0" w:sz="4" w:color="auto" w:val="single"/>
              <w:right w:space="0" w:sz="4" w:color="auto" w:val="single"/>
            </w:tcBorders>
            <w:shd w:fill="D8E4BC" w:color="000000" w:val="clear"/>
            <w:noWrap/>
            <w:vAlign w:val="center"/>
            <w:hideMark/>
          </w:tcPr>
          <w:p w:rsidRDefault="00B54BE9" w:rsidP="00B54BE9" w:rsidR="00B54BE9" w:rsidRPr="00B54BE9">
            <w:pPr>
              <w:spacing w:lineRule="auto" w:line="240" w:after="0"/>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 xml:space="preserve">                        65,08    </w:t>
            </w:r>
          </w:p>
        </w:tc>
        <w:tc>
          <w:tcPr>
            <w:tcW w:type="dxa" w:w="16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8.090,01    </w:t>
            </w:r>
          </w:p>
        </w:tc>
      </w:tr>
      <w:tr w:rsidTr="00B54BE9" w:rsidR="00B54BE9" w:rsidRPr="00B54BE9">
        <w:trPr>
          <w:trHeight w:val="750"/>
        </w:trPr>
        <w:tc>
          <w:tcPr>
            <w:tcW w:type="dxa" w:w="480"/>
            <w:tcBorders>
              <w:top w:val="nil"/>
              <w:left w:space="0" w:sz="4" w:color="auto" w:val="single"/>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9</w:t>
            </w:r>
          </w:p>
        </w:tc>
        <w:tc>
          <w:tcPr>
            <w:tcW w:type="dxa" w:w="298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b/>
                <w:sz w:val="16"/>
                <w:szCs w:val="16"/>
                <w:lang w:eastAsia="hr-HR"/>
              </w:rPr>
            </w:pPr>
            <w:r w:rsidRPr="00B54BE9">
              <w:rPr>
                <w:rFonts w:cs="Times New Roman" w:eastAsia="Times New Roman" w:hAnsi="Times New Roman" w:ascii="Times New Roman"/>
                <w:b/>
                <w:sz w:val="16"/>
                <w:szCs w:val="16"/>
                <w:lang w:eastAsia="hr-HR"/>
              </w:rPr>
              <w:t>GRAĐENJEINVEST d.o.o.</w:t>
            </w:r>
          </w:p>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Zagreb, Samoborska cesta 91</w:t>
            </w:r>
          </w:p>
        </w:tc>
        <w:tc>
          <w:tcPr>
            <w:tcW w:type="dxa" w:w="196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14.223.834,17</w:t>
            </w:r>
          </w:p>
        </w:tc>
        <w:tc>
          <w:tcPr>
            <w:tcW w:type="dxa" w:w="1220"/>
            <w:tcBorders>
              <w:top w:val="nil"/>
              <w:left w:val="nil"/>
              <w:bottom w:space="0" w:sz="4" w:color="auto" w:val="single"/>
              <w:right w:val="nil"/>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4,13437    </w:t>
            </w:r>
          </w:p>
        </w:tc>
        <w:tc>
          <w:tcPr>
            <w:tcW w:type="dxa" w:w="1420"/>
            <w:tcBorders>
              <w:top w:val="nil"/>
              <w:left w:space="0" w:sz="4" w:color="auto" w:val="single"/>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52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84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13.988.285,02    </w:t>
            </w:r>
          </w:p>
        </w:tc>
        <w:tc>
          <w:tcPr>
            <w:tcW w:type="dxa" w:w="1780"/>
            <w:tcBorders>
              <w:top w:val="nil"/>
              <w:left w:val="nil"/>
              <w:bottom w:space="0" w:sz="4" w:color="auto" w:val="single"/>
              <w:right w:space="0" w:sz="4" w:color="auto" w:val="single"/>
            </w:tcBorders>
            <w:shd w:fill="D8E4BC" w:color="000000" w:val="clear"/>
            <w:noWrap/>
            <w:vAlign w:val="center"/>
            <w:hideMark/>
          </w:tcPr>
          <w:p w:rsidRDefault="00B54BE9" w:rsidP="00B54BE9" w:rsidR="00B54BE9" w:rsidRPr="00B54BE9">
            <w:pPr>
              <w:spacing w:lineRule="auto" w:line="240" w:after="0"/>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 xml:space="preserve">               111.628,07    </w:t>
            </w:r>
          </w:p>
        </w:tc>
        <w:tc>
          <w:tcPr>
            <w:tcW w:type="dxa" w:w="16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13.876.656,95    </w:t>
            </w:r>
          </w:p>
        </w:tc>
      </w:tr>
      <w:tr w:rsidTr="00B54BE9" w:rsidR="00B54BE9" w:rsidRPr="00B54BE9">
        <w:trPr>
          <w:trHeight w:val="810"/>
        </w:trPr>
        <w:tc>
          <w:tcPr>
            <w:tcW w:type="dxa" w:w="480"/>
            <w:tcBorders>
              <w:top w:val="nil"/>
              <w:left w:space="0" w:sz="4" w:color="auto" w:val="single"/>
              <w:bottom w:val="nil"/>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10</w:t>
            </w:r>
          </w:p>
        </w:tc>
        <w:tc>
          <w:tcPr>
            <w:tcW w:type="dxa" w:w="2980"/>
            <w:tcBorders>
              <w:top w:val="nil"/>
              <w:left w:val="nil"/>
              <w:bottom w:val="nil"/>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b/>
                <w:sz w:val="16"/>
                <w:szCs w:val="16"/>
                <w:lang w:eastAsia="hr-HR"/>
              </w:rPr>
            </w:pPr>
            <w:r w:rsidRPr="00B54BE9">
              <w:rPr>
                <w:rFonts w:cs="Times New Roman" w:eastAsia="Times New Roman" w:hAnsi="Times New Roman" w:ascii="Times New Roman"/>
                <w:b/>
                <w:sz w:val="16"/>
                <w:szCs w:val="16"/>
                <w:lang w:eastAsia="hr-HR"/>
              </w:rPr>
              <w:t>Republika Hrvatska, Ministarstvo financija, Porezna uprava, Područni ured Zagreb</w:t>
            </w:r>
          </w:p>
        </w:tc>
        <w:tc>
          <w:tcPr>
            <w:tcW w:type="dxa" w:w="196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1.726.884,31</w:t>
            </w:r>
          </w:p>
        </w:tc>
        <w:tc>
          <w:tcPr>
            <w:tcW w:type="dxa" w:w="1220"/>
            <w:tcBorders>
              <w:top w:val="nil"/>
              <w:left w:val="nil"/>
              <w:bottom w:space="0" w:sz="4" w:color="auto" w:val="single"/>
              <w:right w:val="nil"/>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0,50195    </w:t>
            </w:r>
          </w:p>
        </w:tc>
        <w:tc>
          <w:tcPr>
            <w:tcW w:type="dxa" w:w="1420"/>
            <w:tcBorders>
              <w:top w:val="nil"/>
              <w:left w:space="0" w:sz="4" w:color="auto" w:val="single"/>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52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84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1.698.286,81    </w:t>
            </w:r>
          </w:p>
        </w:tc>
        <w:tc>
          <w:tcPr>
            <w:tcW w:type="dxa" w:w="1780"/>
            <w:tcBorders>
              <w:top w:val="nil"/>
              <w:left w:val="nil"/>
              <w:bottom w:space="0" w:sz="4" w:color="auto" w:val="single"/>
              <w:right w:space="0" w:sz="4" w:color="auto" w:val="single"/>
            </w:tcBorders>
            <w:shd w:fill="D8E4BC" w:color="000000" w:val="clear"/>
            <w:noWrap/>
            <w:vAlign w:val="center"/>
            <w:hideMark/>
          </w:tcPr>
          <w:p w:rsidRDefault="00B54BE9" w:rsidP="00B54BE9" w:rsidR="00B54BE9" w:rsidRPr="00B54BE9">
            <w:pPr>
              <w:spacing w:lineRule="auto" w:line="240" w:after="0"/>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 xml:space="preserve">                 13.552,52    </w:t>
            </w:r>
          </w:p>
        </w:tc>
        <w:tc>
          <w:tcPr>
            <w:tcW w:type="dxa" w:w="16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1.684.734,29    </w:t>
            </w:r>
          </w:p>
        </w:tc>
      </w:tr>
      <w:tr w:rsidTr="00B54BE9" w:rsidR="00B54BE9" w:rsidRPr="00B54BE9">
        <w:trPr>
          <w:trHeight w:val="1050"/>
        </w:trPr>
        <w:tc>
          <w:tcPr>
            <w:tcW w:type="dxa" w:w="480"/>
            <w:tcBorders>
              <w:top w:space="0" w:sz="4" w:color="auto" w:val="single"/>
              <w:left w:space="0" w:sz="4" w:color="auto" w:val="single"/>
              <w:bottom w:val="nil"/>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11</w:t>
            </w:r>
          </w:p>
        </w:tc>
        <w:tc>
          <w:tcPr>
            <w:tcW w:type="dxa" w:w="2980"/>
            <w:tcBorders>
              <w:top w:space="0" w:sz="4" w:color="auto" w:val="single"/>
              <w:left w:val="nil"/>
              <w:bottom w:val="nil"/>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b/>
                <w:sz w:val="16"/>
                <w:szCs w:val="16"/>
                <w:lang w:eastAsia="hr-HR"/>
              </w:rPr>
            </w:pPr>
            <w:r w:rsidRPr="00B54BE9">
              <w:rPr>
                <w:rFonts w:cs="Times New Roman" w:eastAsia="Times New Roman" w:hAnsi="Times New Roman" w:ascii="Times New Roman"/>
                <w:b/>
                <w:sz w:val="16"/>
                <w:szCs w:val="16"/>
                <w:lang w:eastAsia="hr-HR"/>
              </w:rPr>
              <w:t xml:space="preserve">AD FUZIJA d.o.o. </w:t>
            </w:r>
          </w:p>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Trzin,  Blatnica 10, Republika Slovenija</w:t>
            </w:r>
          </w:p>
        </w:tc>
        <w:tc>
          <w:tcPr>
            <w:tcW w:type="dxa" w:w="1960"/>
            <w:tcBorders>
              <w:top w:val="nil"/>
              <w:left w:val="nil"/>
              <w:bottom w:val="nil"/>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790.064,86</w:t>
            </w:r>
          </w:p>
        </w:tc>
        <w:tc>
          <w:tcPr>
            <w:tcW w:type="dxa" w:w="1220"/>
            <w:tcBorders>
              <w:top w:val="nil"/>
              <w:left w:val="nil"/>
              <w:bottom w:space="0" w:sz="4" w:color="auto" w:val="single"/>
              <w:right w:val="nil"/>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0,22964    </w:t>
            </w:r>
          </w:p>
        </w:tc>
        <w:tc>
          <w:tcPr>
            <w:tcW w:type="dxa" w:w="1420"/>
            <w:tcBorders>
              <w:top w:val="nil"/>
              <w:left w:space="0" w:sz="4" w:color="auto" w:val="single"/>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52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84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776.981,25    </w:t>
            </w:r>
          </w:p>
        </w:tc>
        <w:tc>
          <w:tcPr>
            <w:tcW w:type="dxa" w:w="1780"/>
            <w:tcBorders>
              <w:top w:val="nil"/>
              <w:left w:val="nil"/>
              <w:bottom w:space="0" w:sz="4" w:color="auto" w:val="single"/>
              <w:right w:space="0" w:sz="4" w:color="auto" w:val="single"/>
            </w:tcBorders>
            <w:shd w:fill="D8E4BC" w:color="000000" w:val="clear"/>
            <w:noWrap/>
            <w:vAlign w:val="center"/>
            <w:hideMark/>
          </w:tcPr>
          <w:p w:rsidRDefault="00B54BE9" w:rsidP="00B54BE9" w:rsidR="00B54BE9" w:rsidRPr="00B54BE9">
            <w:pPr>
              <w:spacing w:lineRule="auto" w:line="240" w:after="0"/>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 xml:space="preserve">                   6.200,40    </w:t>
            </w:r>
          </w:p>
        </w:tc>
        <w:tc>
          <w:tcPr>
            <w:tcW w:type="dxa" w:w="16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770.780,85    </w:t>
            </w:r>
          </w:p>
        </w:tc>
      </w:tr>
      <w:tr w:rsidTr="00B54BE9" w:rsidR="00B54BE9" w:rsidRPr="00B54BE9">
        <w:trPr>
          <w:trHeight w:val="1050"/>
        </w:trPr>
        <w:tc>
          <w:tcPr>
            <w:tcW w:type="dxa" w:w="480"/>
            <w:tcBorders>
              <w:top w:space="0" w:sz="4" w:color="auto" w:val="single"/>
              <w:left w:space="0" w:sz="4" w:color="auto" w:val="single"/>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1    </w:t>
            </w:r>
          </w:p>
        </w:tc>
        <w:tc>
          <w:tcPr>
            <w:tcW w:type="dxa" w:w="2980"/>
            <w:tcBorders>
              <w:top w:space="0" w:sz="4" w:color="auto" w:val="single"/>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b/>
                <w:sz w:val="16"/>
                <w:szCs w:val="16"/>
                <w:lang w:eastAsia="hr-HR"/>
              </w:rPr>
              <w:t xml:space="preserve"> HRVATSKE VODE,</w:t>
            </w:r>
            <w:r w:rsidRPr="00B54BE9">
              <w:rPr>
                <w:rFonts w:cs="Times New Roman" w:eastAsia="Times New Roman" w:hAnsi="Times New Roman" w:ascii="Times New Roman"/>
                <w:sz w:val="16"/>
                <w:szCs w:val="16"/>
                <w:lang w:eastAsia="hr-HR"/>
              </w:rPr>
              <w:t xml:space="preserve"> VODNOGOSPODARSKI ODJEL ZA GORNJU SAVU, Zagreb, Ul. grada Vukovara 271/VIII </w:t>
            </w:r>
          </w:p>
        </w:tc>
        <w:tc>
          <w:tcPr>
            <w:tcW w:type="dxa" w:w="1960"/>
            <w:tcBorders>
              <w:top w:space="0" w:sz="4" w:color="auto" w:val="single"/>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41.718,88</w:t>
            </w:r>
          </w:p>
        </w:tc>
        <w:tc>
          <w:tcPr>
            <w:tcW w:type="dxa" w:w="1220"/>
            <w:tcBorders>
              <w:top w:val="nil"/>
              <w:left w:val="nil"/>
              <w:bottom w:space="0" w:sz="4" w:color="auto" w:val="single"/>
              <w:right w:val="nil"/>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0,01213    </w:t>
            </w:r>
          </w:p>
        </w:tc>
        <w:tc>
          <w:tcPr>
            <w:tcW w:type="dxa" w:w="1420"/>
            <w:tcBorders>
              <w:top w:val="nil"/>
              <w:left w:space="0" w:sz="4" w:color="auto" w:val="single"/>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52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84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41.028,01    </w:t>
            </w:r>
          </w:p>
        </w:tc>
        <w:tc>
          <w:tcPr>
            <w:tcW w:type="dxa" w:w="1780"/>
            <w:tcBorders>
              <w:top w:val="nil"/>
              <w:left w:val="nil"/>
              <w:bottom w:space="0" w:sz="4" w:color="auto" w:val="single"/>
              <w:right w:space="0" w:sz="4" w:color="auto" w:val="single"/>
            </w:tcBorders>
            <w:shd w:fill="D8E4BC" w:color="000000" w:val="clear"/>
            <w:noWrap/>
            <w:vAlign w:val="center"/>
            <w:hideMark/>
          </w:tcPr>
          <w:p w:rsidRDefault="00B54BE9" w:rsidP="00B54BE9" w:rsidR="00B54BE9" w:rsidRPr="00B54BE9">
            <w:pPr>
              <w:spacing w:lineRule="auto" w:line="240" w:after="0"/>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 xml:space="preserve">                      327,41    </w:t>
            </w:r>
          </w:p>
        </w:tc>
        <w:tc>
          <w:tcPr>
            <w:tcW w:type="dxa" w:w="16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40.700,60    </w:t>
            </w:r>
          </w:p>
        </w:tc>
      </w:tr>
      <w:tr w:rsidTr="00B54BE9" w:rsidR="00B54BE9" w:rsidRPr="00B54BE9">
        <w:trPr>
          <w:trHeight w:val="1605"/>
        </w:trPr>
        <w:tc>
          <w:tcPr>
            <w:tcW w:type="dxa" w:w="480"/>
            <w:tcBorders>
              <w:top w:val="nil"/>
              <w:left w:space="0" w:sz="4" w:color="auto" w:val="single"/>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lastRenderedPageBreak/>
              <w:t xml:space="preserve">   2    </w:t>
            </w:r>
          </w:p>
        </w:tc>
        <w:tc>
          <w:tcPr>
            <w:tcW w:type="dxa" w:w="298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b/>
                <w:sz w:val="16"/>
                <w:szCs w:val="16"/>
                <w:lang w:eastAsia="hr-HR"/>
              </w:rPr>
              <w:t xml:space="preserve"> HETA ASSET RESOLUTION AG</w:t>
            </w:r>
            <w:r w:rsidRPr="00B54BE9">
              <w:rPr>
                <w:rFonts w:cs="Times New Roman" w:eastAsia="Times New Roman" w:hAnsi="Times New Roman" w:ascii="Times New Roman"/>
                <w:sz w:val="16"/>
                <w:szCs w:val="16"/>
                <w:lang w:eastAsia="hr-HR"/>
              </w:rPr>
              <w:t xml:space="preserve"> (ranije HYPO ALPE-ADRIA-BANK INTERNATIONAL AG), Klagenfurt am Worthersee, Alpen-Adria-Platz 1, Republika Austrija       </w:t>
            </w:r>
          </w:p>
        </w:tc>
        <w:tc>
          <w:tcPr>
            <w:tcW w:type="dxa" w:w="19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308.413.887,19</w:t>
            </w:r>
          </w:p>
        </w:tc>
        <w:tc>
          <w:tcPr>
            <w:tcW w:type="dxa" w:w="1220"/>
            <w:tcBorders>
              <w:top w:val="nil"/>
              <w:left w:val="nil"/>
              <w:bottom w:space="0" w:sz="4" w:color="auto" w:val="single"/>
              <w:right w:val="nil"/>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89,64517    </w:t>
            </w:r>
          </w:p>
        </w:tc>
        <w:tc>
          <w:tcPr>
            <w:tcW w:type="dxa" w:w="1420"/>
            <w:tcBorders>
              <w:top w:val="nil"/>
              <w:left w:space="0" w:sz="4" w:color="auto" w:val="single"/>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52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37.786.294,88    </w:t>
            </w:r>
          </w:p>
        </w:tc>
        <w:tc>
          <w:tcPr>
            <w:tcW w:type="dxa" w:w="184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265.509.991,17    </w:t>
            </w:r>
          </w:p>
        </w:tc>
        <w:tc>
          <w:tcPr>
            <w:tcW w:type="dxa" w:w="1780"/>
            <w:tcBorders>
              <w:top w:val="nil"/>
              <w:left w:val="nil"/>
              <w:bottom w:space="0" w:sz="4" w:color="auto" w:val="single"/>
              <w:right w:space="0" w:sz="4" w:color="auto" w:val="single"/>
            </w:tcBorders>
            <w:shd w:fill="D8E4BC" w:color="000000" w:val="clear"/>
            <w:noWrap/>
            <w:vAlign w:val="center"/>
            <w:hideMark/>
          </w:tcPr>
          <w:p w:rsidRDefault="00B54BE9" w:rsidP="00B54BE9" w:rsidR="00B54BE9" w:rsidRPr="00B54BE9">
            <w:pPr>
              <w:spacing w:lineRule="auto" w:line="240" w:after="0"/>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 xml:space="preserve">            2.420.419,59    </w:t>
            </w:r>
          </w:p>
        </w:tc>
        <w:tc>
          <w:tcPr>
            <w:tcW w:type="dxa" w:w="16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263.089.571,58    </w:t>
            </w:r>
          </w:p>
        </w:tc>
      </w:tr>
      <w:tr w:rsidTr="00B54BE9" w:rsidR="00B54BE9" w:rsidRPr="00B54BE9">
        <w:trPr>
          <w:trHeight w:val="720"/>
        </w:trPr>
        <w:tc>
          <w:tcPr>
            <w:tcW w:type="dxa" w:w="480"/>
            <w:tcBorders>
              <w:top w:val="nil"/>
              <w:left w:space="0" w:sz="4" w:color="auto" w:val="single"/>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3    </w:t>
            </w:r>
          </w:p>
        </w:tc>
        <w:tc>
          <w:tcPr>
            <w:tcW w:type="dxa" w:w="298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b/>
                <w:sz w:val="16"/>
                <w:szCs w:val="16"/>
                <w:lang w:eastAsia="hr-HR"/>
              </w:rPr>
            </w:pPr>
            <w:r w:rsidRPr="00B54BE9">
              <w:rPr>
                <w:rFonts w:cs="Times New Roman" w:eastAsia="Times New Roman" w:hAnsi="Times New Roman" w:ascii="Times New Roman"/>
                <w:b/>
                <w:sz w:val="16"/>
                <w:szCs w:val="16"/>
                <w:lang w:eastAsia="hr-HR"/>
              </w:rPr>
              <w:t xml:space="preserve"> GRAD ZAGREB</w:t>
            </w:r>
          </w:p>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Zagreb, Trg Stjepana Radića 1 </w:t>
            </w:r>
          </w:p>
        </w:tc>
        <w:tc>
          <w:tcPr>
            <w:tcW w:type="dxa" w:w="19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158.529,76</w:t>
            </w:r>
          </w:p>
        </w:tc>
        <w:tc>
          <w:tcPr>
            <w:tcW w:type="dxa" w:w="1220"/>
            <w:tcBorders>
              <w:top w:val="nil"/>
              <w:left w:val="nil"/>
              <w:bottom w:space="0" w:sz="4" w:color="auto" w:val="single"/>
              <w:right w:val="nil"/>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0,04608    </w:t>
            </w:r>
          </w:p>
        </w:tc>
        <w:tc>
          <w:tcPr>
            <w:tcW w:type="dxa" w:w="1420"/>
            <w:tcBorders>
              <w:top w:val="nil"/>
              <w:left w:space="0" w:sz="4" w:color="auto" w:val="single"/>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52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84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155.904,48    </w:t>
            </w:r>
          </w:p>
        </w:tc>
        <w:tc>
          <w:tcPr>
            <w:tcW w:type="dxa" w:w="1780"/>
            <w:tcBorders>
              <w:top w:val="nil"/>
              <w:left w:val="nil"/>
              <w:bottom w:space="0" w:sz="4" w:color="auto" w:val="single"/>
              <w:right w:space="0" w:sz="4" w:color="auto" w:val="single"/>
            </w:tcBorders>
            <w:shd w:fill="D8E4BC" w:color="000000" w:val="clear"/>
            <w:noWrap/>
            <w:vAlign w:val="center"/>
            <w:hideMark/>
          </w:tcPr>
          <w:p w:rsidRDefault="00B54BE9" w:rsidP="00B54BE9" w:rsidR="00B54BE9" w:rsidRPr="00B54BE9">
            <w:pPr>
              <w:spacing w:lineRule="auto" w:line="240" w:after="0"/>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 xml:space="preserve">                   1.244,14    </w:t>
            </w:r>
          </w:p>
        </w:tc>
        <w:tc>
          <w:tcPr>
            <w:tcW w:type="dxa" w:w="16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154.660,34    </w:t>
            </w:r>
          </w:p>
        </w:tc>
      </w:tr>
      <w:tr w:rsidTr="00B54BE9" w:rsidR="00B54BE9" w:rsidRPr="00B54BE9">
        <w:trPr>
          <w:trHeight w:val="735"/>
        </w:trPr>
        <w:tc>
          <w:tcPr>
            <w:tcW w:type="dxa" w:w="480"/>
            <w:tcBorders>
              <w:top w:val="nil"/>
              <w:left w:space="0" w:sz="4" w:color="auto" w:val="single"/>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4    </w:t>
            </w:r>
          </w:p>
        </w:tc>
        <w:tc>
          <w:tcPr>
            <w:tcW w:type="dxa" w:w="298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b/>
                <w:sz w:val="16"/>
                <w:szCs w:val="16"/>
                <w:lang w:eastAsia="hr-HR"/>
              </w:rPr>
              <w:t xml:space="preserve"> VODOOPSKRBA I ODVODNJA d.o.o</w:t>
            </w:r>
            <w:r w:rsidRPr="00B54BE9">
              <w:rPr>
                <w:rFonts w:cs="Times New Roman" w:eastAsia="Times New Roman" w:hAnsi="Times New Roman" w:ascii="Times New Roman"/>
                <w:sz w:val="16"/>
                <w:szCs w:val="16"/>
                <w:lang w:eastAsia="hr-HR"/>
              </w:rPr>
              <w:t xml:space="preserve">. Zagreb, Folnegovićeva 1 </w:t>
            </w:r>
          </w:p>
        </w:tc>
        <w:tc>
          <w:tcPr>
            <w:tcW w:type="dxa" w:w="19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89.354,96</w:t>
            </w:r>
          </w:p>
        </w:tc>
        <w:tc>
          <w:tcPr>
            <w:tcW w:type="dxa" w:w="1220"/>
            <w:tcBorders>
              <w:top w:val="nil"/>
              <w:left w:val="nil"/>
              <w:bottom w:space="0" w:sz="4" w:color="auto" w:val="single"/>
              <w:right w:val="nil"/>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0,02597    </w:t>
            </w:r>
          </w:p>
        </w:tc>
        <w:tc>
          <w:tcPr>
            <w:tcW w:type="dxa" w:w="1420"/>
            <w:tcBorders>
              <w:top w:val="nil"/>
              <w:left w:space="0" w:sz="4" w:color="auto" w:val="single"/>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52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84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87.875,23    </w:t>
            </w:r>
          </w:p>
        </w:tc>
        <w:tc>
          <w:tcPr>
            <w:tcW w:type="dxa" w:w="1780"/>
            <w:tcBorders>
              <w:top w:val="nil"/>
              <w:left w:val="nil"/>
              <w:bottom w:space="0" w:sz="4" w:color="auto" w:val="single"/>
              <w:right w:space="0" w:sz="4" w:color="auto" w:val="single"/>
            </w:tcBorders>
            <w:shd w:fill="D8E4BC" w:color="000000" w:val="clear"/>
            <w:noWrap/>
            <w:vAlign w:val="center"/>
            <w:hideMark/>
          </w:tcPr>
          <w:p w:rsidRDefault="00B54BE9" w:rsidP="00B54BE9" w:rsidR="00B54BE9" w:rsidRPr="00B54BE9">
            <w:pPr>
              <w:spacing w:lineRule="auto" w:line="240" w:after="0"/>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 xml:space="preserve">                      701,25    </w:t>
            </w:r>
          </w:p>
        </w:tc>
        <w:tc>
          <w:tcPr>
            <w:tcW w:type="dxa" w:w="16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87.173,97    </w:t>
            </w:r>
          </w:p>
        </w:tc>
      </w:tr>
      <w:tr w:rsidTr="00B54BE9" w:rsidR="00B54BE9" w:rsidRPr="00B54BE9">
        <w:trPr>
          <w:trHeight w:val="765"/>
        </w:trPr>
        <w:tc>
          <w:tcPr>
            <w:tcW w:type="dxa" w:w="480"/>
            <w:tcBorders>
              <w:top w:val="nil"/>
              <w:left w:space="0" w:sz="4" w:color="auto" w:val="single"/>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5    </w:t>
            </w:r>
          </w:p>
        </w:tc>
        <w:tc>
          <w:tcPr>
            <w:tcW w:type="dxa" w:w="298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b/>
                <w:sz w:val="16"/>
                <w:szCs w:val="16"/>
                <w:lang w:eastAsia="hr-HR"/>
              </w:rPr>
            </w:pPr>
            <w:r w:rsidRPr="00B54BE9">
              <w:rPr>
                <w:rFonts w:cs="Times New Roman" w:eastAsia="Times New Roman" w:hAnsi="Times New Roman" w:ascii="Times New Roman"/>
                <w:sz w:val="16"/>
                <w:szCs w:val="16"/>
                <w:lang w:eastAsia="hr-HR"/>
              </w:rPr>
              <w:t xml:space="preserve"> </w:t>
            </w:r>
            <w:r w:rsidRPr="00B54BE9">
              <w:rPr>
                <w:rFonts w:cs="Times New Roman" w:eastAsia="Times New Roman" w:hAnsi="Times New Roman" w:ascii="Times New Roman"/>
                <w:b/>
                <w:sz w:val="16"/>
                <w:szCs w:val="16"/>
                <w:lang w:eastAsia="hr-HR"/>
              </w:rPr>
              <w:t>SEMPER DEA d.o.o.</w:t>
            </w:r>
          </w:p>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Zagreb, Pavlenski put 5 </w:t>
            </w:r>
          </w:p>
        </w:tc>
        <w:tc>
          <w:tcPr>
            <w:tcW w:type="dxa" w:w="19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5.314,14</w:t>
            </w:r>
          </w:p>
        </w:tc>
        <w:tc>
          <w:tcPr>
            <w:tcW w:type="dxa" w:w="1220"/>
            <w:tcBorders>
              <w:top w:val="nil"/>
              <w:left w:val="nil"/>
              <w:bottom w:space="0" w:sz="4" w:color="auto" w:val="single"/>
              <w:right w:val="nil"/>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0,00154    </w:t>
            </w:r>
          </w:p>
        </w:tc>
        <w:tc>
          <w:tcPr>
            <w:tcW w:type="dxa" w:w="1420"/>
            <w:tcBorders>
              <w:top w:val="nil"/>
              <w:left w:space="0" w:sz="4" w:color="auto" w:val="single"/>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52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84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5.226,14    </w:t>
            </w:r>
          </w:p>
        </w:tc>
        <w:tc>
          <w:tcPr>
            <w:tcW w:type="dxa" w:w="1780"/>
            <w:tcBorders>
              <w:top w:val="nil"/>
              <w:left w:val="nil"/>
              <w:bottom w:space="0" w:sz="4" w:color="auto" w:val="single"/>
              <w:right w:space="0" w:sz="4" w:color="auto" w:val="single"/>
            </w:tcBorders>
            <w:shd w:fill="D8E4BC" w:color="000000" w:val="clear"/>
            <w:noWrap/>
            <w:vAlign w:val="center"/>
            <w:hideMark/>
          </w:tcPr>
          <w:p w:rsidRDefault="00B54BE9" w:rsidP="00B54BE9" w:rsidR="00B54BE9" w:rsidRPr="00B54BE9">
            <w:pPr>
              <w:spacing w:lineRule="auto" w:line="240" w:after="0"/>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 xml:space="preserve">                        41,71    </w:t>
            </w:r>
          </w:p>
        </w:tc>
        <w:tc>
          <w:tcPr>
            <w:tcW w:type="dxa" w:w="16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5.184,43    </w:t>
            </w:r>
          </w:p>
        </w:tc>
      </w:tr>
      <w:tr w:rsidTr="00B54BE9" w:rsidR="00B54BE9" w:rsidRPr="00B54BE9">
        <w:trPr>
          <w:trHeight w:val="795"/>
        </w:trPr>
        <w:tc>
          <w:tcPr>
            <w:tcW w:type="dxa" w:w="480"/>
            <w:tcBorders>
              <w:top w:val="nil"/>
              <w:left w:space="0" w:sz="4" w:color="auto" w:val="single"/>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6    </w:t>
            </w:r>
          </w:p>
        </w:tc>
        <w:tc>
          <w:tcPr>
            <w:tcW w:type="dxa" w:w="2980"/>
            <w:tcBorders>
              <w:top w:val="nil"/>
              <w:left w:val="nil"/>
              <w:bottom w:space="0" w:sz="4" w:color="auto" w:val="single"/>
              <w:right w:space="0" w:sz="4" w:color="auto" w:val="single"/>
            </w:tcBorders>
            <w:shd w:fill="auto" w:color="auto" w:val="clear"/>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w:t>
            </w:r>
            <w:r w:rsidRPr="00B54BE9">
              <w:rPr>
                <w:rFonts w:cs="Times New Roman" w:eastAsia="Times New Roman" w:hAnsi="Times New Roman" w:ascii="Times New Roman"/>
                <w:b/>
                <w:sz w:val="16"/>
                <w:szCs w:val="16"/>
                <w:lang w:eastAsia="hr-HR"/>
              </w:rPr>
              <w:t>ZAGREBAČKI HOLDING d.o.o.</w:t>
            </w:r>
            <w:r w:rsidRPr="00B54BE9">
              <w:rPr>
                <w:rFonts w:cs="Times New Roman" w:eastAsia="Times New Roman" w:hAnsi="Times New Roman" w:ascii="Times New Roman"/>
                <w:sz w:val="16"/>
                <w:szCs w:val="16"/>
                <w:lang w:eastAsia="hr-HR"/>
              </w:rPr>
              <w:t xml:space="preserve"> Podružnica Čistoća, Radnička c. 82, Zagreb </w:t>
            </w:r>
          </w:p>
        </w:tc>
        <w:tc>
          <w:tcPr>
            <w:tcW w:type="dxa" w:w="19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148,45</w:t>
            </w:r>
          </w:p>
        </w:tc>
        <w:tc>
          <w:tcPr>
            <w:tcW w:type="dxa" w:w="1220"/>
            <w:tcBorders>
              <w:top w:val="nil"/>
              <w:left w:val="nil"/>
              <w:bottom w:space="0" w:sz="4" w:color="auto" w:val="single"/>
              <w:right w:val="nil"/>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0,00004    </w:t>
            </w:r>
          </w:p>
        </w:tc>
        <w:tc>
          <w:tcPr>
            <w:tcW w:type="dxa" w:w="1420"/>
            <w:tcBorders>
              <w:top w:val="nil"/>
              <w:left w:space="0" w:sz="4" w:color="auto" w:val="single"/>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52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w:t>
            </w:r>
          </w:p>
        </w:tc>
        <w:tc>
          <w:tcPr>
            <w:tcW w:type="dxa" w:w="184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145,99    </w:t>
            </w:r>
          </w:p>
        </w:tc>
        <w:tc>
          <w:tcPr>
            <w:tcW w:type="dxa" w:w="1780"/>
            <w:tcBorders>
              <w:top w:val="nil"/>
              <w:left w:val="nil"/>
              <w:bottom w:space="0" w:sz="4" w:color="auto" w:val="single"/>
              <w:right w:space="0" w:sz="4" w:color="auto" w:val="single"/>
            </w:tcBorders>
            <w:shd w:fill="D8E4BC" w:color="000000" w:val="clear"/>
            <w:noWrap/>
            <w:vAlign w:val="center"/>
            <w:hideMark/>
          </w:tcPr>
          <w:p w:rsidRDefault="00B54BE9" w:rsidP="00B54BE9" w:rsidR="00B54BE9" w:rsidRPr="00B54BE9">
            <w:pPr>
              <w:spacing w:lineRule="auto" w:line="240" w:after="0"/>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 xml:space="preserve">                          1,17    </w:t>
            </w:r>
          </w:p>
        </w:tc>
        <w:tc>
          <w:tcPr>
            <w:tcW w:type="dxa" w:w="16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144,83    </w:t>
            </w:r>
          </w:p>
        </w:tc>
      </w:tr>
      <w:tr w:rsidTr="00B54BE9" w:rsidR="00B54BE9" w:rsidRPr="00B54BE9">
        <w:trPr>
          <w:trHeight w:val="360"/>
        </w:trPr>
        <w:tc>
          <w:tcPr>
            <w:tcW w:type="dxa" w:w="480"/>
            <w:tcBorders>
              <w:top w:val="nil"/>
              <w:left w:val="nil"/>
              <w:bottom w:val="nil"/>
              <w:right w:val="nil"/>
            </w:tcBorders>
            <w:shd w:fill="auto" w:color="auto" w:val="clear"/>
            <w:noWrap/>
            <w:vAlign w:val="bottom"/>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p>
        </w:tc>
        <w:tc>
          <w:tcPr>
            <w:tcW w:type="dxa" w:w="2980"/>
            <w:tcBorders>
              <w:top w:val="nil"/>
              <w:left w:val="nil"/>
              <w:bottom w:val="nil"/>
              <w:right w:val="nil"/>
            </w:tcBorders>
            <w:shd w:fill="auto" w:color="auto" w:val="clear"/>
            <w:vAlign w:val="bottom"/>
            <w:hideMark/>
          </w:tcPr>
          <w:p w:rsidRDefault="00B54BE9" w:rsidP="00B54BE9" w:rsidR="00B54BE9" w:rsidRPr="00B54BE9">
            <w:pPr>
              <w:spacing w:lineRule="auto" w:line="240" w:after="0"/>
              <w:rPr>
                <w:rFonts w:cs="Times New Roman" w:eastAsia="Times New Roman" w:hAnsi="Times New Roman" w:ascii="Times New Roman"/>
                <w:sz w:val="20"/>
                <w:szCs w:val="20"/>
                <w:lang w:eastAsia="hr-HR"/>
              </w:rPr>
            </w:pPr>
          </w:p>
        </w:tc>
        <w:tc>
          <w:tcPr>
            <w:tcW w:type="dxa" w:w="1960"/>
            <w:tcBorders>
              <w:top w:val="nil"/>
              <w:left w:space="0" w:sz="4" w:color="auto" w:val="single"/>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344.038.487,97</w:t>
            </w:r>
          </w:p>
        </w:tc>
        <w:tc>
          <w:tcPr>
            <w:tcW w:type="dxa" w:w="122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100,00 </w:t>
            </w:r>
          </w:p>
        </w:tc>
        <w:tc>
          <w:tcPr>
            <w:tcW w:type="dxa" w:w="142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1.002.500,00</w:t>
            </w:r>
          </w:p>
        </w:tc>
        <w:tc>
          <w:tcPr>
            <w:tcW w:type="dxa" w:w="152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37.786.294,88</w:t>
            </w:r>
          </w:p>
        </w:tc>
        <w:tc>
          <w:tcPr>
            <w:tcW w:type="dxa" w:w="184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299.542.142,40    </w:t>
            </w:r>
          </w:p>
        </w:tc>
        <w:tc>
          <w:tcPr>
            <w:tcW w:type="dxa" w:w="1780"/>
            <w:tcBorders>
              <w:top w:val="nil"/>
              <w:left w:val="nil"/>
              <w:bottom w:space="0" w:sz="4" w:color="auto" w:val="single"/>
              <w:right w:space="0" w:sz="4" w:color="auto" w:val="single"/>
            </w:tcBorders>
            <w:shd w:fill="D8E4BC" w:color="000000" w:val="clear"/>
            <w:noWrap/>
            <w:vAlign w:val="center"/>
            <w:hideMark/>
          </w:tcPr>
          <w:p w:rsidRDefault="00B54BE9" w:rsidP="00B54BE9" w:rsidR="00B54BE9" w:rsidRPr="00B54BE9">
            <w:pPr>
              <w:spacing w:lineRule="auto" w:line="240" w:after="0"/>
              <w:rPr>
                <w:rFonts w:cs="Times New Roman" w:eastAsia="Times New Roman" w:hAnsi="Times New Roman" w:ascii="Times New Roman"/>
                <w:b/>
                <w:bCs/>
                <w:sz w:val="16"/>
                <w:szCs w:val="16"/>
                <w:lang w:eastAsia="hr-HR"/>
              </w:rPr>
            </w:pPr>
            <w:r w:rsidRPr="00B54BE9">
              <w:rPr>
                <w:rFonts w:cs="Times New Roman" w:eastAsia="Times New Roman" w:hAnsi="Times New Roman" w:ascii="Times New Roman"/>
                <w:b/>
                <w:bCs/>
                <w:sz w:val="16"/>
                <w:szCs w:val="16"/>
                <w:lang w:eastAsia="hr-HR"/>
              </w:rPr>
              <w:t xml:space="preserve">            2.700.000,00    </w:t>
            </w:r>
          </w:p>
        </w:tc>
        <w:tc>
          <w:tcPr>
            <w:tcW w:type="dxa" w:w="1660"/>
            <w:tcBorders>
              <w:top w:val="nil"/>
              <w:left w:val="nil"/>
              <w:bottom w:space="0" w:sz="4" w:color="auto" w:val="single"/>
              <w:right w:space="0" w:sz="4" w:color="auto" w:val="single"/>
            </w:tcBorders>
            <w:shd w:fill="auto" w:color="auto" w:val="clear"/>
            <w:noWrap/>
            <w:vAlign w:val="center"/>
            <w:hideMark/>
          </w:tcPr>
          <w:p w:rsidRDefault="00B54BE9" w:rsidP="00B54BE9" w:rsidR="00B54BE9" w:rsidRPr="00B54BE9">
            <w:pPr>
              <w:spacing w:lineRule="auto" w:line="240" w:after="0"/>
              <w:jc w:val="center"/>
              <w:rPr>
                <w:rFonts w:cs="Times New Roman" w:eastAsia="Times New Roman" w:hAnsi="Times New Roman" w:ascii="Times New Roman"/>
                <w:sz w:val="16"/>
                <w:szCs w:val="16"/>
                <w:lang w:eastAsia="hr-HR"/>
              </w:rPr>
            </w:pPr>
            <w:r w:rsidRPr="00B54BE9">
              <w:rPr>
                <w:rFonts w:cs="Times New Roman" w:eastAsia="Times New Roman" w:hAnsi="Times New Roman" w:ascii="Times New Roman"/>
                <w:sz w:val="16"/>
                <w:szCs w:val="16"/>
                <w:lang w:eastAsia="hr-HR"/>
              </w:rPr>
              <w:t xml:space="preserve">      296.842.142,40    </w:t>
            </w:r>
          </w:p>
        </w:tc>
      </w:tr>
    </w:tbl>
    <w:p w:rsidRDefault="00B54BE9" w:rsidR="00B54BE9"/>
    <w:p w:rsidRDefault="00F904CA" w:rsidP="00F904CA" w:rsidR="00F904CA" w:rsidRPr="00F904CA">
      <w:pPr>
        <w:rPr>
          <w:rFonts w:cs="Times New Roman" w:hAnsi="Times New Roman" w:ascii="Times New Roman"/>
          <w:sz w:val="24"/>
          <w:szCs w:val="24"/>
        </w:rPr>
      </w:pPr>
      <w:r w:rsidRPr="00F904CA">
        <w:rPr>
          <w:rFonts w:cs="Times New Roman" w:hAnsi="Times New Roman" w:ascii="Times New Roman"/>
          <w:sz w:val="24"/>
          <w:szCs w:val="24"/>
        </w:rPr>
        <w:t xml:space="preserve">Pouka o pravnom lijeku: </w:t>
      </w:r>
    </w:p>
    <w:p w:rsidRDefault="00F904CA" w:rsidP="00F904CA" w:rsidR="00F904CA" w:rsidRPr="00F904CA">
      <w:pPr>
        <w:rPr>
          <w:rFonts w:cs="Times New Roman" w:hAnsi="Times New Roman" w:ascii="Times New Roman"/>
          <w:sz w:val="24"/>
          <w:szCs w:val="24"/>
        </w:rPr>
      </w:pPr>
      <w:r w:rsidRPr="00F904CA">
        <w:rPr>
          <w:rFonts w:cs="Times New Roman" w:hAnsi="Times New Roman" w:ascii="Times New Roman"/>
          <w:sz w:val="24"/>
          <w:szCs w:val="24"/>
        </w:rPr>
        <w:t xml:space="preserve">Rok za prigovor na diobni popis je 8 (osam) dana, a počinje teći istekom 15 dana od objave diobnog popisa na E-oglasnoj ploči Trgovačkog suda u Zagrebu ( čl. </w:t>
      </w:r>
      <w:r w:rsidR="00BA11C2">
        <w:rPr>
          <w:rFonts w:cs="Times New Roman" w:hAnsi="Times New Roman" w:ascii="Times New Roman"/>
          <w:sz w:val="24"/>
          <w:szCs w:val="24"/>
        </w:rPr>
        <w:t>190</w:t>
      </w:r>
      <w:r w:rsidRPr="00F904CA">
        <w:rPr>
          <w:rFonts w:cs="Times New Roman" w:hAnsi="Times New Roman" w:ascii="Times New Roman"/>
          <w:sz w:val="24"/>
          <w:szCs w:val="24"/>
        </w:rPr>
        <w:t xml:space="preserve">. st.1. SZ-a ).   </w:t>
      </w:r>
    </w:p>
    <w:p w:rsidRDefault="00F904CA" w:rsidP="00B54BE9" w:rsidR="00F904CA">
      <w:pPr>
        <w:spacing w:after="0"/>
      </w:pPr>
    </w:p>
    <w:p w:rsidRDefault="00B54BE9" w:rsidP="00B54BE9" w:rsidR="00B54BE9" w:rsidRPr="00B54BE9">
      <w:pPr>
        <w:spacing w:after="0"/>
        <w:rPr>
          <w:rFonts w:cs="Times New Roman" w:hAnsi="Times New Roman" w:ascii="Times New Roman"/>
        </w:rPr>
      </w:pPr>
      <w:r>
        <w:tab/>
      </w:r>
      <w:r>
        <w:tab/>
      </w:r>
      <w:r>
        <w:tab/>
      </w:r>
      <w:r>
        <w:tab/>
      </w:r>
      <w:r>
        <w:tab/>
      </w:r>
      <w:r>
        <w:tab/>
      </w:r>
      <w:r>
        <w:tab/>
      </w:r>
      <w:r>
        <w:tab/>
      </w:r>
      <w:r>
        <w:tab/>
      </w:r>
      <w:r>
        <w:tab/>
      </w:r>
      <w:r>
        <w:tab/>
      </w:r>
      <w:r>
        <w:tab/>
      </w:r>
      <w:r>
        <w:tab/>
      </w:r>
      <w:r>
        <w:tab/>
      </w:r>
      <w:r>
        <w:tab/>
      </w:r>
      <w:r>
        <w:tab/>
      </w:r>
      <w:r w:rsidRPr="00B54BE9">
        <w:rPr>
          <w:rFonts w:cs="Times New Roman" w:hAnsi="Times New Roman" w:ascii="Times New Roman"/>
        </w:rPr>
        <w:t>Stečajni upravitelj</w:t>
      </w:r>
    </w:p>
    <w:p w:rsidRDefault="00B54BE9" w:rsidP="00B54BE9" w:rsidR="00B54BE9" w:rsidRPr="00B54BE9">
      <w:pPr>
        <w:spacing w:after="0"/>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sidRPr="00B54BE9">
        <w:rPr>
          <w:rFonts w:cs="Times New Roman" w:hAnsi="Times New Roman" w:ascii="Times New Roman"/>
        </w:rPr>
        <w:t>Marinko Paić</w:t>
      </w:r>
      <w:r>
        <w:rPr>
          <w:rFonts w:cs="Times New Roman" w:hAnsi="Times New Roman" w:ascii="Times New Roman"/>
        </w:rPr>
        <w:t xml:space="preserve">, univ. spec. oec. </w:t>
      </w:r>
    </w:p>
    <w:sectPr w:rsidSect="00B54BE9" w:rsidR="00B54BE9" w:rsidRPr="00B54BE9">
      <w:footerReference w:type="default" r:id="rId8"/>
      <w:pgSz w:orient="landscape" w:h="11906" w:w="16838"/>
      <w:pgMar w:gutter="0" w:footer="709" w:header="709" w:left="851" w:bottom="1418" w:right="851"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6D01" w:rsidP="00B54BE9" w:rsidR="002B6D01">
      <w:pPr>
        <w:spacing w:lineRule="auto" w:line="240" w:after="0"/>
      </w:pPr>
      <w:r>
        <w:separator/>
      </w:r>
    </w:p>
  </w:endnote>
  <w:endnote w:id="0" w:type="continuationSeparator">
    <w:p w:rsidRDefault="002B6D01" w:rsidP="00B54BE9" w:rsidR="002B6D0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4471285"/>
      <w:docPartObj>
        <w:docPartGallery w:val="Page Numbers (Bottom of Page)"/>
        <w:docPartUnique/>
      </w:docPartObj>
    </w:sdtPr>
    <w:sdtEndPr/>
    <w:sdtContent>
      <w:p w:rsidRDefault="00B54BE9" w:rsidR="00B54BE9">
        <w:pPr>
          <w:pStyle w:val="Podnoje"/>
          <w:jc w:val="center"/>
        </w:pPr>
        <w:r>
          <w:fldChar w:fldCharType="begin"/>
        </w:r>
        <w:r>
          <w:instrText>PAGE   \* MERGEFORMAT</w:instrText>
        </w:r>
        <w:r>
          <w:fldChar w:fldCharType="separate"/>
        </w:r>
        <w:r w:rsidR="00BD1A19">
          <w:rPr>
            <w:noProof/>
          </w:rPr>
          <w:t>1</w:t>
        </w:r>
        <w:r>
          <w:fldChar w:fldCharType="end"/>
        </w:r>
      </w:p>
    </w:sdtContent>
  </w:sdt>
  <w:p w:rsidRDefault="00B54BE9" w:rsidR="00B54BE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6D01" w:rsidP="00B54BE9" w:rsidR="002B6D01">
      <w:pPr>
        <w:spacing w:lineRule="auto" w:line="240" w:after="0"/>
      </w:pPr>
      <w:r>
        <w:separator/>
      </w:r>
    </w:p>
  </w:footnote>
  <w:footnote w:id="0" w:type="continuationSeparator">
    <w:p w:rsidRDefault="002B6D01" w:rsidP="00B54BE9" w:rsidR="002B6D01">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4BE9"/>
    <w:rsid w:val="000E4648"/>
    <w:rsid w:val="00111194"/>
    <w:rsid w:val="0020144E"/>
    <w:rsid w:val="002B6D01"/>
    <w:rsid w:val="0068229E"/>
    <w:rsid w:val="006D738B"/>
    <w:rsid w:val="00B54BE9"/>
    <w:rsid w:val="00BA11C2"/>
    <w:rsid w:val="00BD1A19"/>
    <w:rsid w:val="00D05495"/>
    <w:rsid w:val="00F904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54BE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54BE9"/>
  </w:style>
  <w:style w:styleId="Podnoje" w:type="paragraph">
    <w:name w:val="footer"/>
    <w:basedOn w:val="Normal"/>
    <w:link w:val="PodnojeChar"/>
    <w:uiPriority w:val="99"/>
    <w:unhideWhenUsed/>
    <w:rsid w:val="00B54BE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54BE9"/>
  </w:style>
  <w:style w:styleId="Tekstbalonia" w:type="paragraph">
    <w:name w:val="Balloon Text"/>
    <w:basedOn w:val="Normal"/>
    <w:link w:val="TekstbaloniaChar"/>
    <w:uiPriority w:val="99"/>
    <w:semiHidden/>
    <w:unhideWhenUsed/>
    <w:rsid w:val="00B54BE9"/>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B54BE9"/>
    <w:rPr>
      <w:rFonts w:cs="Segoe UI" w:hAnsi="Segoe UI" w:ascii="Segoe UI"/>
      <w:sz w:val="18"/>
      <w:szCs w:val="18"/>
    </w:rPr>
  </w:style>
  <w:style w:styleId="Tekstrezerviranogmjesta" w:type="character">
    <w:name w:val="Placeholder Text"/>
    <w:basedOn w:val="Zadanifontodlomka"/>
    <w:uiPriority w:val="99"/>
    <w:semiHidden/>
    <w:rsid w:val="00BD1A19"/>
    <w:rPr>
      <w:color w:val="808080"/>
      <w:bdr w:space="0" w:sz="0" w:color="auto" w:val="none"/>
      <w:shd w:fill="auto" w:color="auto" w:val="clear"/>
    </w:rPr>
  </w:style>
  <w:style w:customStyle="true" w:styleId="eSPISCCParagraphDefaultFont" w:type="character">
    <w:name w:val="eSPIS_CC_Paragraph Default Font"/>
    <w:basedOn w:val="Zadanifontodlomka"/>
    <w:rsid w:val="00BD1A1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D1A19"/>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BD1A1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D1A1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54BE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54BE9"/>
  </w:style>
  <w:style w:styleId="Podnoje" w:type="paragraph">
    <w:name w:val="footer"/>
    <w:basedOn w:val="Normal"/>
    <w:link w:val="PodnojeChar"/>
    <w:uiPriority w:val="99"/>
    <w:unhideWhenUsed/>
    <w:rsid w:val="00B54BE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54BE9"/>
  </w:style>
  <w:style w:styleId="Tekstbalonia" w:type="paragraph">
    <w:name w:val="Balloon Text"/>
    <w:basedOn w:val="Normal"/>
    <w:link w:val="TekstbaloniaChar"/>
    <w:uiPriority w:val="99"/>
    <w:semiHidden/>
    <w:unhideWhenUsed/>
    <w:rsid w:val="00B54BE9"/>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B54BE9"/>
    <w:rPr>
      <w:rFonts w:ascii="Segoe UI" w:cs="Segoe UI" w:hAnsi="Segoe UI"/>
      <w:sz w:val="18"/>
      <w:szCs w:val="18"/>
    </w:rPr>
  </w:style>
  <w:style w:styleId="Tekstrezerviranogmjesta" w:type="character">
    <w:name w:val="Placeholder Text"/>
    <w:basedOn w:val="Zadanifontodlomka"/>
    <w:uiPriority w:val="99"/>
    <w:semiHidden/>
    <w:rsid w:val="00BD1A19"/>
    <w:rPr>
      <w:color w:val="808080"/>
      <w:bdr w:color="auto" w:space="0" w:sz="0" w:val="none"/>
      <w:shd w:color="auto" w:fill="auto" w:val="clear"/>
    </w:rPr>
  </w:style>
  <w:style w:customStyle="1" w:styleId="eSPISCCParagraphDefaultFont" w:type="character">
    <w:name w:val="eSPIS_CC_Paragraph Default Font"/>
    <w:basedOn w:val="Zadanifontodlomka"/>
    <w:rsid w:val="00BD1A1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D1A19"/>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BD1A1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D1A1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84431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Diobni popis</izvorni_sadrzaj>
    <derivirana_varijabla naziv="DomainObject.Primjedba_1">Diobni popis</derivirana_varijabla>
  </DomainObject.Primjedba>
  <DomainObject.Oznaka>
    <izvorni_sadrzaj>St-790/2013-1272</izvorni_sadrzaj>
    <derivirana_varijabla naziv="DomainObject.Oznaka_1">St-790/2013-1272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387</properties:Words>
  <properties:Characters>2597</properties:Characters>
  <properties:Lines>223</properties:Lines>
  <properties:Paragraphs>153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2017-03-29T12:30:00Z</dcterms:created>
  <dc:creator>Durdica</dc:creator>
  <cp:lastModifiedBy>Vinka Mihalinčić</cp:lastModifiedBy>
  <cp:lastPrinted>2017-03-23T11:07:00Z</cp:lastPrinted>
  <dcterms:modified xmlns:xsi="http://www.w3.org/2001/XMLSchema-instance" xsi:type="dcterms:W3CDTF">2017-03-29T12:31:00Z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St-790/2013-1272 / Podnesak - Podnesak</vt:lpwstr>
  </prop:property>
  <prop:property name="CC_coloring" pid="4" fmtid="{D5CDD505-2E9C-101B-9397-08002B2CF9AE}">
    <vt:bool>false</vt:bool>
  </prop:property>
  <prop:property name="BrojStranica" pid="5" fmtid="{D5CDD505-2E9C-101B-9397-08002B2CF9AE}">
    <vt:i4>3</vt:i4>
  </prop:property>
</prop:Properties>
</file>