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d5a0bc" w14:paraId="1d5a0bc" w:rsidRDefault="00B12E07" w:rsidR="0009389C">
      <w:pPr>
        <w15:collapsed w:val="false"/>
        <w:rPr>
          <w:rFonts w:cs="Arial" w:hAnsi="Arial" w:ascii="Arial"/>
        </w:rPr>
      </w:pPr>
      <w:bookmarkStart w:name="_GoBack" w:id="0"/>
      <w:bookmarkEnd w:id="0"/>
      <w:r>
        <w:rPr>
          <w:rFonts w:cs="Arial" w:hAnsi="Arial" w:ascii="Arial"/>
        </w:rPr>
        <w:t xml:space="preserve">                                                             Obrazac 20.</w:t>
      </w:r>
    </w:p>
    <w:p w:rsidRDefault="00B12E07" w:rsidR="0009389C">
      <w:pPr>
        <w:rPr>
          <w:rFonts w:cs="Arial" w:hAnsi="Arial" w:ascii="Arial"/>
          <w:b/>
        </w:rPr>
      </w:pPr>
      <w:r>
        <w:rPr>
          <w:rFonts w:cs="Arial" w:hAnsi="Arial" w:ascii="Arial"/>
          <w:b/>
        </w:rPr>
        <w:t xml:space="preserve">         IZVJEŠĆE STEČAJNOG UPRAVITELJA O TIJEKU STEČAJNOG POSTUPKA I</w:t>
      </w:r>
      <w:r>
        <w:rPr>
          <w:rFonts w:cs="Arial" w:hAnsi="Arial" w:ascii="Arial"/>
          <w:b/>
        </w:rPr>
        <w:br/>
        <w:t xml:space="preserve">                                               STANJU STEČAJNE MASE</w:t>
      </w:r>
    </w:p>
    <w:p w:rsidRDefault="0009389C" w:rsidR="0009389C">
      <w:pPr>
        <w:rPr>
          <w:rFonts w:cs="Arial" w:hAnsi="Arial" w:ascii="Arial"/>
        </w:rPr>
      </w:pPr>
    </w:p>
    <w:p w:rsidRDefault="00B12E07" w:rsidR="0009389C">
      <w:pPr>
        <w:rPr>
          <w:rFonts w:cs="Arial" w:hAnsi="Arial" w:ascii="Arial"/>
        </w:rPr>
      </w:pPr>
      <w:r>
        <w:rPr>
          <w:rFonts w:cs="Arial" w:hAnsi="Arial" w:ascii="Arial"/>
        </w:rPr>
        <w:t>Republika Hrvatska</w:t>
      </w:r>
    </w:p>
    <w:p w:rsidRDefault="00B12E07" w:rsidR="0009389C">
      <w:pPr>
        <w:rPr>
          <w:rFonts w:cs="Arial" w:hAnsi="Arial" w:ascii="Arial"/>
        </w:rPr>
      </w:pPr>
      <w:r>
        <w:rPr>
          <w:rFonts w:cs="Arial" w:hAnsi="Arial" w:ascii="Arial"/>
        </w:rPr>
        <w:t>Trgovački sud u Zagrebu</w:t>
      </w:r>
    </w:p>
    <w:p w:rsidRDefault="00B12E07" w:rsidR="0009389C">
      <w:pPr>
        <w:rPr>
          <w:rFonts w:cs="Arial" w:hAnsi="Arial" w:ascii="Arial"/>
        </w:rPr>
      </w:pPr>
      <w:r>
        <w:rPr>
          <w:rFonts w:cs="Arial" w:hAnsi="Arial" w:ascii="Arial"/>
        </w:rPr>
        <w:t>Zagreb, Amruševa 2/II</w:t>
      </w:r>
    </w:p>
    <w:p w:rsidRDefault="0009389C" w:rsidR="0009389C">
      <w:pPr>
        <w:rPr>
          <w:rFonts w:cs="Arial" w:hAnsi="Arial" w:ascii="Arial"/>
        </w:rPr>
      </w:pPr>
    </w:p>
    <w:p w:rsidRDefault="00B12E07" w:rsidR="0009389C">
      <w:pPr>
        <w:rPr>
          <w:rFonts w:cs="Arial" w:hAnsi="Arial" w:ascii="Arial"/>
        </w:rPr>
      </w:pPr>
      <w:r>
        <w:rPr>
          <w:rFonts w:cs="Arial" w:hAnsi="Arial" w:ascii="Arial"/>
        </w:rPr>
        <w:t>Poslovni broj spisa: 7 St – 4710/16</w:t>
      </w:r>
    </w:p>
    <w:p w:rsidRDefault="00B12E07" w:rsidR="0009389C">
      <w:pPr>
        <w:rPr>
          <w:rFonts w:cs="Arial" w:hAnsi="Arial" w:ascii="Arial"/>
        </w:rPr>
      </w:pPr>
      <w:r>
        <w:rPr>
          <w:rFonts w:cs="Arial" w:hAnsi="Arial" w:ascii="Arial"/>
        </w:rPr>
        <w:t>Dužnik: LATUS CENTAR  d.o.o. u stečaju</w:t>
      </w:r>
    </w:p>
    <w:p w:rsidRDefault="00B12E07" w:rsidR="0009389C">
      <w:pPr>
        <w:rPr>
          <w:rFonts w:cs="Arial" w:hAnsi="Arial" w:ascii="Arial"/>
        </w:rPr>
      </w:pPr>
      <w:r>
        <w:rPr>
          <w:rFonts w:cs="Arial" w:hAnsi="Arial" w:ascii="Arial"/>
        </w:rPr>
        <w:t>OIB: 66751174658</w:t>
      </w:r>
    </w:p>
    <w:p w:rsidRDefault="00B12E07" w:rsidR="0009389C">
      <w:pPr>
        <w:rPr>
          <w:rFonts w:cs="Arial" w:hAnsi="Arial" w:ascii="Arial"/>
        </w:rPr>
      </w:pPr>
      <w:r>
        <w:rPr>
          <w:rFonts w:cs="Arial" w:hAnsi="Arial" w:ascii="Arial"/>
        </w:rPr>
        <w:t>Adresa/Sjedište: Zagreb, I. Vidovčica 21</w:t>
      </w:r>
    </w:p>
    <w:p w:rsidRDefault="0009389C" w:rsidR="0009389C">
      <w:pPr>
        <w:rPr>
          <w:rFonts w:cs="Arial" w:hAnsi="Arial" w:ascii="Arial"/>
        </w:rPr>
      </w:pPr>
    </w:p>
    <w:p w:rsidRDefault="00B12E07" w:rsidR="0009389C">
      <w:pPr>
        <w:pStyle w:val="Odlomakpopisa"/>
        <w:numPr>
          <w:ilvl w:val="0"/>
          <w:numId w:val="2"/>
        </w:numPr>
        <w:rPr>
          <w:rFonts w:cs="Arial" w:hAnsi="Arial" w:ascii="Arial"/>
        </w:rPr>
      </w:pPr>
      <w:r>
        <w:rPr>
          <w:rFonts w:cs="Arial" w:hAnsi="Arial" w:ascii="Arial"/>
        </w:rPr>
        <w:t>TIJEK STEČAJNOG POSTUPKA U RAZDOBLJU OD 26.10.2018. g. DO 26.01. 2019.g.</w:t>
      </w:r>
    </w:p>
    <w:p w:rsidRDefault="0009389C" w:rsidR="0009389C">
      <w:pPr>
        <w:pStyle w:val="Odlomakpopisa"/>
        <w:ind w:left="1080"/>
        <w:rPr>
          <w:rFonts w:cs="Arial" w:hAnsi="Arial" w:ascii="Arial"/>
        </w:rPr>
      </w:pPr>
    </w:p>
    <w:p w:rsidRDefault="00B12E07" w:rsidR="0009389C">
      <w:pPr>
        <w:ind w:firstLine="360"/>
        <w:jc w:val="both"/>
        <w:rPr>
          <w:rFonts w:cs="Arial" w:hAnsi="Arial" w:ascii="Arial"/>
        </w:rPr>
      </w:pPr>
      <w:r>
        <w:rPr>
          <w:rFonts w:cs="Arial" w:hAnsi="Arial" w:ascii="Arial"/>
        </w:rPr>
        <w:t>Ispitno i izvještajno ročište održano je 26. travnja 2017. godine. U navedenom razdoblju nije bilo potrebno prikupljati stečajnu masu jer je ona prikupljena i registrirana do ispitnog i izvještajnog ročišta.  Stečajni dužnik LATUS CENTAR d.o.o. u stečaju bavio se uzgojem cvijeća, ukrasnog bilja i sadnog materijala. Posao se sastojao od uređenja okućnica, prilaz objektima itd. Vezano uz takav rad stečajna masa sastoji se od nekretnina – oranica i pokretnina koje su u lošem stanju, knjigovodstvene vrijednosti 0,00 kn, te je upitna njihova tržišna vrijednost ili je neznatna. Postupke pred sudovima i drugim tijelima stečajni dužnik nema. Poslovanje stečajnog dužnika obustavljeno je i prije otvaranja stečajnog postupka, tako da ne postoje zaposlenici koji bi nastavili s radom. Stečajni postupak moći će se zaključiti nakon pokušaja prodaje nekretnina i pokretnina.</w:t>
      </w:r>
    </w:p>
    <w:p w:rsidRDefault="00B12E07" w:rsidR="0009389C">
      <w:pPr>
        <w:ind w:firstLine="360"/>
        <w:jc w:val="both"/>
        <w:rPr>
          <w:rFonts w:cs="Arial" w:hAnsi="Arial" w:ascii="Arial"/>
        </w:rPr>
      </w:pPr>
      <w:r>
        <w:rPr>
          <w:rFonts w:cs="Arial" w:hAnsi="Arial" w:ascii="Arial"/>
        </w:rPr>
        <w:t>U navedenom razdoblju poduzete su slijedeće radnje:</w:t>
      </w:r>
    </w:p>
    <w:p w:rsidRDefault="00B12E07" w:rsidR="0009389C">
      <w:pPr>
        <w:jc w:val="both"/>
        <w:rPr>
          <w:rFonts w:cs="Arial" w:hAnsi="Arial" w:ascii="Arial"/>
        </w:rPr>
      </w:pPr>
      <w:r>
        <w:rPr>
          <w:rFonts w:cs="Arial" w:hAnsi="Arial" w:ascii="Arial"/>
        </w:rPr>
        <w:t>Financijska agencija (FINA) objavila je poziv na sudjelovanje u elektroničkoj javnoj dražbi za nekretnine na kojima postoji razlučno pravo. Svi detalji oko održavanja elektroničke javne dražbe mogu se pronaći na stranicama FINA-e. Za ostale nekretnine koje nisu opterećene razlučnim pravom stečajni upravitelj, sukladno odluci sa skupštine vjerovnika, izlaže prodaji na način da prodaju obavlja putem prikupljanja pisanih ponuda temeljem javnog oglašavanja na web stranicama Sudačke mreže VTS RH, i HGK-a, na način da na prvoj objavi početna cijena bude ujedno cijena procijenjene vrijednosti po sudskom vještaku, a da na svakoj daljnjoj prodaji početna cijena bude za 10% umanjena u odnosu na prethodnu početnu cijenu na objavi, i to na 6 objava, a rok za prikupljanje ponuda je 15 dana od objave.</w:t>
      </w:r>
    </w:p>
    <w:p w:rsidRDefault="0009389C" w:rsidR="0009389C">
      <w:pPr>
        <w:jc w:val="both"/>
        <w:rPr>
          <w:rFonts w:cs="Arial" w:hAnsi="Arial" w:ascii="Arial"/>
        </w:rPr>
      </w:pPr>
    </w:p>
    <w:p w:rsidRDefault="00B12E07" w:rsidR="0009389C">
      <w:pPr>
        <w:ind w:left="360"/>
        <w:jc w:val="both"/>
        <w:rPr>
          <w:rFonts w:cs="Arial" w:hAnsi="Arial" w:ascii="Arial"/>
        </w:rPr>
      </w:pPr>
      <w:r>
        <w:rPr>
          <w:rFonts w:cs="Arial" w:hAnsi="Arial" w:ascii="Arial"/>
        </w:rPr>
        <w:t>II.     STANJE STEČAJNE MASE</w:t>
      </w:r>
    </w:p>
    <w:p w:rsidRDefault="0009389C" w:rsidR="0009389C">
      <w:pPr>
        <w:jc w:val="both"/>
        <w:rPr>
          <w:rFonts w:cs="Arial" w:hAnsi="Arial" w:ascii="Arial"/>
        </w:rPr>
      </w:pPr>
    </w:p>
    <w:p w:rsidRDefault="00B12E07" w:rsidR="0009389C">
      <w:pPr>
        <w:numPr>
          <w:ilvl w:val="0"/>
          <w:numId w:val="4"/>
        </w:numPr>
        <w:jc w:val="both"/>
        <w:rPr>
          <w:rFonts w:cs="Arial" w:hAnsi="Arial" w:ascii="Arial"/>
        </w:rPr>
      </w:pPr>
      <w:r>
        <w:rPr>
          <w:rFonts w:cs="Arial" w:hAnsi="Arial" w:ascii="Arial"/>
        </w:rPr>
        <w:t>Sustavan pregled predmeta stečajne mase:</w:t>
      </w:r>
    </w:p>
    <w:p w:rsidRDefault="00B12E07" w:rsidR="0009389C">
      <w:pPr>
        <w:jc w:val="both"/>
        <w:rPr>
          <w:rFonts w:cs="Arial" w:hAnsi="Arial" w:ascii="Arial"/>
        </w:rPr>
      </w:pPr>
      <w:r>
        <w:rPr>
          <w:rFonts w:cs="Arial" w:hAnsi="Arial" w:ascii="Arial"/>
        </w:rPr>
        <w:t xml:space="preserve">Stečajna masa stečajnog dužnika sastoji se od nekretnina – uglavnom oranica i pokretnina za koje je na ročištu vjerovnika s izvještajnog ročišta održanog 26.04.2017. godine dana </w:t>
      </w:r>
      <w:r>
        <w:rPr>
          <w:rFonts w:cs="Arial" w:hAnsi="Arial" w:ascii="Arial"/>
        </w:rPr>
        <w:lastRenderedPageBreak/>
        <w:t>suglasnost stečajnom upravitelju za prodaju pokretne stečajne mase stečajnog dužnika slobodnom pogodbom bez najniže početne cijene.</w:t>
      </w:r>
    </w:p>
    <w:p w:rsidRDefault="00B12E07" w:rsidR="0009389C">
      <w:pPr>
        <w:jc w:val="both"/>
        <w:rPr>
          <w:rFonts w:cs="Arial" w:hAnsi="Arial" w:ascii="Arial"/>
        </w:rPr>
      </w:pPr>
      <w:r>
        <w:rPr>
          <w:rFonts w:cs="Arial" w:hAnsi="Arial" w:ascii="Arial"/>
        </w:rPr>
        <w:t>Nekretnine na kojima postoji razlučno pravo:</w:t>
      </w:r>
    </w:p>
    <w:p w:rsidRDefault="00B12E07" w:rsidR="0009389C">
      <w:pPr>
        <w:pStyle w:val="Odlomakpopisa"/>
        <w:numPr>
          <w:ilvl w:val="0"/>
          <w:numId w:val="6"/>
        </w:numPr>
        <w:jc w:val="both"/>
        <w:rPr>
          <w:rFonts w:cs="Arial" w:hAnsi="Arial" w:ascii="Arial"/>
        </w:rPr>
      </w:pPr>
      <w:r>
        <w:rPr>
          <w:rFonts w:cs="Arial" w:hAnsi="Arial" w:ascii="Arial"/>
        </w:rPr>
        <w:t>k.č.br. 1539/116, oranica Kirišćak u Hrebini sa 1580 čhv, zk.ul.br. 5063, k.o. Pušća,     zemljišnoknjižni odjel Zaprešić kod općinskog suda u Novom Zagrebu,</w:t>
      </w:r>
    </w:p>
    <w:p w:rsidRDefault="00B12E07" w:rsidR="0009389C">
      <w:pPr>
        <w:pStyle w:val="Odlomakpopisa"/>
        <w:numPr>
          <w:ilvl w:val="0"/>
          <w:numId w:val="8"/>
        </w:numPr>
        <w:jc w:val="both"/>
        <w:rPr>
          <w:rFonts w:cs="Arial" w:hAnsi="Arial" w:ascii="Arial"/>
        </w:rPr>
      </w:pPr>
      <w:r>
        <w:rPr>
          <w:rFonts w:cs="Arial" w:hAnsi="Arial" w:ascii="Arial"/>
        </w:rPr>
        <w:t>k.č.br. 1715/95, oranica u Vinogradini sa 5755 čm, zk.ul.br. 1639, k.o. Badljevina, zemljišnoknjižni odjel Pakrac kod Općinskog suda u Daruvaru, Stalne službe u Pakracu,</w:t>
      </w:r>
    </w:p>
    <w:p w:rsidRDefault="00B12E07" w:rsidR="0009389C">
      <w:pPr>
        <w:pStyle w:val="Odlomakpopisa"/>
        <w:numPr>
          <w:ilvl w:val="0"/>
          <w:numId w:val="7"/>
        </w:numPr>
        <w:jc w:val="both"/>
        <w:rPr>
          <w:rFonts w:cs="Arial" w:hAnsi="Arial" w:ascii="Arial"/>
        </w:rPr>
      </w:pPr>
      <w:r>
        <w:rPr>
          <w:rFonts w:cs="Arial" w:hAnsi="Arial" w:ascii="Arial"/>
        </w:rPr>
        <w:t>k.č.br. 1715/91, oranica u Rastju sa 8416 čm, zk.ul. 1365, k.o. Badljevina, zemljišnoknjižni odjel Pakrac kod Općinskog suda u Daruvaru, Stalne službe u Pakracu,</w:t>
      </w:r>
    </w:p>
    <w:p w:rsidRDefault="00B12E07" w:rsidR="0009389C">
      <w:pPr>
        <w:pStyle w:val="Odlomakpopisa"/>
        <w:numPr>
          <w:ilvl w:val="0"/>
          <w:numId w:val="7"/>
        </w:numPr>
        <w:jc w:val="both"/>
        <w:rPr>
          <w:rFonts w:cs="Arial" w:hAnsi="Arial" w:ascii="Arial"/>
        </w:rPr>
      </w:pPr>
      <w:r>
        <w:rPr>
          <w:rFonts w:cs="Arial" w:hAnsi="Arial" w:ascii="Arial"/>
        </w:rPr>
        <w:t>k.č.br. 1711/5 oranica Vinogradina sa 12229 čm, upisana u zk.ul.br. 1833 k.o. Badljevina, u zemljišnim knjigama Općinskog suda u Daruvaru, zemljišnoknjižni odjel Pakrac,</w:t>
      </w:r>
    </w:p>
    <w:p w:rsidRDefault="00B12E07" w:rsidR="0009389C">
      <w:pPr>
        <w:jc w:val="both"/>
        <w:rPr>
          <w:rFonts w:cs="Arial" w:hAnsi="Arial" w:ascii="Arial"/>
        </w:rPr>
      </w:pPr>
      <w:r>
        <w:rPr>
          <w:rFonts w:cs="Arial" w:hAnsi="Arial" w:ascii="Arial"/>
        </w:rPr>
        <w:t>Ostale nekretnine na kojima ne postoji razlučno pravo:</w:t>
      </w:r>
    </w:p>
    <w:p w:rsidRDefault="00B12E07" w:rsidR="0009389C">
      <w:pPr>
        <w:ind w:left="720"/>
        <w:jc w:val="both"/>
        <w:rPr>
          <w:rFonts w:cs="Arial" w:hAnsi="Arial" w:ascii="Arial"/>
        </w:rPr>
      </w:pPr>
      <w:r>
        <w:rPr>
          <w:rFonts w:cs="Arial" w:hAnsi="Arial" w:ascii="Arial"/>
        </w:rPr>
        <w:t>1) Suvlasnički dio: 7/16, k.č.br. 703/1 oranica Škalinka sa 2945 m2, upisana u zk. uložak br. 523 k.o. Zaprešić,</w:t>
      </w:r>
    </w:p>
    <w:p w:rsidRDefault="00B12E07" w:rsidR="0009389C">
      <w:pPr>
        <w:ind w:left="720"/>
        <w:jc w:val="both"/>
        <w:rPr>
          <w:rFonts w:cs="Arial" w:hAnsi="Arial" w:ascii="Arial"/>
        </w:rPr>
      </w:pPr>
      <w:r>
        <w:rPr>
          <w:rFonts w:cs="Arial" w:hAnsi="Arial" w:ascii="Arial"/>
        </w:rPr>
        <w:t>2) k.č.br. 1711/1 oranica sa 3190 m2, k.č.br. 1711/2 oranica u Vinogradini sa 5611 m2, k.č.br.1711/4 oranica Vinogradina sa 5028 m2, k.č.br. 1711/6 oranica u Vinogradini sa 4906 m2, k.č.br. 1715/50 oranica Vinogradina sa 6104 m2, k.č.br. 1715/81 oranica u Vinogradini sa 1021 m2, k.č.br. 1715/82 oranica u Vinogradini sa 1025 m2, k.č.br. 1715/83 oranica u Slatini sa 1021 m2, k.č.br. 1715/110 oranica u Vinogradini sa 3913 m2, k.č.br. 1715/111 oranica u Selu sa 3363 m2, k.č.br. 1715/118 oranica u Vinogradini sa 5539 m2, sve nabrojano u ukupnoj površini od 40721 m2, zk. uložak br. 1705, k.o. Badljevina, zemljišnoknjižni odjel Pakrac,</w:t>
      </w:r>
    </w:p>
    <w:p w:rsidRDefault="00B12E07" w:rsidR="0009389C">
      <w:pPr>
        <w:ind w:left="720"/>
        <w:jc w:val="both"/>
        <w:rPr>
          <w:rFonts w:cs="Arial" w:hAnsi="Arial" w:ascii="Arial"/>
        </w:rPr>
      </w:pPr>
      <w:r>
        <w:rPr>
          <w:rFonts w:cs="Arial" w:hAnsi="Arial" w:ascii="Arial"/>
        </w:rPr>
        <w:t>3) k.č.br. 479/1 oranica Veliki rit u Rašću sa 6783 m2 i k.č.br. 479/2 oranica Veliki rit u Rašću sa 13426 m2, ukupno 20209 m2, zk. uložak br.1147, k.o. Badljevina, zemljišnoknjižni odjel Pakrac,</w:t>
      </w:r>
    </w:p>
    <w:p w:rsidRDefault="00B12E07" w:rsidR="0009389C">
      <w:pPr>
        <w:ind w:left="720"/>
        <w:jc w:val="both"/>
        <w:rPr>
          <w:rFonts w:cs="Arial" w:hAnsi="Arial" w:ascii="Arial"/>
        </w:rPr>
      </w:pPr>
      <w:r>
        <w:rPr>
          <w:rFonts w:cs="Arial" w:hAnsi="Arial" w:ascii="Arial"/>
        </w:rPr>
        <w:t>4) k.č.br. 1717/7 livada u Vinogradini sa 201 m2, k.č.br.1721/14 oranica u Vinogradini sa 2913 m2 i k.č.br. 1721/15 kuća, dvorište, voćnjak i oranica 5430 m2, od toga kuća 93m2, dvorište 679m2, voćnjak 598m2 i oranica 4060m2, ukupno 8544m2, zk. uložak br: 1351, ko. Badljevina, zemljišnoknjižni odjel Pakrac</w:t>
      </w:r>
    </w:p>
    <w:p w:rsidRDefault="00B12E07" w:rsidR="0009389C">
      <w:pPr>
        <w:ind w:left="360"/>
        <w:jc w:val="both"/>
        <w:rPr>
          <w:rFonts w:cs="Arial" w:hAnsi="Arial" w:ascii="Arial"/>
        </w:rPr>
      </w:pPr>
      <w:r>
        <w:rPr>
          <w:rFonts w:cs="Arial" w:hAnsi="Arial" w:ascii="Arial"/>
        </w:rPr>
        <w:t>2.   Koji su predmeti stečajne mase unovčeni i u kojem iznosu:</w:t>
      </w:r>
    </w:p>
    <w:p w:rsidRDefault="00B12E07" w:rsidR="0009389C">
      <w:pPr>
        <w:jc w:val="both"/>
        <w:rPr>
          <w:rFonts w:cs="Arial" w:hAnsi="Arial" w:ascii="Arial"/>
        </w:rPr>
      </w:pPr>
      <w:r>
        <w:rPr>
          <w:rFonts w:cs="Arial" w:hAnsi="Arial" w:ascii="Arial"/>
        </w:rPr>
        <w:t>Do sada niti jedan predmet nije unovčen.</w:t>
      </w:r>
    </w:p>
    <w:p w:rsidRDefault="00B12E07" w:rsidR="0009389C">
      <w:pPr>
        <w:ind w:left="360"/>
        <w:jc w:val="both"/>
        <w:rPr>
          <w:rFonts w:cs="Arial" w:hAnsi="Arial" w:ascii="Arial"/>
        </w:rPr>
      </w:pPr>
      <w:r>
        <w:rPr>
          <w:rFonts w:cs="Arial" w:hAnsi="Arial" w:ascii="Arial"/>
        </w:rPr>
        <w:t>3.    Koji predmeti stečajne mase nisu unovčeni i zbog kojeg razloga:</w:t>
      </w:r>
    </w:p>
    <w:p w:rsidRDefault="00B12E07" w:rsidR="0009389C">
      <w:pPr>
        <w:jc w:val="both"/>
        <w:rPr>
          <w:rFonts w:cs="Arial" w:hAnsi="Arial" w:ascii="Arial"/>
        </w:rPr>
      </w:pPr>
      <w:r>
        <w:rPr>
          <w:rFonts w:cs="Arial" w:hAnsi="Arial" w:ascii="Arial"/>
        </w:rPr>
        <w:t>Još se provodi prikupljanje ponuda.</w:t>
      </w:r>
    </w:p>
    <w:p w:rsidRDefault="00B12E07" w:rsidR="0009389C">
      <w:pPr>
        <w:ind w:left="360"/>
        <w:jc w:val="both"/>
        <w:rPr>
          <w:rFonts w:cs="Arial" w:hAnsi="Arial" w:ascii="Arial"/>
        </w:rPr>
      </w:pPr>
      <w:r>
        <w:rPr>
          <w:rFonts w:cs="Arial" w:hAnsi="Arial" w:ascii="Arial"/>
        </w:rPr>
        <w:t>4.    Kako je ostvareno razlučno pravo:</w:t>
      </w:r>
    </w:p>
    <w:p w:rsidRDefault="00B12E07" w:rsidR="0009389C">
      <w:pPr>
        <w:jc w:val="both"/>
        <w:rPr>
          <w:rFonts w:cs="Arial" w:hAnsi="Arial" w:ascii="Arial"/>
        </w:rPr>
      </w:pPr>
      <w:r>
        <w:rPr>
          <w:rFonts w:cs="Arial" w:hAnsi="Arial" w:ascii="Arial"/>
        </w:rPr>
        <w:t>Razlučno pravo ostvareno je upisom u zemljišnom knjigama.</w:t>
      </w:r>
    </w:p>
    <w:p w:rsidRDefault="00B12E07" w:rsidR="0009389C">
      <w:pPr>
        <w:ind w:left="360"/>
        <w:jc w:val="both"/>
        <w:rPr>
          <w:rFonts w:cs="Arial" w:hAnsi="Arial" w:ascii="Arial"/>
        </w:rPr>
      </w:pPr>
      <w:r>
        <w:rPr>
          <w:rFonts w:cs="Arial" w:hAnsi="Arial" w:ascii="Arial"/>
        </w:rPr>
        <w:t>5.    Kako je ostvareno izlučno pravo, ako postoji:</w:t>
      </w:r>
    </w:p>
    <w:p w:rsidRDefault="00B12E07" w:rsidR="0009389C">
      <w:pPr>
        <w:jc w:val="both"/>
        <w:rPr>
          <w:rFonts w:cs="Arial" w:hAnsi="Arial" w:ascii="Arial"/>
        </w:rPr>
      </w:pPr>
      <w:r>
        <w:rPr>
          <w:rFonts w:cs="Arial" w:hAnsi="Arial" w:ascii="Arial"/>
        </w:rPr>
        <w:t>Izlučno pravo ne postoji.</w:t>
      </w:r>
    </w:p>
    <w:p w:rsidRDefault="00B12E07" w:rsidR="0009389C">
      <w:pPr>
        <w:ind w:left="360"/>
        <w:jc w:val="both"/>
        <w:rPr>
          <w:rFonts w:cs="Arial" w:hAnsi="Arial" w:ascii="Arial"/>
        </w:rPr>
      </w:pPr>
      <w:r>
        <w:rPr>
          <w:rFonts w:cs="Arial" w:hAnsi="Arial" w:ascii="Arial"/>
        </w:rPr>
        <w:t>6.    Podatak o vjerovnicima stečajne mase i njihovom namirenju:</w:t>
      </w:r>
    </w:p>
    <w:p w:rsidRDefault="00B12E07" w:rsidR="0009389C">
      <w:pPr>
        <w:jc w:val="both"/>
        <w:rPr>
          <w:rFonts w:cs="Arial" w:hAnsi="Arial" w:ascii="Arial"/>
        </w:rPr>
      </w:pPr>
      <w:r>
        <w:rPr>
          <w:rFonts w:cs="Arial" w:hAnsi="Arial" w:ascii="Arial"/>
        </w:rPr>
        <w:t>Vjerovnici stečajne mase za sada još nisu namireni.</w:t>
      </w:r>
    </w:p>
    <w:p w:rsidRDefault="00B12E07" w:rsidR="0009389C">
      <w:pPr>
        <w:ind w:left="360"/>
        <w:jc w:val="both"/>
        <w:rPr>
          <w:rFonts w:cs="Arial" w:hAnsi="Arial" w:ascii="Arial"/>
        </w:rPr>
      </w:pPr>
      <w:r>
        <w:rPr>
          <w:rFonts w:cs="Arial" w:hAnsi="Arial" w:ascii="Arial"/>
        </w:rPr>
        <w:lastRenderedPageBreak/>
        <w:t>7.    Podatak o isplatama plaća radnika ako su nastavili s radom nakon otvaranja stečajnog postupka:</w:t>
      </w:r>
    </w:p>
    <w:p w:rsidRDefault="00B12E07" w:rsidR="0009389C">
      <w:pPr>
        <w:jc w:val="both"/>
        <w:rPr>
          <w:rFonts w:cs="Arial" w:hAnsi="Arial" w:ascii="Arial"/>
        </w:rPr>
      </w:pPr>
      <w:r>
        <w:rPr>
          <w:rFonts w:cs="Arial" w:hAnsi="Arial" w:ascii="Arial"/>
        </w:rPr>
        <w:t xml:space="preserve">Već prije otvaranja stečajnog postupka nije bilo zaposlenih radnika, tako da nije nitko nastavio s radom nakon otvaranja istog.  </w:t>
      </w:r>
    </w:p>
    <w:p w:rsidRDefault="00B12E07" w:rsidR="0009389C">
      <w:pPr>
        <w:ind w:left="360"/>
        <w:jc w:val="both"/>
        <w:rPr>
          <w:rFonts w:cs="Arial" w:hAnsi="Arial" w:ascii="Arial"/>
        </w:rPr>
      </w:pPr>
      <w:r>
        <w:rPr>
          <w:rFonts w:cs="Arial" w:hAnsi="Arial" w:ascii="Arial"/>
        </w:rPr>
        <w:t>8.    Podatak o namirenju stečajnih vjerovnika (diobe):</w:t>
      </w:r>
    </w:p>
    <w:p w:rsidRDefault="00B12E07" w:rsidR="0009389C">
      <w:pPr>
        <w:jc w:val="both"/>
        <w:rPr>
          <w:rFonts w:cs="Arial" w:hAnsi="Arial" w:ascii="Arial"/>
        </w:rPr>
      </w:pPr>
      <w:r>
        <w:rPr>
          <w:rFonts w:cs="Arial" w:hAnsi="Arial" w:ascii="Arial"/>
        </w:rPr>
        <w:t>Stečajni vjerovnici do sada nisu namireni – nije bilo diobe.</w:t>
      </w:r>
    </w:p>
    <w:p w:rsidRDefault="0009389C" w:rsidR="0009389C">
      <w:pPr>
        <w:jc w:val="both"/>
        <w:rPr>
          <w:rFonts w:cs="Arial" w:hAnsi="Arial" w:ascii="Arial"/>
        </w:rPr>
      </w:pPr>
    </w:p>
    <w:p w:rsidRDefault="0009389C" w:rsidR="0009389C">
      <w:pPr>
        <w:jc w:val="both"/>
        <w:rPr>
          <w:rFonts w:cs="Arial" w:hAnsi="Arial" w:ascii="Arial"/>
        </w:rPr>
      </w:pPr>
    </w:p>
    <w:p w:rsidRDefault="00B12E07" w:rsidR="0009389C">
      <w:pPr>
        <w:ind w:left="360"/>
        <w:jc w:val="both"/>
        <w:rPr>
          <w:rFonts w:cs="Arial" w:hAnsi="Arial" w:ascii="Arial"/>
        </w:rPr>
      </w:pPr>
      <w:r>
        <w:rPr>
          <w:rFonts w:cs="Arial" w:hAnsi="Arial" w:ascii="Arial"/>
        </w:rPr>
        <w:t>III.     RADNJE KOJE ĆE SE PODUZETI U NAREDNOM RAZDOBLJU</w:t>
      </w:r>
    </w:p>
    <w:p w:rsidRDefault="0009389C" w:rsidR="0009389C">
      <w:pPr>
        <w:jc w:val="both"/>
        <w:rPr>
          <w:rFonts w:cs="Arial" w:hAnsi="Arial" w:ascii="Arial"/>
        </w:rPr>
      </w:pPr>
    </w:p>
    <w:p w:rsidRDefault="00B12E07" w:rsidR="0009389C">
      <w:pPr>
        <w:jc w:val="both"/>
        <w:rPr>
          <w:rFonts w:cs="Arial" w:hAnsi="Arial" w:ascii="Arial"/>
        </w:rPr>
      </w:pPr>
      <w:r>
        <w:rPr>
          <w:rFonts w:cs="Arial" w:hAnsi="Arial" w:ascii="Arial"/>
        </w:rPr>
        <w:t>U narednom razdoblju od 26.01.2019. godine do 26.04.2019. godine, stečajni upravitelj poduzet će slijedeće radnje:</w:t>
      </w:r>
    </w:p>
    <w:p w:rsidRDefault="00B12E07" w:rsidR="0009389C">
      <w:pPr>
        <w:pStyle w:val="Odlomakpopisa"/>
        <w:numPr>
          <w:ilvl w:val="0"/>
          <w:numId w:val="10"/>
        </w:numPr>
        <w:jc w:val="both"/>
        <w:rPr>
          <w:rFonts w:cs="Arial" w:hAnsi="Arial" w:ascii="Arial"/>
        </w:rPr>
      </w:pPr>
      <w:r>
        <w:rPr>
          <w:rFonts w:cs="Arial" w:hAnsi="Arial" w:ascii="Arial"/>
        </w:rPr>
        <w:t>Nastaviti s prodajom pokretnina u skladu s danom suglasnosti na ročištu vjerovnika – izvještajnom ročištu,</w:t>
      </w:r>
    </w:p>
    <w:p w:rsidRDefault="00B12E07" w:rsidR="0009389C">
      <w:pPr>
        <w:ind w:left="360"/>
        <w:jc w:val="both"/>
        <w:rPr>
          <w:rFonts w:cs="Arial" w:hAnsi="Arial" w:ascii="Arial"/>
        </w:rPr>
      </w:pPr>
      <w:r>
        <w:rPr>
          <w:rFonts w:cs="Arial" w:hAnsi="Arial" w:ascii="Arial"/>
        </w:rPr>
        <w:t>2.   Nastaviti s prikupljanjem ponuda za oglašene nekretnine.</w:t>
      </w:r>
    </w:p>
    <w:p w:rsidRDefault="0009389C" w:rsidR="0009389C">
      <w:pPr>
        <w:jc w:val="both"/>
        <w:rPr>
          <w:rFonts w:cs="Arial" w:hAnsi="Arial" w:ascii="Arial"/>
        </w:rPr>
      </w:pPr>
    </w:p>
    <w:p w:rsidRDefault="0009389C" w:rsidR="0009389C">
      <w:pPr>
        <w:jc w:val="both"/>
        <w:rPr>
          <w:rFonts w:cs="Arial" w:hAnsi="Arial" w:ascii="Arial"/>
        </w:rPr>
      </w:pPr>
    </w:p>
    <w:p w:rsidRDefault="00B12E07" w:rsidR="0009389C">
      <w:pPr>
        <w:jc w:val="both"/>
        <w:rPr>
          <w:rFonts w:cs="Arial" w:hAnsi="Arial" w:ascii="Arial"/>
        </w:rPr>
      </w:pPr>
      <w:r>
        <w:rPr>
          <w:rFonts w:cs="Arial" w:hAnsi="Arial" w:ascii="Arial"/>
        </w:rPr>
        <w:t xml:space="preserve">Zagreb, 25. siječanj 2019. godine                                                          </w:t>
      </w:r>
    </w:p>
    <w:p w:rsidRDefault="0009389C" w:rsidR="0009389C">
      <w:pPr>
        <w:jc w:val="both"/>
        <w:rPr>
          <w:rFonts w:cs="Arial" w:hAnsi="Arial" w:ascii="Arial"/>
        </w:rPr>
      </w:pPr>
    </w:p>
    <w:p w:rsidRDefault="00B12E07" w:rsidR="0009389C">
      <w:pPr>
        <w:jc w:val="both"/>
        <w:rPr>
          <w:rFonts w:cs="Arial" w:hAnsi="Arial" w:ascii="Arial"/>
        </w:rPr>
      </w:pPr>
      <w:r>
        <w:rPr>
          <w:rFonts w:cs="Arial" w:hAnsi="Arial" w:ascii="Arial"/>
        </w:rPr>
        <w:t xml:space="preserve">                                                                                                              Stečajni upravitelj</w:t>
      </w:r>
    </w:p>
    <w:p w:rsidRDefault="00B12E07" w:rsidR="0009389C">
      <w:pPr>
        <w:jc w:val="both"/>
        <w:rPr>
          <w:rFonts w:cs="Arial" w:hAnsi="Arial" w:ascii="Arial"/>
        </w:rPr>
      </w:pPr>
      <w:r>
        <w:rPr>
          <w:rFonts w:cs="Arial" w:hAnsi="Arial" w:ascii="Arial"/>
        </w:rPr>
        <w:t xml:space="preserve">                                                                                                              Ivica Boltužić</w:t>
      </w:r>
    </w:p>
    <w:p w:rsidRDefault="0009389C" w:rsidR="0009389C"/>
    <w:sectPr w:rsidR="0009389C">
      <w:headerReference w:type="default" r:id="rId9"/>
      <w:footerReference w:type="default" r:id="rId10"/>
      <w:pgSz w:h="16838" w:w="11906"/>
      <w:pgMar w:gutter="0" w:footer="720" w:header="720" w:left="1417" w:bottom="1417" w:right="1417" w:top="1417"/>
      <w:cols w:space="72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12E07" w:rsidR="003976B4">
      <w:pPr>
        <w:spacing w:after="0"/>
      </w:pPr>
      <w:r>
        <w:separator/>
      </w:r>
    </w:p>
  </w:endnote>
  <w:endnote w:id="0" w:type="continuationSeparator">
    <w:p w:rsidRDefault="00B12E07" w:rsidR="003976B4">
      <w:pPr>
        <w:spacing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12E07" w:rsidR="009A189B">
    <w:pPr>
      <w:pStyle w:val="Podnoje"/>
      <w:jc w:val="right"/>
    </w:pPr>
    <w:r>
      <w:fldChar w:fldCharType="begin"/>
    </w:r>
    <w:r>
      <w:instrText xml:space="preserve"> PAGE </w:instrText>
    </w:r>
    <w:r>
      <w:fldChar w:fldCharType="separate"/>
    </w:r>
    <w:r w:rsidR="00704A74">
      <w:rPr>
        <w:noProof/>
      </w:rPr>
      <w:t>1</w:t>
    </w:r>
    <w:r>
      <w:fldChar w:fldCharType="end"/>
    </w:r>
  </w:p>
  <w:p w:rsidRDefault="00704A74" w:rsidR="009A189B">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12E07" w:rsidR="003976B4">
      <w:pPr>
        <w:spacing w:after="0"/>
      </w:pPr>
      <w:r>
        <w:rPr>
          <w:color w:val="000000"/>
        </w:rPr>
        <w:separator/>
      </w:r>
    </w:p>
  </w:footnote>
  <w:footnote w:id="0" w:type="continuationSeparator">
    <w:p w:rsidRDefault="00B12E07" w:rsidR="003976B4">
      <w:pPr>
        <w:spacing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04A74" w:rsidR="009A189B">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BCE12C7"/>
    <w:multiLevelType w:val="multilevel"/>
    <w:tmpl w:val="2292A4D2"/>
    <w:lvl w:ilvl="0">
      <w:start w:val="1"/>
      <w:numFmt w:val="decimal"/>
      <w:lvlText w:val="%1)"/>
      <w:lvlJc w:val="left"/>
      <w:pPr>
        <w:ind w:hanging="360" w:left="720"/>
      </w:pPr>
    </w:lvl>
    <w:lvl w:ilvl="1">
      <w:start w:val="1"/>
      <w:numFmt w:val="lowerLetter"/>
      <w:lvlText w:val="%2."/>
      <w:lvlJc w:val="left"/>
      <w:pPr>
        <w:ind w:hanging="360" w:left="1440"/>
      </w:pPr>
    </w:lvl>
    <w:lvl w:ilvl="2">
      <w:start w:val="1"/>
      <w:numFmt w:val="lowerRoman"/>
      <w:lvlText w:val="%3."/>
      <w:lvlJc w:val="right"/>
      <w:pPr>
        <w:ind w:hanging="180" w:left="2160"/>
      </w:pPr>
    </w:lvl>
    <w:lvl w:ilvl="3">
      <w:start w:val="1"/>
      <w:numFmt w:val="decimal"/>
      <w:lvlText w:val="%4."/>
      <w:lvlJc w:val="left"/>
      <w:pPr>
        <w:ind w:hanging="360" w:left="2880"/>
      </w:pPr>
    </w:lvl>
    <w:lvl w:ilvl="4">
      <w:start w:val="1"/>
      <w:numFmt w:val="lowerLetter"/>
      <w:lvlText w:val="%5."/>
      <w:lvlJc w:val="left"/>
      <w:pPr>
        <w:ind w:hanging="360" w:left="3600"/>
      </w:pPr>
    </w:lvl>
    <w:lvl w:ilvl="5">
      <w:start w:val="1"/>
      <w:numFmt w:val="lowerRoman"/>
      <w:lvlText w:val="%6."/>
      <w:lvlJc w:val="right"/>
      <w:pPr>
        <w:ind w:hanging="180" w:left="4320"/>
      </w:pPr>
    </w:lvl>
    <w:lvl w:ilvl="6">
      <w:start w:val="1"/>
      <w:numFmt w:val="decimal"/>
      <w:lvlText w:val="%7."/>
      <w:lvlJc w:val="left"/>
      <w:pPr>
        <w:ind w:hanging="360" w:left="5040"/>
      </w:pPr>
    </w:lvl>
    <w:lvl w:ilvl="7">
      <w:start w:val="1"/>
      <w:numFmt w:val="lowerLetter"/>
      <w:lvlText w:val="%8."/>
      <w:lvlJc w:val="left"/>
      <w:pPr>
        <w:ind w:hanging="360" w:left="5760"/>
      </w:pPr>
    </w:lvl>
    <w:lvl w:ilvl="8">
      <w:start w:val="1"/>
      <w:numFmt w:val="lowerRoman"/>
      <w:lvlText w:val="%9."/>
      <w:lvlJc w:val="right"/>
      <w:pPr>
        <w:ind w:hanging="180" w:left="6480"/>
      </w:pPr>
    </w:lvl>
  </w:abstractNum>
  <w:abstractNum w:abstractNumId="1">
    <w:nsid w:val="22D56E1C"/>
    <w:multiLevelType w:val="multilevel"/>
    <w:tmpl w:val="CB12FE96"/>
    <w:lvl w:ilvl="0">
      <w:start w:val="1"/>
      <w:numFmt w:val="decimal"/>
      <w:lvlText w:val="%1)"/>
      <w:lvlJc w:val="left"/>
      <w:pPr>
        <w:ind w:hanging="360" w:left="720"/>
      </w:pPr>
    </w:lvl>
    <w:lvl w:ilvl="1">
      <w:start w:val="1"/>
      <w:numFmt w:val="lowerLetter"/>
      <w:lvlText w:val="%2."/>
      <w:lvlJc w:val="left"/>
      <w:pPr>
        <w:ind w:hanging="360" w:left="1440"/>
      </w:pPr>
    </w:lvl>
    <w:lvl w:ilvl="2">
      <w:start w:val="1"/>
      <w:numFmt w:val="lowerRoman"/>
      <w:lvlText w:val="%3."/>
      <w:lvlJc w:val="right"/>
      <w:pPr>
        <w:ind w:hanging="180" w:left="2160"/>
      </w:pPr>
    </w:lvl>
    <w:lvl w:ilvl="3">
      <w:start w:val="1"/>
      <w:numFmt w:val="decimal"/>
      <w:lvlText w:val="%4."/>
      <w:lvlJc w:val="left"/>
      <w:pPr>
        <w:ind w:hanging="360" w:left="2880"/>
      </w:pPr>
    </w:lvl>
    <w:lvl w:ilvl="4">
      <w:start w:val="1"/>
      <w:numFmt w:val="lowerLetter"/>
      <w:lvlText w:val="%5."/>
      <w:lvlJc w:val="left"/>
      <w:pPr>
        <w:ind w:hanging="360" w:left="3600"/>
      </w:pPr>
    </w:lvl>
    <w:lvl w:ilvl="5">
      <w:start w:val="1"/>
      <w:numFmt w:val="lowerRoman"/>
      <w:lvlText w:val="%6."/>
      <w:lvlJc w:val="right"/>
      <w:pPr>
        <w:ind w:hanging="180" w:left="4320"/>
      </w:pPr>
    </w:lvl>
    <w:lvl w:ilvl="6">
      <w:start w:val="1"/>
      <w:numFmt w:val="decimal"/>
      <w:lvlText w:val="%7."/>
      <w:lvlJc w:val="left"/>
      <w:pPr>
        <w:ind w:hanging="360" w:left="5040"/>
      </w:pPr>
    </w:lvl>
    <w:lvl w:ilvl="7">
      <w:start w:val="1"/>
      <w:numFmt w:val="lowerLetter"/>
      <w:lvlText w:val="%8."/>
      <w:lvlJc w:val="left"/>
      <w:pPr>
        <w:ind w:hanging="360" w:left="5760"/>
      </w:pPr>
    </w:lvl>
    <w:lvl w:ilvl="8">
      <w:start w:val="1"/>
      <w:numFmt w:val="lowerRoman"/>
      <w:lvlText w:val="%9."/>
      <w:lvlJc w:val="right"/>
      <w:pPr>
        <w:ind w:hanging="180" w:left="6480"/>
      </w:pPr>
    </w:lvl>
  </w:abstractNum>
  <w:abstractNum w:abstractNumId="2">
    <w:nsid w:val="359A1CB4"/>
    <w:multiLevelType w:val="multilevel"/>
    <w:tmpl w:val="960CB9A2"/>
    <w:lvl w:ilvl="0">
      <w:start w:val="1"/>
      <w:numFmt w:val="decimal"/>
      <w:lvlText w:val="%1."/>
      <w:lvlJc w:val="left"/>
      <w:pPr>
        <w:ind w:hanging="360" w:left="720"/>
      </w:pPr>
    </w:lvl>
    <w:lvl w:ilvl="1">
      <w:start w:val="1"/>
      <w:numFmt w:val="lowerLetter"/>
      <w:lvlText w:val="%2."/>
      <w:lvlJc w:val="left"/>
      <w:pPr>
        <w:ind w:hanging="360" w:left="1440"/>
      </w:pPr>
    </w:lvl>
    <w:lvl w:ilvl="2">
      <w:start w:val="1"/>
      <w:numFmt w:val="lowerRoman"/>
      <w:lvlText w:val="%3."/>
      <w:lvlJc w:val="right"/>
      <w:pPr>
        <w:ind w:hanging="180" w:left="2160"/>
      </w:pPr>
    </w:lvl>
    <w:lvl w:ilvl="3">
      <w:start w:val="1"/>
      <w:numFmt w:val="decimal"/>
      <w:lvlText w:val="%4."/>
      <w:lvlJc w:val="left"/>
      <w:pPr>
        <w:ind w:hanging="360" w:left="2880"/>
      </w:pPr>
    </w:lvl>
    <w:lvl w:ilvl="4">
      <w:start w:val="1"/>
      <w:numFmt w:val="lowerLetter"/>
      <w:lvlText w:val="%5."/>
      <w:lvlJc w:val="left"/>
      <w:pPr>
        <w:ind w:hanging="360" w:left="3600"/>
      </w:pPr>
    </w:lvl>
    <w:lvl w:ilvl="5">
      <w:start w:val="1"/>
      <w:numFmt w:val="lowerRoman"/>
      <w:lvlText w:val="%6."/>
      <w:lvlJc w:val="right"/>
      <w:pPr>
        <w:ind w:hanging="180" w:left="4320"/>
      </w:pPr>
    </w:lvl>
    <w:lvl w:ilvl="6">
      <w:start w:val="1"/>
      <w:numFmt w:val="decimal"/>
      <w:lvlText w:val="%7."/>
      <w:lvlJc w:val="left"/>
      <w:pPr>
        <w:ind w:hanging="360" w:left="5040"/>
      </w:pPr>
    </w:lvl>
    <w:lvl w:ilvl="7">
      <w:start w:val="1"/>
      <w:numFmt w:val="lowerLetter"/>
      <w:lvlText w:val="%8."/>
      <w:lvlJc w:val="left"/>
      <w:pPr>
        <w:ind w:hanging="360" w:left="5760"/>
      </w:pPr>
    </w:lvl>
    <w:lvl w:ilvl="8">
      <w:start w:val="1"/>
      <w:numFmt w:val="lowerRoman"/>
      <w:lvlText w:val="%9."/>
      <w:lvlJc w:val="right"/>
      <w:pPr>
        <w:ind w:hanging="180" w:left="6480"/>
      </w:pPr>
    </w:lvl>
  </w:abstractNum>
  <w:abstractNum w:abstractNumId="3">
    <w:nsid w:val="3E88204A"/>
    <w:multiLevelType w:val="multilevel"/>
    <w:tmpl w:val="FAE4CABC"/>
    <w:lvl w:ilvl="0">
      <w:start w:val="1"/>
      <w:numFmt w:val="decimal"/>
      <w:lvlText w:val="%1."/>
      <w:lvlJc w:val="left"/>
      <w:pPr>
        <w:ind w:hanging="360" w:left="720"/>
      </w:pPr>
    </w:lvl>
    <w:lvl w:ilvl="1">
      <w:start w:val="1"/>
      <w:numFmt w:val="lowerLetter"/>
      <w:lvlText w:val="%2."/>
      <w:lvlJc w:val="left"/>
      <w:pPr>
        <w:ind w:hanging="360" w:left="1440"/>
      </w:pPr>
    </w:lvl>
    <w:lvl w:ilvl="2">
      <w:start w:val="1"/>
      <w:numFmt w:val="lowerRoman"/>
      <w:lvlText w:val="%3."/>
      <w:lvlJc w:val="right"/>
      <w:pPr>
        <w:ind w:hanging="180" w:left="2160"/>
      </w:pPr>
    </w:lvl>
    <w:lvl w:ilvl="3">
      <w:start w:val="1"/>
      <w:numFmt w:val="decimal"/>
      <w:lvlText w:val="%4."/>
      <w:lvlJc w:val="left"/>
      <w:pPr>
        <w:ind w:hanging="360" w:left="2880"/>
      </w:pPr>
    </w:lvl>
    <w:lvl w:ilvl="4">
      <w:start w:val="1"/>
      <w:numFmt w:val="lowerLetter"/>
      <w:lvlText w:val="%5."/>
      <w:lvlJc w:val="left"/>
      <w:pPr>
        <w:ind w:hanging="360" w:left="3600"/>
      </w:pPr>
    </w:lvl>
    <w:lvl w:ilvl="5">
      <w:start w:val="1"/>
      <w:numFmt w:val="lowerRoman"/>
      <w:lvlText w:val="%6."/>
      <w:lvlJc w:val="right"/>
      <w:pPr>
        <w:ind w:hanging="180" w:left="4320"/>
      </w:pPr>
    </w:lvl>
    <w:lvl w:ilvl="6">
      <w:start w:val="1"/>
      <w:numFmt w:val="decimal"/>
      <w:lvlText w:val="%7."/>
      <w:lvlJc w:val="left"/>
      <w:pPr>
        <w:ind w:hanging="360" w:left="5040"/>
      </w:pPr>
    </w:lvl>
    <w:lvl w:ilvl="7">
      <w:start w:val="1"/>
      <w:numFmt w:val="lowerLetter"/>
      <w:lvlText w:val="%8."/>
      <w:lvlJc w:val="left"/>
      <w:pPr>
        <w:ind w:hanging="360" w:left="5760"/>
      </w:pPr>
    </w:lvl>
    <w:lvl w:ilvl="8">
      <w:start w:val="1"/>
      <w:numFmt w:val="lowerRoman"/>
      <w:lvlText w:val="%9."/>
      <w:lvlJc w:val="right"/>
      <w:pPr>
        <w:ind w:hanging="180" w:left="6480"/>
      </w:pPr>
    </w:lvl>
  </w:abstractNum>
  <w:abstractNum w:abstractNumId="4">
    <w:nsid w:val="547A0707"/>
    <w:multiLevelType w:val="multilevel"/>
    <w:tmpl w:val="6B087920"/>
    <w:lvl w:ilvl="0">
      <w:start w:val="1"/>
      <w:numFmt w:val="upperRoman"/>
      <w:lvlText w:val="%1."/>
      <w:lvlJc w:val="left"/>
      <w:pPr>
        <w:ind w:hanging="720" w:left="1080"/>
      </w:pPr>
    </w:lvl>
    <w:lvl w:ilvl="1">
      <w:start w:val="1"/>
      <w:numFmt w:val="lowerLetter"/>
      <w:lvlText w:val="%2."/>
      <w:lvlJc w:val="left"/>
      <w:pPr>
        <w:ind w:hanging="360" w:left="1440"/>
      </w:pPr>
    </w:lvl>
    <w:lvl w:ilvl="2">
      <w:start w:val="1"/>
      <w:numFmt w:val="lowerRoman"/>
      <w:lvlText w:val="%3."/>
      <w:lvlJc w:val="right"/>
      <w:pPr>
        <w:ind w:hanging="180" w:left="2160"/>
      </w:pPr>
    </w:lvl>
    <w:lvl w:ilvl="3">
      <w:start w:val="1"/>
      <w:numFmt w:val="decimal"/>
      <w:lvlText w:val="%4."/>
      <w:lvlJc w:val="left"/>
      <w:pPr>
        <w:ind w:hanging="360" w:left="2880"/>
      </w:pPr>
    </w:lvl>
    <w:lvl w:ilvl="4">
      <w:start w:val="1"/>
      <w:numFmt w:val="lowerLetter"/>
      <w:lvlText w:val="%5."/>
      <w:lvlJc w:val="left"/>
      <w:pPr>
        <w:ind w:hanging="360" w:left="3600"/>
      </w:pPr>
    </w:lvl>
    <w:lvl w:ilvl="5">
      <w:start w:val="1"/>
      <w:numFmt w:val="lowerRoman"/>
      <w:lvlText w:val="%6."/>
      <w:lvlJc w:val="right"/>
      <w:pPr>
        <w:ind w:hanging="180" w:left="4320"/>
      </w:pPr>
    </w:lvl>
    <w:lvl w:ilvl="6">
      <w:start w:val="1"/>
      <w:numFmt w:val="decimal"/>
      <w:lvlText w:val="%7."/>
      <w:lvlJc w:val="left"/>
      <w:pPr>
        <w:ind w:hanging="360" w:left="5040"/>
      </w:pPr>
    </w:lvl>
    <w:lvl w:ilvl="7">
      <w:start w:val="1"/>
      <w:numFmt w:val="lowerLetter"/>
      <w:lvlText w:val="%8."/>
      <w:lvlJc w:val="left"/>
      <w:pPr>
        <w:ind w:hanging="360" w:left="5760"/>
      </w:pPr>
    </w:lvl>
    <w:lvl w:ilvl="8">
      <w:start w:val="1"/>
      <w:numFmt w:val="lowerRoman"/>
      <w:lvlText w:val="%9."/>
      <w:lvlJc w:val="right"/>
      <w:pPr>
        <w:ind w:hanging="180" w:left="6480"/>
      </w:pPr>
    </w:lvl>
  </w:abstractNum>
  <w:num w:numId="1">
    <w:abstractNumId w:val="4"/>
  </w:num>
  <w:num w:numId="2">
    <w:abstractNumId w:val="4"/>
    <w:lvlOverride w:ilvl="0">
      <w:startOverride w:val="1"/>
    </w:lvlOverride>
  </w:num>
  <w:num w:numId="3">
    <w:abstractNumId w:val="3"/>
  </w:num>
  <w:num w:numId="4">
    <w:abstractNumId w:val="3"/>
    <w:lvlOverride w:ilvl="0">
      <w:startOverride w:val="1"/>
    </w:lvlOverride>
  </w:num>
  <w:num w:numId="5">
    <w:abstractNumId w:val="1"/>
  </w:num>
  <w:num w:numId="6">
    <w:abstractNumId w:val="1"/>
    <w:lvlOverride w:ilvl="0">
      <w:startOverride w:val="1"/>
    </w:lvlOverride>
  </w:num>
  <w:num w:numId="7">
    <w:abstractNumId w:val="0"/>
  </w:num>
  <w:num w:numId="8">
    <w:abstractNumId w:val="0"/>
    <w:lvlOverride w:ilvl="0">
      <w:startOverride w:val="1"/>
    </w:lvlOverride>
  </w:num>
  <w:num w:numId="9">
    <w:abstractNumId w:val="2"/>
  </w:num>
  <w:num w:numId="10">
    <w:abstractNumId w:val="2"/>
    <w:lvlOverride w:ilvl="0">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
  <w:rsids>
    <w:rsidRoot w:val="0009389C"/>
    <w:rsid w:val="0009389C"/>
    <w:rsid w:val="003976B4"/>
    <w:rsid w:val="00704A74"/>
    <w:rsid w:val="00B12E0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bri" w:ascii="Calibri"/>
        <w:sz w:val="22"/>
        <w:szCs w:val="22"/>
        <w:lang w:bidi="ar-SA" w:eastAsia="en-US" w:val="hr-HR"/>
      </w:rPr>
    </w:rPrDefault>
    <w:pPrDefault>
      <w:pPr>
        <w:autoSpaceDN w:val="false"/>
        <w:spacing w:lineRule="auto" w:line="251" w:after="160"/>
        <w:textAlignment w:val="baseline"/>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pPr>
      <w:suppressAutoHyphens/>
      <w:spacing w:lineRule="auto" w:line="240"/>
    </w:p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pPr>
      <w:ind w:left="720"/>
    </w:pPr>
  </w:style>
  <w:style w:styleId="Zaglavlje" w:type="paragraph">
    <w:name w:val="header"/>
    <w:basedOn w:val="Normal"/>
    <w:pPr>
      <w:tabs>
        <w:tab w:pos="4536" w:val="center"/>
        <w:tab w:pos="9072" w:val="right"/>
      </w:tabs>
      <w:spacing w:after="0"/>
    </w:pPr>
  </w:style>
  <w:style w:customStyle="true" w:styleId="ZaglavljeChar" w:type="character">
    <w:name w:val="Zaglavlje Char"/>
    <w:basedOn w:val="Zadanifontodlomka"/>
  </w:style>
  <w:style w:styleId="Podnoje" w:type="paragraph">
    <w:name w:val="footer"/>
    <w:basedOn w:val="Normal"/>
    <w:pPr>
      <w:tabs>
        <w:tab w:pos="4536" w:val="center"/>
        <w:tab w:pos="9072" w:val="right"/>
      </w:tabs>
      <w:spacing w:after="0"/>
    </w:pPr>
  </w:style>
  <w:style w:customStyle="true" w:styleId="PodnojeChar" w:type="character">
    <w:name w:val="Podnožje Char"/>
    <w:basedOn w:val="Zadanifontodlomka"/>
  </w:style>
  <w:style w:styleId="Tekstrezerviranogmjesta" w:type="character">
    <w:name w:val="Placeholder Text"/>
    <w:basedOn w:val="Zadanifontodlomka"/>
    <w:uiPriority w:val="99"/>
    <w:semiHidden/>
    <w:rsid w:val="00704A74"/>
    <w:rPr>
      <w:color w:val="808080"/>
      <w:bdr w:space="0" w:sz="0" w:color="auto" w:val="none"/>
      <w:shd w:fill="auto" w:color="auto" w:val="clear"/>
    </w:rPr>
  </w:style>
  <w:style w:customStyle="true" w:styleId="eSPISCCParagraphDefaultFont" w:type="character">
    <w:name w:val="eSPIS_CC_Paragraph Default Font"/>
    <w:basedOn w:val="Zadanifontodlomka"/>
    <w:rsid w:val="00704A7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04A74"/>
    <w:rPr>
      <w:rFonts w:cs="Arial" w:hAnsi="Arial" w:ascii="Arial"/>
      <w:bdr w:space="0" w:sz="0" w:color="auto" w:val="none"/>
      <w:shd w:fill="FFFFCC" w:color="auto" w:val="clear"/>
      <w:lang w:val="hr-HR"/>
    </w:rPr>
  </w:style>
  <w:style w:customStyle="true" w:styleId="PozadinaSvijetloCrvena" w:type="character">
    <w:name w:val="Pozadina_SvijetloCrvena"/>
    <w:basedOn w:val="eSPISCCParagraphDefaultFont"/>
    <w:rsid w:val="00704A74"/>
    <w:rPr>
      <w:rFonts w:cs="Arial" w:hAnsi="Arial" w:ascii="Arial"/>
      <w:sz w:val="24"/>
      <w:bdr w:space="0" w:sz="0" w:color="auto" w:val="none"/>
      <w:shd w:fill="FFCCCC" w:color="auto" w:val="clear"/>
      <w:lang w:val="hr-HR"/>
    </w:rPr>
  </w:style>
  <w:style w:customStyle="true" w:styleId="PozadinaSvijetloZelena" w:type="character">
    <w:name w:val="Pozadina_SvijetloZelena"/>
    <w:basedOn w:val="eSPISCCParagraphDefaultFont"/>
    <w:rsid w:val="00704A74"/>
    <w:rPr>
      <w:rFonts w:cs="Arial" w:hAnsi="Arial" w:ascii="Arial"/>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bri" w:cs="Times New Roman" w:eastAsia="Calibri" w:hAnsi="Calibri"/>
        <w:sz w:val="22"/>
        <w:szCs w:val="22"/>
        <w:lang w:bidi="ar-SA" w:eastAsia="en-US" w:val="hr-HR"/>
      </w:rPr>
    </w:rPrDefault>
    <w:pPrDefault>
      <w:pPr>
        <w:autoSpaceDN w:val="0"/>
        <w:spacing w:after="160" w:line="251" w:lineRule="auto"/>
        <w:textAlignment w:val="baseline"/>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pPr>
      <w:suppressAutoHyphens/>
      <w:spacing w:line="240" w:lineRule="auto"/>
    </w:p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pPr>
      <w:ind w:left="720"/>
    </w:pPr>
  </w:style>
  <w:style w:styleId="Zaglavlje" w:type="paragraph">
    <w:name w:val="header"/>
    <w:basedOn w:val="Normal"/>
    <w:pPr>
      <w:tabs>
        <w:tab w:pos="4536" w:val="center"/>
        <w:tab w:pos="9072" w:val="right"/>
      </w:tabs>
      <w:spacing w:after="0"/>
    </w:pPr>
  </w:style>
  <w:style w:customStyle="1" w:styleId="ZaglavljeChar" w:type="character">
    <w:name w:val="Zaglavlje Char"/>
    <w:basedOn w:val="Zadanifontodlomka"/>
  </w:style>
  <w:style w:styleId="Podnoje" w:type="paragraph">
    <w:name w:val="footer"/>
    <w:basedOn w:val="Normal"/>
    <w:pPr>
      <w:tabs>
        <w:tab w:pos="4536" w:val="center"/>
        <w:tab w:pos="9072" w:val="right"/>
      </w:tabs>
      <w:spacing w:after="0"/>
    </w:pPr>
  </w:style>
  <w:style w:customStyle="1" w:styleId="PodnojeChar" w:type="character">
    <w:name w:val="Podnožje Char"/>
    <w:basedOn w:val="Zadanifontodlomka"/>
  </w:style>
  <w:style w:styleId="Tekstrezerviranogmjesta" w:type="character">
    <w:name w:val="Placeholder Text"/>
    <w:basedOn w:val="Zadanifontodlomka"/>
    <w:uiPriority w:val="99"/>
    <w:semiHidden/>
    <w:rsid w:val="00704A74"/>
    <w:rPr>
      <w:color w:val="808080"/>
      <w:bdr w:color="auto" w:space="0" w:sz="0" w:val="none"/>
      <w:shd w:color="auto" w:fill="auto" w:val="clear"/>
    </w:rPr>
  </w:style>
  <w:style w:customStyle="1" w:styleId="eSPISCCParagraphDefaultFont" w:type="character">
    <w:name w:val="eSPIS_CC_Paragraph Default Font"/>
    <w:basedOn w:val="Zadanifontodlomka"/>
    <w:rsid w:val="00704A7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04A74"/>
    <w:rPr>
      <w:rFonts w:ascii="Arial" w:cs="Arial" w:hAnsi="Arial"/>
      <w:bdr w:color="auto" w:space="0" w:sz="0" w:val="none"/>
      <w:shd w:color="auto" w:fill="FFFFCC" w:val="clear"/>
      <w:lang w:val="hr-HR"/>
    </w:rPr>
  </w:style>
  <w:style w:customStyle="1" w:styleId="PozadinaSvijetloCrvena" w:type="character">
    <w:name w:val="Pozadina_SvijetloCrvena"/>
    <w:basedOn w:val="eSPISCCParagraphDefaultFont"/>
    <w:rsid w:val="00704A74"/>
    <w:rPr>
      <w:rFonts w:ascii="Arial" w:cs="Arial" w:hAnsi="Arial"/>
      <w:sz w:val="24"/>
      <w:bdr w:color="auto" w:space="0" w:sz="0" w:val="none"/>
      <w:shd w:color="auto" w:fill="FFCCCC" w:val="clear"/>
      <w:lang w:val="hr-HR"/>
    </w:rPr>
  </w:style>
  <w:style w:customStyle="1" w:styleId="PozadinaSvijetloZelena" w:type="character">
    <w:name w:val="Pozadina_SvijetloZelena"/>
    <w:basedOn w:val="eSPISCCParagraphDefaultFont"/>
    <w:rsid w:val="00704A74"/>
    <w:rPr>
      <w:rFonts w:ascii="Arial" w:cs="Arial" w:hAnsi="Arial"/>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854</properties:Words>
  <properties:Characters>4866</properties:Characters>
  <properties:Lines>105</properties:Lines>
  <properties:Paragraphs>47</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6111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2019-01-29T08:40:00Z</dcterms:created>
  <dc:creator>Ivica Boltužić</dc:creator>
  <cp:lastModifiedBy>Monika Grbac</cp:lastModifiedBy>
  <dcterms:modified xmlns:xsi="http://www.w3.org/2001/XMLSchema-instance" xsi:type="dcterms:W3CDTF">2019-01-29T08:40:00Z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St-4710/2016-72 / Podnesak - Izvješće stečajnog upravitelja (izvješće 25.1.19.docx)</vt:lpwstr>
  </prop:property>
  <prop:property name="CC_coloring" pid="4" fmtid="{D5CDD505-2E9C-101B-9397-08002B2CF9AE}">
    <vt:bool>false</vt:bool>
  </prop:property>
  <prop:property name="BrojStranica" pid="5" fmtid="{D5CDD505-2E9C-101B-9397-08002B2CF9AE}">
    <vt:i4>3</vt:i4>
  </prop:property>
</prop:Properties>
</file>