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6488a" w14:paraId="b36488a" w:rsidRDefault="00BF30CF" w:rsidP="00BF30CF" w:rsidR="00BF30CF">
      <w:pPr>
        <w:jc w:val="right"/>
        <w15:collapsed w:val="false"/>
      </w:pPr>
      <w:r>
        <w:t>Broj: 6 St-</w:t>
      </w:r>
      <w:r w:rsidR="006D3D49">
        <w:t>773</w:t>
      </w:r>
      <w:r w:rsidR="00C15A9A">
        <w:t>/16-</w:t>
      </w:r>
      <w:r w:rsidR="00AB554F">
        <w:t>12</w:t>
      </w:r>
    </w:p>
    <w:p w:rsidRDefault="00910E67" w:rsidP="00910E67" w:rsidR="00910E67">
      <w:r>
        <w:rPr>
          <w:rStyle w:val="Naglaeno"/>
        </w:rPr>
        <w:t xml:space="preserve">             </w:t>
      </w:r>
      <w:r w:rsidR="00E124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rsidRPr="00910E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F30CF" w:rsidP="00BF30CF" w:rsidR="00BF30CF">
      <w:pPr>
        <w:jc w:val="center"/>
      </w:pPr>
    </w:p>
    <w:p w:rsidRDefault="00A371A9" w:rsidP="00BF30CF" w:rsidR="00BF30CF">
      <w:pPr>
        <w:jc w:val="center"/>
      </w:pPr>
      <w:r>
        <w:t>U IME REPUBLIKE HRVATSKE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w:t>
      </w:r>
      <w:r w:rsidR="003A330C" w:rsidRPr="003A330C">
        <w:t>predlagatelja</w:t>
      </w:r>
      <w:r w:rsidR="00F01EE1">
        <w:t xml:space="preserve"> </w:t>
      </w:r>
      <w:r w:rsidR="00AB554F">
        <w:t xml:space="preserve">Financijska agencija OIB: 85821130368, Regionalni centar Osijek. Podružnica Osijek, L. </w:t>
      </w:r>
      <w:proofErr w:type="spellStart"/>
      <w:r w:rsidR="00AB554F">
        <w:t>Jagera</w:t>
      </w:r>
      <w:proofErr w:type="spellEnd"/>
      <w:r w:rsidR="00AB554F">
        <w:t xml:space="preserve"> 3, Osijek, za otvaranje stečajnog postupka nad dužnikom </w:t>
      </w:r>
      <w:r w:rsidR="00AB554F">
        <w:rPr>
          <w:b/>
        </w:rPr>
        <w:t>DRAGUN d.o.o., Otok, Zrinski-Frankopana 58, MBS: 030035717</w:t>
      </w:r>
      <w:r w:rsidR="00AB554F">
        <w:t xml:space="preserve">, </w:t>
      </w:r>
      <w:r w:rsidR="00AB554F">
        <w:rPr>
          <w:b/>
        </w:rPr>
        <w:t>OIB: 55692992124</w:t>
      </w:r>
      <w:r w:rsidRPr="00D14516">
        <w:t>,</w:t>
      </w:r>
      <w:r>
        <w:t xml:space="preserve"> dana </w:t>
      </w:r>
      <w:r w:rsidR="00AB554F">
        <w:t>13. ožujka</w:t>
      </w:r>
      <w:r w:rsidR="00D9130C">
        <w:t xml:space="preserve"> 2017</w:t>
      </w:r>
      <w:r w:rsidR="002859AC">
        <w:t>. g.,</w:t>
      </w:r>
    </w:p>
    <w:p w:rsidRDefault="00324E7F" w:rsidP="00324E7F" w:rsidR="00324E7F">
      <w:pPr>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AB554F">
        <w:rPr>
          <w:b/>
        </w:rPr>
        <w:t>DRAGUN d.o.o., Otok, Zrinski-Frankopana 58, MBS: 030035717</w:t>
      </w:r>
      <w:r w:rsidR="00AB554F">
        <w:t xml:space="preserve">, </w:t>
      </w:r>
      <w:r w:rsidR="00AB554F">
        <w:rPr>
          <w:b/>
        </w:rPr>
        <w:t>OIB: 55692992124</w:t>
      </w:r>
      <w:r w:rsidR="00D9130C">
        <w:rPr>
          <w:b/>
        </w:rPr>
        <w:t>.</w:t>
      </w:r>
    </w:p>
    <w:p w:rsidRDefault="00816867" w:rsidP="00BA7BA2" w:rsidR="00816867">
      <w:pPr>
        <w:ind w:left="1080"/>
        <w:jc w:val="center"/>
        <w:rPr>
          <w:b/>
        </w:rPr>
      </w:pPr>
    </w:p>
    <w:p w:rsidRDefault="00324E7F" w:rsidP="00ED72C6" w:rsidR="00ED72C6">
      <w:pPr>
        <w:numPr>
          <w:ilvl w:val="0"/>
          <w:numId w:val="11"/>
        </w:numPr>
        <w:jc w:val="both"/>
        <w:rPr>
          <w:b/>
        </w:rPr>
      </w:pPr>
      <w:r w:rsidRPr="00E33447">
        <w:t>Za stečajnog upravitelja određuje se</w:t>
      </w:r>
      <w:r w:rsidR="004D6DB6" w:rsidRPr="00816867">
        <w:t xml:space="preserve"> </w:t>
      </w:r>
      <w:r w:rsidR="00AB554F">
        <w:rPr>
          <w:b/>
        </w:rPr>
        <w:t>Sanda Marinac, Požega, K. Krešimira 53, OIB: 01875522309</w:t>
      </w:r>
      <w:r w:rsidR="002526D3">
        <w:rPr>
          <w:b/>
        </w:rPr>
        <w:t>.</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AB554F">
        <w:rPr>
          <w:b/>
        </w:rPr>
        <w:t>DRAGUN d.o.o., Otok, Zrinski-Frankopana 58, MBS: 030035717</w:t>
      </w:r>
      <w:r w:rsidR="00AB554F">
        <w:t xml:space="preserve">, </w:t>
      </w:r>
      <w:r w:rsidR="00AB554F">
        <w:rPr>
          <w:b/>
        </w:rPr>
        <w:t>OIB: 55692992124</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D9130C" w:rsidP="00D9130C" w:rsidR="00D9130C"/>
    <w:p w:rsidRDefault="003A330C" w:rsidP="00D9130C" w:rsidR="003A330C">
      <w:pPr>
        <w:numPr>
          <w:ilvl w:val="0"/>
          <w:numId w:val="11"/>
        </w:numPr>
        <w:jc w:val="both"/>
      </w:pPr>
      <w:r>
        <w:t>Obvezuj</w:t>
      </w:r>
      <w:r w:rsidR="00C15A9A">
        <w:t>e</w:t>
      </w:r>
      <w:r>
        <w:t xml:space="preserve"> se </w:t>
      </w:r>
      <w:proofErr w:type="spellStart"/>
      <w:r>
        <w:t>z.z</w:t>
      </w:r>
      <w:proofErr w:type="spellEnd"/>
      <w:r>
        <w:t xml:space="preserve">. dužnika </w:t>
      </w:r>
      <w:r w:rsidR="00AB554F">
        <w:rPr>
          <w:b/>
        </w:rPr>
        <w:t xml:space="preserve">Mijo Dragun, OIB: 11220511920, Otok, Zrinski-Frankopana 58 </w:t>
      </w:r>
      <w:r>
        <w:t>da u spis dostav</w:t>
      </w:r>
      <w:r w:rsidR="00C15A9A">
        <w:t>i</w:t>
      </w:r>
      <w:r>
        <w:t xml:space="preserve"> Zapisnik iz kojeg je razvidno da je izvršeno arhiviranje poslovne dokumentacije, u roku od 15 dana od dana primitka ovog rješenja (Zakon o arhivskom gradivu i arhivama NN 105/97) te da isti, potpisan dostavi u spis, pod zakonskim posljedicama.</w:t>
      </w:r>
    </w:p>
    <w:p w:rsidRDefault="00AB554F" w:rsidP="00AB554F" w:rsidR="00AB554F"/>
    <w:p w:rsidRDefault="00AB554F" w:rsidP="00AB554F" w:rsidR="00AB554F">
      <w:pPr>
        <w:numPr>
          <w:ilvl w:val="0"/>
          <w:numId w:val="11"/>
        </w:numPr>
        <w:jc w:val="both"/>
      </w:pPr>
      <w:r>
        <w:t>Nalaže se FINI da naloži banci prijenos zaplijenjenoga iznosa predujma na račun Trgovačkog suda u Osijeku broj HR31 2390 0011 3000 0020 0 model HR05 272-</w:t>
      </w:r>
      <w:r>
        <w:rPr>
          <w:b/>
        </w:rPr>
        <w:t>997-16</w:t>
      </w:r>
      <w:r>
        <w:t xml:space="preserve"> i obustavi daljnju pljenidbu do iznosa iz st. 1 čl. 112 Stečajnog zakona (NN 105/15) ako iznos predujma nije zaplijenjen u cijelosti.</w:t>
      </w:r>
    </w:p>
    <w:p w:rsidRDefault="00AB554F" w:rsidP="00AB554F" w:rsidR="00AB554F">
      <w:pPr>
        <w:ind w:left="1080"/>
        <w:jc w:val="both"/>
      </w:pPr>
    </w:p>
    <w:p w:rsidRDefault="00243617" w:rsidP="00243617" w:rsidR="00243617">
      <w:pPr>
        <w:jc w:val="both"/>
      </w:pPr>
    </w:p>
    <w:p w:rsidRDefault="00324E7F" w:rsidP="004A2B09" w:rsidR="007D7E9A">
      <w:pPr>
        <w:jc w:val="center"/>
      </w:pPr>
      <w:r w:rsidRPr="00B162A4">
        <w:t>Obrazloženje</w:t>
      </w:r>
    </w:p>
    <w:p w:rsidRDefault="004A2B09" w:rsidP="004A2B09" w:rsidR="004A2B09" w:rsidRPr="004A2B09">
      <w:pPr>
        <w:jc w:val="center"/>
      </w:pPr>
    </w:p>
    <w:p w:rsidRDefault="006D3D49" w:rsidP="006D3D49" w:rsidR="006D3D49">
      <w:pPr>
        <w:ind w:firstLine="720"/>
        <w:jc w:val="both"/>
      </w:pPr>
      <w:r>
        <w:t xml:space="preserve">Predlagatelj –FINA RC Osijek je dana 30. ožujka. g. podnio prijedlog za otvaranje stečajnog postupka nad dužnikom </w:t>
      </w:r>
      <w:r>
        <w:rPr>
          <w:b/>
        </w:rPr>
        <w:t>DRAGUN d.o.o., Otok, Zrinski-Frankopana 58, MBS: 030035717</w:t>
      </w:r>
      <w:r>
        <w:t xml:space="preserve">, </w:t>
      </w:r>
      <w:r>
        <w:rPr>
          <w:b/>
        </w:rPr>
        <w:t xml:space="preserve">OIB: 55692992124 </w:t>
      </w:r>
      <w:r>
        <w:t>navodeći da na dan 1. rujan 2015. g. u Očevidniku redoslijeda osnova za plaćanje ima evidentirane neizvršene osnove za plaćanje u ukupnom iznosu od 61.748,70 kn u neprekidnom razdoblju od 1794 dana.</w:t>
      </w:r>
    </w:p>
    <w:p w:rsidRDefault="006D3D49" w:rsidP="006D3D49" w:rsidR="006D3D49">
      <w:pPr>
        <w:ind w:firstLine="720"/>
        <w:jc w:val="both"/>
      </w:pPr>
    </w:p>
    <w:p w:rsidRDefault="006D3D49" w:rsidP="006D3D49" w:rsidR="006D3D49">
      <w:pPr>
        <w:ind w:firstLine="720"/>
        <w:jc w:val="both"/>
      </w:pPr>
      <w:r>
        <w:t>Rješenjem Trgovačkog suda u Osijeku broj St-773/16 od 5. prosinca 2016. g. pokrenut je prethodni postupak radi utvrđivanja uvjeta za otvaranje stečajnog postupka nad dužnikom a za privremenu stečajnu upraviteljicu imenovana je Sanda Marinac, automatskim odabirom te je istoj naloženo da u roku od 30 dana od dana primitka rješenja dostavi izvješće o financijsko-gospodarskom stanju stečajnog dužnika s popratnom materijalnom dokumentacijom.</w:t>
      </w:r>
    </w:p>
    <w:p w:rsidRDefault="006D3D49" w:rsidP="006D3D49" w:rsidR="006D3D49">
      <w:pPr>
        <w:ind w:firstLine="720"/>
        <w:jc w:val="both"/>
      </w:pPr>
    </w:p>
    <w:p w:rsidRDefault="006D3D49" w:rsidP="006D3D49" w:rsidR="006D3D49">
      <w:pPr>
        <w:ind w:firstLine="720"/>
        <w:jc w:val="both"/>
      </w:pPr>
      <w:r>
        <w:t>Iz izvješća privremene stečajne upraviteljice od 7.1.2017. g. proizlazi slijedeće:</w:t>
      </w:r>
    </w:p>
    <w:p w:rsidRDefault="006D3D49" w:rsidP="006D3D49" w:rsidR="006D3D49">
      <w:pPr>
        <w:ind w:firstLine="720"/>
        <w:jc w:val="both"/>
      </w:pPr>
    </w:p>
    <w:p w:rsidRDefault="006D3D49" w:rsidP="006D3D49" w:rsidR="006D3D49">
      <w:pPr>
        <w:jc w:val="both"/>
      </w:pPr>
      <w:r>
        <w:t xml:space="preserve">Dužnik je u razdoblju 2014.-2015. godine poslovao sa gubitkom, te je ostvarivao ukupne prihode od </w:t>
      </w:r>
      <w:proofErr w:type="spellStart"/>
      <w:r>
        <w:t>cca</w:t>
      </w:r>
      <w:proofErr w:type="spellEnd"/>
      <w:r>
        <w:t xml:space="preserve"> 30.000 kuna. Blokada žiro računa je dužniku onemogućila daljnje poslovanje, te zbog nedostatka obrtnih sredstava nije mogao obavljati djelatnost. Dužnik već duže razdoblje ne obavlja registrirane djelatnosti jer je u srpnju 2013. godine zatvorio poslovni žiro-račun.</w:t>
      </w:r>
    </w:p>
    <w:p w:rsidRDefault="006D3D49" w:rsidP="006D3D49" w:rsidR="006D3D49">
      <w:pPr>
        <w:jc w:val="both"/>
        <w:rPr>
          <w:color w:val="FF0000"/>
        </w:rPr>
      </w:pPr>
    </w:p>
    <w:p w:rsidRDefault="006D3D49" w:rsidP="006D3D49" w:rsidR="006D3D49">
      <w:pPr>
        <w:jc w:val="both"/>
      </w:pPr>
      <w:r>
        <w:t xml:space="preserve">Prema popisu opreme na dan 30.11.2016. godine dužnik posjeduje opremu za ugostiteljstvo koja je stara oko 13 godina i koja nema tržišnu vrijednost: 1 hladnjak, 20 stolica, oprema lokala o kotao cm eko </w:t>
      </w:r>
      <w:proofErr w:type="spellStart"/>
      <w:r>
        <w:t>ckb</w:t>
      </w:r>
      <w:proofErr w:type="spellEnd"/>
      <w:r>
        <w:t>-50.</w:t>
      </w:r>
    </w:p>
    <w:p w:rsidRDefault="006D3D49" w:rsidP="006D3D49" w:rsidR="006D3D49">
      <w:pPr>
        <w:jc w:val="both"/>
      </w:pPr>
      <w:r>
        <w:t>Dužnik  na dan 30.11.2016. nema evidentiranih potraživanja od kupaca niti obveze prema dobavljačima.</w:t>
      </w:r>
    </w:p>
    <w:p w:rsidRDefault="006D3D49" w:rsidP="006D3D49" w:rsidR="006D3D49">
      <w:pPr>
        <w:jc w:val="both"/>
      </w:pPr>
      <w:r>
        <w:t>Prema uvjerenju  MUP-a dužnik nije evidentiran kao vlasnik vozila.</w:t>
      </w:r>
    </w:p>
    <w:p w:rsidRDefault="006D3D49" w:rsidP="006D3D49" w:rsidR="006D3D49">
      <w:pPr>
        <w:jc w:val="both"/>
      </w:pPr>
      <w:r>
        <w:t>Prema potvrdi Općinskog suda u Vukovaru, Zemljišno knjižnog odjela u Vinkovcima,  dužnik nije vlasnik nad nekretninama na području ovoga zemljišnoknjižnoga odjela.</w:t>
      </w:r>
    </w:p>
    <w:p w:rsidRDefault="006D3D49" w:rsidP="006D3D49" w:rsidR="006D3D49">
      <w:pPr>
        <w:jc w:val="both"/>
      </w:pPr>
    </w:p>
    <w:p w:rsidRDefault="006D3D49" w:rsidP="005F2A6C" w:rsidR="006D3D49">
      <w:pPr>
        <w:jc w:val="both"/>
        <w:rPr>
          <w:b/>
        </w:rPr>
      </w:pPr>
    </w:p>
    <w:p w:rsidRDefault="006D3D49" w:rsidP="006D3D49" w:rsidR="006D3D49">
      <w:pPr>
        <w:jc w:val="both"/>
      </w:pPr>
      <w:r>
        <w:t xml:space="preserve">Potvrdu o blokadi računa i novčanih sredstava </w:t>
      </w:r>
      <w:proofErr w:type="spellStart"/>
      <w:r>
        <w:t>ovršenika</w:t>
      </w:r>
      <w:proofErr w:type="spellEnd"/>
      <w:r>
        <w:t xml:space="preserve"> na dan 19.12.2016. godine  izdala je FINA kako slijedi:</w:t>
      </w:r>
    </w:p>
    <w:p w:rsidRDefault="006D3D49" w:rsidP="006D3D49" w:rsidR="006D3D49">
      <w:pPr>
        <w:numPr>
          <w:ilvl w:val="0"/>
          <w:numId w:val="24"/>
        </w:numPr>
        <w:jc w:val="both"/>
      </w:pPr>
      <w:r>
        <w:t>izn</w:t>
      </w:r>
      <w:r>
        <w:rPr>
          <w:b/>
        </w:rPr>
        <w:t>os evidentiranih nepodmirenih obveza 61.748,70 kuna,</w:t>
      </w:r>
    </w:p>
    <w:p w:rsidRDefault="006D3D49" w:rsidP="006D3D49" w:rsidR="006D3D49">
      <w:pPr>
        <w:numPr>
          <w:ilvl w:val="0"/>
          <w:numId w:val="24"/>
        </w:numPr>
        <w:jc w:val="both"/>
        <w:rPr>
          <w:b/>
        </w:rPr>
      </w:pPr>
      <w:r>
        <w:rPr>
          <w:b/>
        </w:rPr>
        <w:t>broj dana neprekidne blokade: 2179,</w:t>
      </w:r>
    </w:p>
    <w:p w:rsidRDefault="006D3D49" w:rsidP="006D3D49" w:rsidR="006D3D49">
      <w:pPr>
        <w:numPr>
          <w:ilvl w:val="0"/>
          <w:numId w:val="24"/>
        </w:numPr>
        <w:jc w:val="both"/>
      </w:pPr>
      <w:r>
        <w:t>broj dana blokade u zadnjih 6 mjeseci: 184.</w:t>
      </w:r>
    </w:p>
    <w:p w:rsidRDefault="006D3D49" w:rsidP="006D3D49" w:rsidR="006D3D49">
      <w:pPr>
        <w:numPr>
          <w:ilvl w:val="0"/>
          <w:numId w:val="24"/>
        </w:numPr>
        <w:jc w:val="both"/>
      </w:pPr>
      <w:r>
        <w:t>Dužnikov žiro-račun je ugašen 25.07.2013. godine</w:t>
      </w:r>
    </w:p>
    <w:p w:rsidRDefault="006D3D49" w:rsidP="006D3D49" w:rsidR="006D3D49">
      <w:pPr>
        <w:ind w:left="360"/>
        <w:jc w:val="both"/>
        <w:rPr>
          <w:color w:val="FF0000"/>
        </w:rPr>
      </w:pPr>
    </w:p>
    <w:p w:rsidRDefault="006D3D49" w:rsidP="006D3D49" w:rsidR="006D3D49">
      <w:pPr>
        <w:jc w:val="both"/>
      </w:pPr>
      <w:r>
        <w:t xml:space="preserve">Zakonski zastupnik dužnika je dostavio </w:t>
      </w:r>
      <w:proofErr w:type="spellStart"/>
      <w:r>
        <w:t>Prokazni</w:t>
      </w:r>
      <w:proofErr w:type="spellEnd"/>
      <w:r>
        <w:t xml:space="preserve"> popis imovine dužnika ovjer</w:t>
      </w:r>
      <w:r w:rsidR="005F2A6C">
        <w:t xml:space="preserve">ovljen </w:t>
      </w:r>
      <w:r>
        <w:t xml:space="preserve"> 15.12.2016. </w:t>
      </w:r>
      <w:r w:rsidR="005F2A6C">
        <w:t>k</w:t>
      </w:r>
      <w:r>
        <w:t>od javnog bilježnika, u kojem je na svim listovima izjavio da nema imovine.</w:t>
      </w:r>
    </w:p>
    <w:p w:rsidRDefault="006D3D49" w:rsidP="006D3D49" w:rsidR="006D3D49">
      <w:pPr>
        <w:jc w:val="both"/>
        <w:rPr>
          <w:b/>
        </w:rPr>
      </w:pPr>
      <w:r>
        <w:t xml:space="preserve">Prema Uvjerenju MUP, PU Vukovarsko-srijemske,  od 27.12.2016. godine dužnik </w:t>
      </w:r>
      <w:r>
        <w:rPr>
          <w:b/>
        </w:rPr>
        <w:t>nije evidentiran kao vlasnik vozila.</w:t>
      </w:r>
    </w:p>
    <w:p w:rsidRDefault="006D3D49" w:rsidP="006D3D49" w:rsidR="006D3D49">
      <w:pPr>
        <w:jc w:val="both"/>
      </w:pPr>
    </w:p>
    <w:p w:rsidRDefault="006D3D49" w:rsidP="006D3D49" w:rsidR="006D3D49">
      <w:pPr>
        <w:jc w:val="both"/>
        <w:rPr>
          <w:b/>
        </w:rPr>
      </w:pPr>
    </w:p>
    <w:p w:rsidRDefault="006D3D49" w:rsidP="005F2A6C" w:rsidR="006D3D49">
      <w:pPr>
        <w:jc w:val="both"/>
        <w:rPr>
          <w:b/>
        </w:rPr>
      </w:pPr>
    </w:p>
    <w:p w:rsidRDefault="006D3D49" w:rsidP="006D3D49" w:rsidR="006D3D49">
      <w:pPr>
        <w:jc w:val="both"/>
      </w:pPr>
      <w:r>
        <w:t xml:space="preserve"> Prema potvrdi Općinskog suda u Vukovaru, Zemljišno knjižnog odjela Vinkovci, Broj: 24038/2016, od 28.12.2016. godine dužnik  nije </w:t>
      </w:r>
      <w:r>
        <w:rPr>
          <w:b/>
        </w:rPr>
        <w:t xml:space="preserve">upisan kao vlasnik nekretnina </w:t>
      </w:r>
      <w:r>
        <w:t>u katastarskim općinama na području nadležn</w:t>
      </w:r>
      <w:r w:rsidR="005F2A6C">
        <w:t>osti Općinskog suda u Vukovaru.</w:t>
      </w:r>
    </w:p>
    <w:p w:rsidRDefault="006D3D49" w:rsidP="006D3D49" w:rsidR="006D3D49">
      <w:pPr>
        <w:jc w:val="both"/>
      </w:pPr>
    </w:p>
    <w:p w:rsidRDefault="006D3D49" w:rsidP="006D3D49" w:rsidR="006D3D49">
      <w:pPr>
        <w:jc w:val="both"/>
      </w:pPr>
      <w:r>
        <w:t>Prema JOPPD obrascu za listopad 2016. godine dužnik ima zaposlenog jednog radnika na puno radno vrijeme, zakonskog zastupnika Miju Draguna.</w:t>
      </w:r>
    </w:p>
    <w:p w:rsidRDefault="005F2A6C" w:rsidP="006D3D49" w:rsidR="005F2A6C">
      <w:pPr>
        <w:jc w:val="both"/>
      </w:pPr>
    </w:p>
    <w:p w:rsidRDefault="005F2A6C" w:rsidP="006D3D49" w:rsidR="006D3D49">
      <w:pPr>
        <w:jc w:val="both"/>
      </w:pPr>
      <w:r>
        <w:t>N</w:t>
      </w:r>
      <w:r w:rsidR="006D3D49">
        <w:t>ema izgleda za nastavak poslovanja  dužnika DRAGUN d.o.o.,  jer isti već duže razdoblje ne obavlja djelatnost, računi su mu  blokirani duže od 60 dana, a imovina ne pokriva postojeće obveze.</w:t>
      </w:r>
    </w:p>
    <w:p w:rsidRDefault="006D3D49" w:rsidP="006D3D49" w:rsidR="006D3D49">
      <w:pPr>
        <w:jc w:val="both"/>
      </w:pPr>
    </w:p>
    <w:p w:rsidRDefault="005F2A6C" w:rsidP="006D3D49" w:rsidR="006D3D49">
      <w:pPr>
        <w:jc w:val="both"/>
      </w:pPr>
      <w:r>
        <w:t>P</w:t>
      </w:r>
      <w:r w:rsidR="006D3D49">
        <w:t>ostoje razlozi za otvaranje stečajnog postupka koji se očituju kroz nesposobnost za plaćanje dužnika jer je račun neprekidno blokiran 2179 dana, i ima evidentiranih naloga za plaćanje za čije izvršenje nema pokrića na računu   u iznosu od 61.748,70 kuna prema Potvrdi FINA-e</w:t>
      </w:r>
      <w:r w:rsidR="006D3D49">
        <w:rPr>
          <w:color w:val="FF0000"/>
        </w:rPr>
        <w:t xml:space="preserve">. </w:t>
      </w:r>
      <w:r w:rsidR="006D3D49">
        <w:t xml:space="preserve">od 19.12.2016. godine. Također je utvrđena i  prezaduženost dužnika jer imovina dužnika nema tržišnu vrijednost i ne pokriva postojeće obveze u iznosu od 61.748,70.  U tabeli 1. je  prikazana procjena vrijednosti stečajne mase i predračun troškova stečajnog postupka. </w:t>
      </w:r>
    </w:p>
    <w:p w:rsidRDefault="006D3D49" w:rsidP="006D3D49" w:rsidR="006D3D49">
      <w:pPr>
        <w:ind w:left="708"/>
        <w:jc w:val="both"/>
        <w:rPr>
          <w:b/>
          <w:color w:val="FF0000"/>
        </w:rPr>
      </w:pPr>
    </w:p>
    <w:tbl>
      <w:tblPr>
        <w:tblW w:type="dxa" w:w="9909"/>
        <w:tblInd w:type="dxa" w:w="93"/>
        <w:tblLook w:val="04A0" w:noVBand="1" w:noHBand="0" w:lastColumn="0" w:firstColumn="1" w:lastRow="0" w:firstRow="1"/>
      </w:tblPr>
      <w:tblGrid>
        <w:gridCol w:w="6339"/>
        <w:gridCol w:w="2203"/>
        <w:gridCol w:w="404"/>
        <w:gridCol w:w="963"/>
      </w:tblGrid>
      <w:tr w:rsidTr="006D3D49" w:rsidR="006D3D49">
        <w:trPr>
          <w:trHeight w:val="255"/>
        </w:trPr>
        <w:tc>
          <w:tcPr>
            <w:tcW w:type="dxa" w:w="8542"/>
            <w:gridSpan w:val="2"/>
            <w:noWrap/>
            <w:vAlign w:val="bottom"/>
            <w:hideMark/>
          </w:tcPr>
          <w:p w:rsidRDefault="006D3D49" w:rsidR="006D3D49">
            <w:pPr>
              <w:rPr>
                <w:rFonts w:cs="Arial" w:hAnsi="Arial" w:ascii="Arial"/>
                <w:b/>
                <w:bCs/>
                <w:sz w:val="16"/>
                <w:szCs w:val="16"/>
              </w:rPr>
            </w:pPr>
            <w:r>
              <w:rPr>
                <w:rFonts w:cs="Arial" w:hAnsi="Arial" w:ascii="Arial"/>
                <w:b/>
                <w:bCs/>
                <w:sz w:val="16"/>
                <w:szCs w:val="16"/>
              </w:rPr>
              <w:t>Tabela 1: PROCJENA STEČAJNE MASE I  PREDRAČUN TROŠKOVA STEČAJNOG POSTUPKA</w:t>
            </w:r>
          </w:p>
        </w:tc>
        <w:tc>
          <w:tcPr>
            <w:tcW w:type="dxa" w:w="1367"/>
            <w:gridSpan w:val="2"/>
            <w:noWrap/>
            <w:vAlign w:val="bottom"/>
          </w:tcPr>
          <w:p w:rsidRDefault="006D3D49" w:rsidR="006D3D49">
            <w:pPr>
              <w:rPr>
                <w:rFonts w:cs="Arial" w:hAnsi="Arial" w:ascii="Arial"/>
                <w:b/>
                <w:bCs/>
                <w:sz w:val="16"/>
                <w:szCs w:val="16"/>
              </w:rPr>
            </w:pPr>
          </w:p>
        </w:tc>
      </w:tr>
      <w:tr w:rsidTr="006D3D49" w:rsidR="006D3D49">
        <w:trPr>
          <w:gridAfter w:val="1"/>
          <w:wAfter w:type="dxa" w:w="963"/>
          <w:trHeight w:val="255"/>
        </w:trPr>
        <w:tc>
          <w:tcPr>
            <w:tcW w:type="dxa" w:w="6339"/>
            <w:tcBorders>
              <w:top w:space="0" w:sz="4" w:color="auto" w:val="single"/>
              <w:left w:space="0" w:sz="4" w:color="auto" w:val="single"/>
              <w:bottom w:space="0" w:sz="4" w:color="auto" w:val="single"/>
              <w:right w:space="0" w:sz="4" w:color="auto" w:val="single"/>
            </w:tcBorders>
            <w:noWrap/>
            <w:vAlign w:val="bottom"/>
            <w:hideMark/>
          </w:tcPr>
          <w:p w:rsidRDefault="006D3D49" w:rsidR="006D3D49">
            <w:pPr>
              <w:jc w:val="center"/>
              <w:rPr>
                <w:rFonts w:cs="Arial" w:hAnsi="Arial" w:ascii="Arial"/>
                <w:b/>
                <w:bCs/>
                <w:sz w:val="18"/>
                <w:szCs w:val="18"/>
              </w:rPr>
            </w:pPr>
            <w:r>
              <w:rPr>
                <w:rFonts w:cs="Arial" w:hAnsi="Arial" w:ascii="Arial"/>
                <w:b/>
                <w:bCs/>
                <w:sz w:val="18"/>
                <w:szCs w:val="18"/>
              </w:rPr>
              <w:t>OPIS</w:t>
            </w:r>
          </w:p>
        </w:tc>
        <w:tc>
          <w:tcPr>
            <w:tcW w:type="dxa" w:w="2607"/>
            <w:gridSpan w:val="2"/>
            <w:tcBorders>
              <w:top w:space="0" w:sz="4" w:color="auto" w:val="single"/>
              <w:left w:val="nil"/>
              <w:bottom w:space="0" w:sz="4" w:color="auto" w:val="single"/>
              <w:right w:space="0" w:sz="4" w:color="auto" w:val="single"/>
            </w:tcBorders>
            <w:noWrap/>
            <w:vAlign w:val="bottom"/>
            <w:hideMark/>
          </w:tcPr>
          <w:p w:rsidRDefault="006D3D49" w:rsidR="006D3D49">
            <w:pPr>
              <w:jc w:val="center"/>
              <w:rPr>
                <w:rFonts w:cs="Arial" w:hAnsi="Arial" w:ascii="Arial"/>
                <w:b/>
                <w:bCs/>
                <w:sz w:val="18"/>
                <w:szCs w:val="18"/>
              </w:rPr>
            </w:pPr>
            <w:r>
              <w:rPr>
                <w:rFonts w:cs="Arial" w:hAnsi="Arial" w:ascii="Arial"/>
                <w:b/>
                <w:bCs/>
                <w:sz w:val="18"/>
                <w:szCs w:val="18"/>
              </w:rPr>
              <w:t>VRIJEDNOST</w:t>
            </w:r>
          </w:p>
        </w:tc>
      </w:tr>
      <w:tr w:rsidTr="006D3D49" w:rsidR="006D3D49">
        <w:trPr>
          <w:gridAfter w:val="1"/>
          <w:wAfter w:type="dxa" w:w="963"/>
          <w:trHeight w:val="255"/>
        </w:trPr>
        <w:tc>
          <w:tcPr>
            <w:tcW w:type="dxa" w:w="6339"/>
            <w:tcBorders>
              <w:top w:val="nil"/>
              <w:left w:space="0" w:sz="4" w:color="auto" w:val="single"/>
              <w:bottom w:space="0" w:sz="4" w:color="auto" w:val="single"/>
              <w:right w:space="0" w:sz="4" w:color="auto" w:val="single"/>
            </w:tcBorders>
            <w:noWrap/>
            <w:vAlign w:val="bottom"/>
            <w:hideMark/>
          </w:tcPr>
          <w:p w:rsidRDefault="006D3D49" w:rsidR="006D3D49">
            <w:pPr>
              <w:rPr>
                <w:rFonts w:cs="Arial" w:hAnsi="Arial" w:ascii="Arial"/>
                <w:b/>
                <w:bCs/>
                <w:sz w:val="18"/>
                <w:szCs w:val="18"/>
              </w:rPr>
            </w:pPr>
            <w:r>
              <w:rPr>
                <w:rFonts w:cs="Arial" w:hAnsi="Arial" w:ascii="Arial"/>
                <w:b/>
                <w:bCs/>
                <w:sz w:val="18"/>
                <w:szCs w:val="18"/>
              </w:rPr>
              <w:t>STEČAJNA MASA:</w:t>
            </w:r>
          </w:p>
        </w:tc>
        <w:tc>
          <w:tcPr>
            <w:tcW w:type="dxa" w:w="2607"/>
            <w:gridSpan w:val="2"/>
            <w:tcBorders>
              <w:top w:val="nil"/>
              <w:left w:val="nil"/>
              <w:bottom w:space="0" w:sz="4" w:color="auto" w:val="single"/>
              <w:right w:space="0" w:sz="4" w:color="auto" w:val="single"/>
            </w:tcBorders>
            <w:noWrap/>
            <w:vAlign w:val="bottom"/>
            <w:hideMark/>
          </w:tcPr>
          <w:p w:rsidRDefault="006D3D49" w:rsidR="006D3D49">
            <w:pPr>
              <w:rPr>
                <w:rFonts w:cs="Arial" w:hAnsi="Arial" w:ascii="Arial"/>
                <w:sz w:val="18"/>
                <w:szCs w:val="18"/>
              </w:rPr>
            </w:pPr>
            <w:r>
              <w:rPr>
                <w:rFonts w:cs="Arial" w:hAnsi="Arial" w:ascii="Arial"/>
                <w:sz w:val="18"/>
                <w:szCs w:val="18"/>
              </w:rPr>
              <w:t> </w:t>
            </w:r>
          </w:p>
        </w:tc>
      </w:tr>
      <w:tr w:rsidTr="006D3D49" w:rsidR="006D3D49">
        <w:trPr>
          <w:gridAfter w:val="1"/>
          <w:wAfter w:type="dxa" w:w="963"/>
          <w:trHeight w:val="255"/>
        </w:trPr>
        <w:tc>
          <w:tcPr>
            <w:tcW w:type="dxa" w:w="6339"/>
            <w:tcBorders>
              <w:top w:val="nil"/>
              <w:left w:space="0" w:sz="4" w:color="auto" w:val="single"/>
              <w:bottom w:space="0" w:sz="4" w:color="auto" w:val="single"/>
              <w:right w:space="0" w:sz="4" w:color="auto" w:val="single"/>
            </w:tcBorders>
            <w:noWrap/>
            <w:vAlign w:val="bottom"/>
            <w:hideMark/>
          </w:tcPr>
          <w:p w:rsidRDefault="006D3D49" w:rsidR="006D3D49">
            <w:pPr>
              <w:rPr>
                <w:rFonts w:cs="Arial" w:hAnsi="Arial" w:ascii="Arial"/>
                <w:sz w:val="18"/>
                <w:szCs w:val="18"/>
              </w:rPr>
            </w:pPr>
            <w:r>
              <w:rPr>
                <w:rFonts w:cs="Arial" w:hAnsi="Arial" w:ascii="Arial"/>
                <w:sz w:val="18"/>
                <w:szCs w:val="18"/>
              </w:rPr>
              <w:t>Nekretnine</w:t>
            </w:r>
          </w:p>
        </w:tc>
        <w:tc>
          <w:tcPr>
            <w:tcW w:type="dxa" w:w="2607"/>
            <w:gridSpan w:val="2"/>
            <w:tcBorders>
              <w:top w:val="nil"/>
              <w:left w:val="nil"/>
              <w:bottom w:space="0" w:sz="4" w:color="auto" w:val="single"/>
              <w:right w:space="0" w:sz="4" w:color="auto" w:val="single"/>
            </w:tcBorders>
            <w:noWrap/>
            <w:vAlign w:val="bottom"/>
            <w:hideMark/>
          </w:tcPr>
          <w:p w:rsidRDefault="006D3D49" w:rsidR="006D3D49">
            <w:pPr>
              <w:jc w:val="right"/>
              <w:rPr>
                <w:rFonts w:cs="Arial" w:hAnsi="Arial" w:ascii="Arial"/>
                <w:sz w:val="18"/>
                <w:szCs w:val="18"/>
              </w:rPr>
            </w:pPr>
            <w:r>
              <w:rPr>
                <w:rFonts w:cs="Arial" w:hAnsi="Arial" w:ascii="Arial"/>
                <w:sz w:val="18"/>
                <w:szCs w:val="18"/>
              </w:rPr>
              <w:t>0,00</w:t>
            </w:r>
          </w:p>
        </w:tc>
      </w:tr>
      <w:tr w:rsidTr="006D3D49" w:rsidR="006D3D49">
        <w:trPr>
          <w:gridAfter w:val="1"/>
          <w:wAfter w:type="dxa" w:w="963"/>
          <w:trHeight w:val="255"/>
        </w:trPr>
        <w:tc>
          <w:tcPr>
            <w:tcW w:type="dxa" w:w="6339"/>
            <w:tcBorders>
              <w:top w:val="nil"/>
              <w:left w:space="0" w:sz="4" w:color="auto" w:val="single"/>
              <w:bottom w:space="0" w:sz="4" w:color="auto" w:val="single"/>
              <w:right w:space="0" w:sz="4" w:color="auto" w:val="single"/>
            </w:tcBorders>
            <w:noWrap/>
            <w:vAlign w:val="bottom"/>
            <w:hideMark/>
          </w:tcPr>
          <w:p w:rsidRDefault="006D3D49" w:rsidR="006D3D49">
            <w:pPr>
              <w:rPr>
                <w:rFonts w:cs="Arial" w:hAnsi="Arial" w:ascii="Arial"/>
                <w:sz w:val="18"/>
                <w:szCs w:val="18"/>
              </w:rPr>
            </w:pPr>
            <w:r>
              <w:rPr>
                <w:rFonts w:cs="Arial" w:hAnsi="Arial" w:ascii="Arial"/>
                <w:sz w:val="18"/>
                <w:szCs w:val="18"/>
              </w:rPr>
              <w:t>Pokretnine – uredska i računalna oprema</w:t>
            </w:r>
          </w:p>
        </w:tc>
        <w:tc>
          <w:tcPr>
            <w:tcW w:type="dxa" w:w="2607"/>
            <w:gridSpan w:val="2"/>
            <w:tcBorders>
              <w:top w:val="nil"/>
              <w:left w:val="nil"/>
              <w:bottom w:space="0" w:sz="4" w:color="auto" w:val="single"/>
              <w:right w:space="0" w:sz="4" w:color="auto" w:val="single"/>
            </w:tcBorders>
            <w:noWrap/>
            <w:vAlign w:val="bottom"/>
            <w:hideMark/>
          </w:tcPr>
          <w:p w:rsidRDefault="006D3D49" w:rsidR="006D3D49">
            <w:pPr>
              <w:jc w:val="right"/>
              <w:rPr>
                <w:rFonts w:cs="Arial" w:hAnsi="Arial" w:ascii="Arial"/>
                <w:sz w:val="18"/>
                <w:szCs w:val="18"/>
              </w:rPr>
            </w:pPr>
            <w:r>
              <w:rPr>
                <w:rFonts w:cs="Arial" w:hAnsi="Arial" w:ascii="Arial"/>
                <w:sz w:val="18"/>
                <w:szCs w:val="18"/>
              </w:rPr>
              <w:t>0,00</w:t>
            </w:r>
          </w:p>
        </w:tc>
      </w:tr>
      <w:tr w:rsidTr="006D3D49" w:rsidR="006D3D49">
        <w:trPr>
          <w:gridAfter w:val="1"/>
          <w:wAfter w:type="dxa" w:w="963"/>
          <w:trHeight w:val="255"/>
        </w:trPr>
        <w:tc>
          <w:tcPr>
            <w:tcW w:type="dxa" w:w="6339"/>
            <w:tcBorders>
              <w:top w:val="nil"/>
              <w:left w:space="0" w:sz="4" w:color="auto" w:val="single"/>
              <w:bottom w:space="0" w:sz="4" w:color="auto" w:val="single"/>
              <w:right w:space="0" w:sz="4" w:color="auto" w:val="single"/>
            </w:tcBorders>
            <w:noWrap/>
            <w:vAlign w:val="bottom"/>
            <w:hideMark/>
          </w:tcPr>
          <w:p w:rsidRDefault="006D3D49" w:rsidR="006D3D49">
            <w:pPr>
              <w:rPr>
                <w:rFonts w:cs="Arial" w:hAnsi="Arial" w:ascii="Arial"/>
                <w:b/>
                <w:bCs/>
                <w:sz w:val="18"/>
                <w:szCs w:val="18"/>
              </w:rPr>
            </w:pPr>
            <w:r>
              <w:rPr>
                <w:rFonts w:cs="Arial" w:hAnsi="Arial" w:ascii="Arial"/>
                <w:b/>
                <w:bCs/>
                <w:sz w:val="18"/>
                <w:szCs w:val="18"/>
              </w:rPr>
              <w:t>UKUPNA STEČAJNA MASA</w:t>
            </w:r>
          </w:p>
        </w:tc>
        <w:tc>
          <w:tcPr>
            <w:tcW w:type="dxa" w:w="2607"/>
            <w:gridSpan w:val="2"/>
            <w:tcBorders>
              <w:top w:val="nil"/>
              <w:left w:val="nil"/>
              <w:bottom w:space="0" w:sz="4" w:color="auto" w:val="single"/>
              <w:right w:space="0" w:sz="4" w:color="auto" w:val="single"/>
            </w:tcBorders>
            <w:noWrap/>
            <w:vAlign w:val="bottom"/>
            <w:hideMark/>
          </w:tcPr>
          <w:p w:rsidRDefault="006D3D49" w:rsidR="006D3D49">
            <w:pPr>
              <w:jc w:val="right"/>
              <w:rPr>
                <w:rFonts w:cs="Arial" w:hAnsi="Arial" w:ascii="Arial"/>
                <w:b/>
                <w:bCs/>
                <w:sz w:val="18"/>
                <w:szCs w:val="18"/>
              </w:rPr>
            </w:pPr>
            <w:r>
              <w:rPr>
                <w:rFonts w:cs="Arial" w:hAnsi="Arial" w:ascii="Arial"/>
                <w:b/>
                <w:bCs/>
                <w:sz w:val="18"/>
                <w:szCs w:val="18"/>
              </w:rPr>
              <w:t>0,00</w:t>
            </w:r>
          </w:p>
        </w:tc>
      </w:tr>
      <w:tr w:rsidTr="006D3D49" w:rsidR="006D3D49">
        <w:trPr>
          <w:gridAfter w:val="1"/>
          <w:wAfter w:type="dxa" w:w="963"/>
          <w:trHeight w:val="255"/>
        </w:trPr>
        <w:tc>
          <w:tcPr>
            <w:tcW w:type="dxa" w:w="6339"/>
            <w:tcBorders>
              <w:top w:val="nil"/>
              <w:left w:space="0" w:sz="4" w:color="auto" w:val="single"/>
              <w:bottom w:space="0" w:sz="4" w:color="auto" w:val="single"/>
              <w:right w:space="0" w:sz="4" w:color="auto" w:val="single"/>
            </w:tcBorders>
            <w:noWrap/>
            <w:vAlign w:val="bottom"/>
            <w:hideMark/>
          </w:tcPr>
          <w:p w:rsidRDefault="006D3D49" w:rsidR="006D3D49">
            <w:pPr>
              <w:rPr>
                <w:rFonts w:cs="Arial" w:hAnsi="Arial" w:ascii="Arial"/>
                <w:sz w:val="18"/>
                <w:szCs w:val="18"/>
              </w:rPr>
            </w:pPr>
            <w:r>
              <w:rPr>
                <w:rFonts w:cs="Arial" w:hAnsi="Arial" w:ascii="Arial"/>
                <w:sz w:val="18"/>
                <w:szCs w:val="18"/>
              </w:rPr>
              <w:t> </w:t>
            </w:r>
          </w:p>
        </w:tc>
        <w:tc>
          <w:tcPr>
            <w:tcW w:type="dxa" w:w="2607"/>
            <w:gridSpan w:val="2"/>
            <w:tcBorders>
              <w:top w:val="nil"/>
              <w:left w:val="nil"/>
              <w:bottom w:space="0" w:sz="4" w:color="auto" w:val="single"/>
              <w:right w:space="0" w:sz="4" w:color="auto" w:val="single"/>
            </w:tcBorders>
            <w:noWrap/>
            <w:vAlign w:val="bottom"/>
            <w:hideMark/>
          </w:tcPr>
          <w:p w:rsidRDefault="006D3D49" w:rsidR="006D3D49">
            <w:pPr>
              <w:rPr>
                <w:rFonts w:cs="Arial" w:hAnsi="Arial" w:ascii="Arial"/>
                <w:sz w:val="18"/>
                <w:szCs w:val="18"/>
              </w:rPr>
            </w:pPr>
            <w:r>
              <w:rPr>
                <w:rFonts w:cs="Arial" w:hAnsi="Arial" w:ascii="Arial"/>
                <w:sz w:val="18"/>
                <w:szCs w:val="18"/>
              </w:rPr>
              <w:t> </w:t>
            </w:r>
          </w:p>
        </w:tc>
      </w:tr>
      <w:tr w:rsidTr="006D3D49" w:rsidR="006D3D49">
        <w:trPr>
          <w:gridAfter w:val="1"/>
          <w:wAfter w:type="dxa" w:w="963"/>
          <w:trHeight w:val="255"/>
        </w:trPr>
        <w:tc>
          <w:tcPr>
            <w:tcW w:type="dxa" w:w="6339"/>
            <w:tcBorders>
              <w:top w:val="nil"/>
              <w:left w:space="0" w:sz="4" w:color="auto" w:val="single"/>
              <w:bottom w:space="0" w:sz="4" w:color="auto" w:val="single"/>
              <w:right w:space="0" w:sz="4" w:color="auto" w:val="single"/>
            </w:tcBorders>
            <w:noWrap/>
            <w:vAlign w:val="bottom"/>
            <w:hideMark/>
          </w:tcPr>
          <w:p w:rsidRDefault="006D3D49" w:rsidR="006D3D49">
            <w:pPr>
              <w:rPr>
                <w:rFonts w:cs="Arial" w:hAnsi="Arial" w:ascii="Arial"/>
                <w:b/>
                <w:bCs/>
                <w:sz w:val="18"/>
                <w:szCs w:val="18"/>
              </w:rPr>
            </w:pPr>
            <w:r>
              <w:rPr>
                <w:rFonts w:cs="Arial" w:hAnsi="Arial" w:ascii="Arial"/>
                <w:b/>
                <w:bCs/>
                <w:sz w:val="18"/>
                <w:szCs w:val="18"/>
              </w:rPr>
              <w:t>TROŠKOVI STEČAJNOG POSTUPKA:</w:t>
            </w:r>
          </w:p>
        </w:tc>
        <w:tc>
          <w:tcPr>
            <w:tcW w:type="dxa" w:w="2607"/>
            <w:gridSpan w:val="2"/>
            <w:tcBorders>
              <w:top w:val="nil"/>
              <w:left w:val="nil"/>
              <w:bottom w:space="0" w:sz="4" w:color="auto" w:val="single"/>
              <w:right w:space="0" w:sz="4" w:color="auto" w:val="single"/>
            </w:tcBorders>
            <w:noWrap/>
            <w:vAlign w:val="bottom"/>
            <w:hideMark/>
          </w:tcPr>
          <w:p w:rsidRDefault="006D3D49" w:rsidR="006D3D49">
            <w:pPr>
              <w:rPr>
                <w:rFonts w:cs="Arial" w:hAnsi="Arial" w:ascii="Arial"/>
                <w:sz w:val="18"/>
                <w:szCs w:val="18"/>
              </w:rPr>
            </w:pPr>
            <w:r>
              <w:rPr>
                <w:rFonts w:cs="Arial" w:hAnsi="Arial" w:ascii="Arial"/>
                <w:sz w:val="18"/>
                <w:szCs w:val="18"/>
              </w:rPr>
              <w:t> </w:t>
            </w:r>
          </w:p>
        </w:tc>
      </w:tr>
      <w:tr w:rsidTr="006D3D49" w:rsidR="006D3D49">
        <w:trPr>
          <w:gridAfter w:val="1"/>
          <w:wAfter w:type="dxa" w:w="963"/>
          <w:trHeight w:val="255"/>
        </w:trPr>
        <w:tc>
          <w:tcPr>
            <w:tcW w:type="dxa" w:w="6339"/>
            <w:tcBorders>
              <w:top w:val="nil"/>
              <w:left w:space="0" w:sz="4" w:color="auto" w:val="single"/>
              <w:bottom w:space="0" w:sz="4" w:color="auto" w:val="single"/>
              <w:right w:space="0" w:sz="4" w:color="auto" w:val="single"/>
            </w:tcBorders>
            <w:noWrap/>
            <w:vAlign w:val="bottom"/>
            <w:hideMark/>
          </w:tcPr>
          <w:p w:rsidRDefault="006D3D49" w:rsidR="006D3D49">
            <w:pPr>
              <w:jc w:val="both"/>
              <w:rPr>
                <w:rFonts w:cs="Arial" w:hAnsi="Arial" w:ascii="Arial"/>
                <w:sz w:val="18"/>
                <w:szCs w:val="18"/>
              </w:rPr>
            </w:pPr>
            <w:r>
              <w:rPr>
                <w:rFonts w:cs="Arial" w:hAnsi="Arial" w:ascii="Arial"/>
                <w:sz w:val="18"/>
                <w:szCs w:val="18"/>
              </w:rPr>
              <w:t>Troškovi objave oglasa</w:t>
            </w:r>
          </w:p>
        </w:tc>
        <w:tc>
          <w:tcPr>
            <w:tcW w:type="dxa" w:w="2607"/>
            <w:gridSpan w:val="2"/>
            <w:tcBorders>
              <w:top w:val="nil"/>
              <w:left w:val="nil"/>
              <w:bottom w:space="0" w:sz="4" w:color="auto" w:val="single"/>
              <w:right w:space="0" w:sz="4" w:color="auto" w:val="single"/>
            </w:tcBorders>
            <w:noWrap/>
            <w:vAlign w:val="bottom"/>
            <w:hideMark/>
          </w:tcPr>
          <w:p w:rsidRDefault="006D3D49" w:rsidR="006D3D49">
            <w:pPr>
              <w:jc w:val="right"/>
              <w:rPr>
                <w:rFonts w:cs="Arial" w:hAnsi="Arial" w:ascii="Arial"/>
                <w:sz w:val="18"/>
                <w:szCs w:val="18"/>
              </w:rPr>
            </w:pPr>
            <w:r>
              <w:rPr>
                <w:rFonts w:cs="Arial" w:hAnsi="Arial" w:ascii="Arial"/>
                <w:sz w:val="18"/>
                <w:szCs w:val="18"/>
              </w:rPr>
              <w:t>2.000,00</w:t>
            </w:r>
          </w:p>
        </w:tc>
      </w:tr>
      <w:tr w:rsidTr="006D3D49" w:rsidR="006D3D49">
        <w:trPr>
          <w:gridAfter w:val="1"/>
          <w:wAfter w:type="dxa" w:w="963"/>
          <w:trHeight w:val="255"/>
        </w:trPr>
        <w:tc>
          <w:tcPr>
            <w:tcW w:type="dxa" w:w="6339"/>
            <w:tcBorders>
              <w:top w:val="nil"/>
              <w:left w:space="0" w:sz="4" w:color="auto" w:val="single"/>
              <w:bottom w:space="0" w:sz="4" w:color="auto" w:val="single"/>
              <w:right w:space="0" w:sz="4" w:color="auto" w:val="single"/>
            </w:tcBorders>
            <w:noWrap/>
            <w:vAlign w:val="bottom"/>
            <w:hideMark/>
          </w:tcPr>
          <w:p w:rsidRDefault="006D3D49" w:rsidR="006D3D49">
            <w:pPr>
              <w:jc w:val="both"/>
              <w:rPr>
                <w:rFonts w:cs="Arial" w:hAnsi="Arial" w:ascii="Arial"/>
                <w:sz w:val="18"/>
                <w:szCs w:val="18"/>
              </w:rPr>
            </w:pPr>
            <w:r>
              <w:rPr>
                <w:rFonts w:cs="Arial" w:hAnsi="Arial" w:ascii="Arial"/>
                <w:sz w:val="18"/>
                <w:szCs w:val="18"/>
              </w:rPr>
              <w:t xml:space="preserve">Troškovi procjene  </w:t>
            </w:r>
          </w:p>
        </w:tc>
        <w:tc>
          <w:tcPr>
            <w:tcW w:type="dxa" w:w="2607"/>
            <w:gridSpan w:val="2"/>
            <w:tcBorders>
              <w:top w:val="nil"/>
              <w:left w:val="nil"/>
              <w:bottom w:space="0" w:sz="4" w:color="auto" w:val="single"/>
              <w:right w:space="0" w:sz="4" w:color="auto" w:val="single"/>
            </w:tcBorders>
            <w:noWrap/>
            <w:vAlign w:val="bottom"/>
            <w:hideMark/>
          </w:tcPr>
          <w:p w:rsidRDefault="006D3D49" w:rsidR="006D3D49">
            <w:pPr>
              <w:jc w:val="right"/>
              <w:rPr>
                <w:rFonts w:cs="Arial" w:hAnsi="Arial" w:ascii="Arial"/>
                <w:sz w:val="18"/>
                <w:szCs w:val="18"/>
              </w:rPr>
            </w:pPr>
            <w:r>
              <w:rPr>
                <w:rFonts w:cs="Arial" w:hAnsi="Arial" w:ascii="Arial"/>
                <w:sz w:val="18"/>
                <w:szCs w:val="18"/>
              </w:rPr>
              <w:t>500,00</w:t>
            </w:r>
          </w:p>
        </w:tc>
      </w:tr>
      <w:tr w:rsidTr="006D3D49" w:rsidR="006D3D49">
        <w:trPr>
          <w:gridAfter w:val="1"/>
          <w:wAfter w:type="dxa" w:w="963"/>
          <w:trHeight w:val="255"/>
        </w:trPr>
        <w:tc>
          <w:tcPr>
            <w:tcW w:type="dxa" w:w="6339"/>
            <w:tcBorders>
              <w:top w:val="nil"/>
              <w:left w:space="0" w:sz="4" w:color="auto" w:val="single"/>
              <w:bottom w:space="0" w:sz="4" w:color="auto" w:val="single"/>
              <w:right w:space="0" w:sz="4" w:color="auto" w:val="single"/>
            </w:tcBorders>
            <w:noWrap/>
            <w:vAlign w:val="bottom"/>
            <w:hideMark/>
          </w:tcPr>
          <w:p w:rsidRDefault="006D3D49" w:rsidR="006D3D49">
            <w:pPr>
              <w:rPr>
                <w:rFonts w:cs="Arial" w:hAnsi="Arial" w:ascii="Arial"/>
                <w:sz w:val="18"/>
                <w:szCs w:val="18"/>
              </w:rPr>
            </w:pPr>
            <w:r>
              <w:rPr>
                <w:rFonts w:cs="Arial" w:hAnsi="Arial" w:ascii="Arial"/>
                <w:sz w:val="18"/>
                <w:szCs w:val="18"/>
              </w:rPr>
              <w:t xml:space="preserve">Troškovi odvjetnika za sudske postupke </w:t>
            </w:r>
          </w:p>
        </w:tc>
        <w:tc>
          <w:tcPr>
            <w:tcW w:type="dxa" w:w="2607"/>
            <w:gridSpan w:val="2"/>
            <w:tcBorders>
              <w:top w:val="nil"/>
              <w:left w:val="nil"/>
              <w:bottom w:space="0" w:sz="4" w:color="auto" w:val="single"/>
              <w:right w:space="0" w:sz="4" w:color="auto" w:val="single"/>
            </w:tcBorders>
            <w:noWrap/>
            <w:vAlign w:val="bottom"/>
            <w:hideMark/>
          </w:tcPr>
          <w:p w:rsidRDefault="006D3D49" w:rsidR="006D3D49">
            <w:pPr>
              <w:jc w:val="right"/>
              <w:rPr>
                <w:rFonts w:cs="Arial" w:hAnsi="Arial" w:ascii="Arial"/>
                <w:sz w:val="18"/>
                <w:szCs w:val="18"/>
              </w:rPr>
            </w:pPr>
            <w:r>
              <w:rPr>
                <w:rFonts w:cs="Arial" w:hAnsi="Arial" w:ascii="Arial"/>
                <w:sz w:val="18"/>
                <w:szCs w:val="18"/>
              </w:rPr>
              <w:t>0,00</w:t>
            </w:r>
          </w:p>
        </w:tc>
      </w:tr>
      <w:tr w:rsidTr="006D3D49" w:rsidR="006D3D49">
        <w:trPr>
          <w:gridAfter w:val="1"/>
          <w:wAfter w:type="dxa" w:w="963"/>
          <w:trHeight w:val="480"/>
        </w:trPr>
        <w:tc>
          <w:tcPr>
            <w:tcW w:type="dxa" w:w="6339"/>
            <w:tcBorders>
              <w:top w:val="nil"/>
              <w:left w:space="0" w:sz="4" w:color="auto" w:val="single"/>
              <w:bottom w:space="0" w:sz="4" w:color="auto" w:val="single"/>
              <w:right w:space="0" w:sz="4" w:color="auto" w:val="single"/>
            </w:tcBorders>
            <w:noWrap/>
            <w:vAlign w:val="bottom"/>
            <w:hideMark/>
          </w:tcPr>
          <w:p w:rsidRDefault="006D3D49" w:rsidR="006D3D49">
            <w:pPr>
              <w:jc w:val="both"/>
              <w:rPr>
                <w:rFonts w:cs="Arial" w:hAnsi="Arial" w:ascii="Arial"/>
                <w:sz w:val="18"/>
                <w:szCs w:val="18"/>
              </w:rPr>
            </w:pPr>
            <w:r>
              <w:rPr>
                <w:rFonts w:cs="Arial" w:hAnsi="Arial" w:ascii="Arial"/>
                <w:sz w:val="18"/>
                <w:szCs w:val="18"/>
              </w:rPr>
              <w:t xml:space="preserve">Troškovi  odvjetnika po odvjetničkoj tarifi za zastupanje dužnika u ovršnim postupcima minimalno </w:t>
            </w:r>
          </w:p>
        </w:tc>
        <w:tc>
          <w:tcPr>
            <w:tcW w:type="dxa" w:w="2607"/>
            <w:gridSpan w:val="2"/>
            <w:tcBorders>
              <w:top w:val="nil"/>
              <w:left w:val="nil"/>
              <w:bottom w:space="0" w:sz="4" w:color="auto" w:val="single"/>
              <w:right w:space="0" w:sz="4" w:color="auto" w:val="single"/>
            </w:tcBorders>
            <w:noWrap/>
            <w:vAlign w:val="bottom"/>
            <w:hideMark/>
          </w:tcPr>
          <w:p w:rsidRDefault="006D3D49" w:rsidR="006D3D49">
            <w:pPr>
              <w:jc w:val="right"/>
              <w:rPr>
                <w:rFonts w:cs="Arial" w:hAnsi="Arial" w:ascii="Arial"/>
                <w:sz w:val="18"/>
                <w:szCs w:val="18"/>
              </w:rPr>
            </w:pPr>
            <w:r>
              <w:rPr>
                <w:rFonts w:cs="Arial" w:hAnsi="Arial" w:ascii="Arial"/>
                <w:sz w:val="18"/>
                <w:szCs w:val="18"/>
              </w:rPr>
              <w:t>0,00</w:t>
            </w:r>
          </w:p>
        </w:tc>
      </w:tr>
      <w:tr w:rsidTr="006D3D49" w:rsidR="006D3D49">
        <w:trPr>
          <w:gridAfter w:val="1"/>
          <w:wAfter w:type="dxa" w:w="963"/>
          <w:trHeight w:val="255"/>
        </w:trPr>
        <w:tc>
          <w:tcPr>
            <w:tcW w:type="dxa" w:w="6339"/>
            <w:tcBorders>
              <w:top w:val="nil"/>
              <w:left w:space="0" w:sz="4" w:color="auto" w:val="single"/>
              <w:bottom w:space="0" w:sz="4" w:color="auto" w:val="single"/>
              <w:right w:space="0" w:sz="4" w:color="auto" w:val="single"/>
            </w:tcBorders>
            <w:noWrap/>
            <w:vAlign w:val="bottom"/>
            <w:hideMark/>
          </w:tcPr>
          <w:p w:rsidRDefault="006D3D49" w:rsidR="006D3D49">
            <w:pPr>
              <w:jc w:val="both"/>
              <w:rPr>
                <w:rFonts w:cs="Arial" w:hAnsi="Arial" w:ascii="Arial"/>
                <w:sz w:val="18"/>
                <w:szCs w:val="18"/>
              </w:rPr>
            </w:pPr>
            <w:r>
              <w:rPr>
                <w:rFonts w:cs="Arial" w:hAnsi="Arial" w:ascii="Arial"/>
                <w:sz w:val="18"/>
                <w:szCs w:val="18"/>
              </w:rPr>
              <w:t>Troškovi izrade novog pečata</w:t>
            </w:r>
          </w:p>
        </w:tc>
        <w:tc>
          <w:tcPr>
            <w:tcW w:type="dxa" w:w="2607"/>
            <w:gridSpan w:val="2"/>
            <w:tcBorders>
              <w:top w:val="nil"/>
              <w:left w:val="nil"/>
              <w:bottom w:space="0" w:sz="4" w:color="auto" w:val="single"/>
              <w:right w:space="0" w:sz="4" w:color="auto" w:val="single"/>
            </w:tcBorders>
            <w:noWrap/>
            <w:vAlign w:val="bottom"/>
            <w:hideMark/>
          </w:tcPr>
          <w:p w:rsidRDefault="006D3D49" w:rsidR="006D3D49">
            <w:pPr>
              <w:jc w:val="right"/>
              <w:rPr>
                <w:rFonts w:cs="Arial" w:hAnsi="Arial" w:ascii="Arial"/>
                <w:sz w:val="18"/>
                <w:szCs w:val="18"/>
              </w:rPr>
            </w:pPr>
            <w:r>
              <w:rPr>
                <w:rFonts w:cs="Arial" w:hAnsi="Arial" w:ascii="Arial"/>
                <w:sz w:val="18"/>
                <w:szCs w:val="18"/>
              </w:rPr>
              <w:t>200,00</w:t>
            </w:r>
          </w:p>
        </w:tc>
      </w:tr>
      <w:tr w:rsidTr="006D3D49" w:rsidR="006D3D49">
        <w:trPr>
          <w:gridAfter w:val="1"/>
          <w:wAfter w:type="dxa" w:w="963"/>
          <w:trHeight w:val="255"/>
        </w:trPr>
        <w:tc>
          <w:tcPr>
            <w:tcW w:type="dxa" w:w="6339"/>
            <w:tcBorders>
              <w:top w:val="nil"/>
              <w:left w:space="0" w:sz="4" w:color="auto" w:val="single"/>
              <w:bottom w:space="0" w:sz="4" w:color="auto" w:val="single"/>
              <w:right w:space="0" w:sz="4" w:color="auto" w:val="single"/>
            </w:tcBorders>
            <w:noWrap/>
            <w:vAlign w:val="bottom"/>
            <w:hideMark/>
          </w:tcPr>
          <w:p w:rsidRDefault="006D3D49" w:rsidR="006D3D49">
            <w:pPr>
              <w:jc w:val="both"/>
              <w:rPr>
                <w:rFonts w:cs="Arial" w:hAnsi="Arial" w:ascii="Arial"/>
                <w:sz w:val="18"/>
                <w:szCs w:val="18"/>
              </w:rPr>
            </w:pPr>
            <w:r>
              <w:rPr>
                <w:rFonts w:cs="Arial" w:hAnsi="Arial" w:ascii="Arial"/>
                <w:sz w:val="18"/>
                <w:szCs w:val="18"/>
              </w:rPr>
              <w:t xml:space="preserve">Troškovi otvaranja, vođenja i zatvaranja računa </w:t>
            </w:r>
          </w:p>
        </w:tc>
        <w:tc>
          <w:tcPr>
            <w:tcW w:type="dxa" w:w="2607"/>
            <w:gridSpan w:val="2"/>
            <w:tcBorders>
              <w:top w:val="nil"/>
              <w:left w:val="nil"/>
              <w:bottom w:space="0" w:sz="4" w:color="auto" w:val="single"/>
              <w:right w:space="0" w:sz="4" w:color="auto" w:val="single"/>
            </w:tcBorders>
            <w:noWrap/>
            <w:vAlign w:val="bottom"/>
            <w:hideMark/>
          </w:tcPr>
          <w:p w:rsidRDefault="006D3D49" w:rsidR="006D3D49">
            <w:pPr>
              <w:jc w:val="right"/>
              <w:rPr>
                <w:rFonts w:cs="Arial" w:hAnsi="Arial" w:ascii="Arial"/>
                <w:sz w:val="18"/>
                <w:szCs w:val="18"/>
              </w:rPr>
            </w:pPr>
            <w:r>
              <w:rPr>
                <w:rFonts w:cs="Arial" w:hAnsi="Arial" w:ascii="Arial"/>
                <w:sz w:val="18"/>
                <w:szCs w:val="18"/>
              </w:rPr>
              <w:t>500,00</w:t>
            </w:r>
          </w:p>
        </w:tc>
      </w:tr>
      <w:tr w:rsidTr="006D3D49" w:rsidR="006D3D49">
        <w:trPr>
          <w:gridAfter w:val="1"/>
          <w:wAfter w:type="dxa" w:w="963"/>
          <w:trHeight w:val="255"/>
        </w:trPr>
        <w:tc>
          <w:tcPr>
            <w:tcW w:type="dxa" w:w="6339"/>
            <w:tcBorders>
              <w:top w:val="nil"/>
              <w:left w:space="0" w:sz="4" w:color="auto" w:val="single"/>
              <w:bottom w:space="0" w:sz="4" w:color="auto" w:val="single"/>
              <w:right w:space="0" w:sz="4" w:color="auto" w:val="single"/>
            </w:tcBorders>
            <w:noWrap/>
            <w:vAlign w:val="bottom"/>
            <w:hideMark/>
          </w:tcPr>
          <w:p w:rsidRDefault="006D3D49" w:rsidR="006D3D49">
            <w:pPr>
              <w:jc w:val="both"/>
              <w:rPr>
                <w:rFonts w:cs="Arial" w:hAnsi="Arial" w:ascii="Arial"/>
                <w:sz w:val="18"/>
                <w:szCs w:val="18"/>
              </w:rPr>
            </w:pPr>
            <w:r>
              <w:rPr>
                <w:rFonts w:cs="Arial" w:hAnsi="Arial" w:ascii="Arial"/>
                <w:sz w:val="18"/>
                <w:szCs w:val="18"/>
              </w:rPr>
              <w:t xml:space="preserve">troškovi osiguranja stečajnog upravitelja </w:t>
            </w:r>
          </w:p>
        </w:tc>
        <w:tc>
          <w:tcPr>
            <w:tcW w:type="dxa" w:w="2607"/>
            <w:gridSpan w:val="2"/>
            <w:tcBorders>
              <w:top w:val="nil"/>
              <w:left w:val="nil"/>
              <w:bottom w:space="0" w:sz="4" w:color="auto" w:val="single"/>
              <w:right w:space="0" w:sz="4" w:color="auto" w:val="single"/>
            </w:tcBorders>
            <w:noWrap/>
            <w:vAlign w:val="bottom"/>
            <w:hideMark/>
          </w:tcPr>
          <w:p w:rsidRDefault="006D3D49" w:rsidR="006D3D49">
            <w:pPr>
              <w:jc w:val="right"/>
              <w:rPr>
                <w:rFonts w:cs="Arial" w:hAnsi="Arial" w:ascii="Arial"/>
                <w:sz w:val="18"/>
                <w:szCs w:val="18"/>
              </w:rPr>
            </w:pPr>
            <w:r>
              <w:rPr>
                <w:rFonts w:cs="Arial" w:hAnsi="Arial" w:ascii="Arial"/>
                <w:sz w:val="18"/>
                <w:szCs w:val="18"/>
              </w:rPr>
              <w:t>0,00</w:t>
            </w:r>
          </w:p>
        </w:tc>
      </w:tr>
      <w:tr w:rsidTr="006D3D49" w:rsidR="006D3D49">
        <w:trPr>
          <w:gridAfter w:val="1"/>
          <w:wAfter w:type="dxa" w:w="963"/>
          <w:trHeight w:val="255"/>
        </w:trPr>
        <w:tc>
          <w:tcPr>
            <w:tcW w:type="dxa" w:w="6339"/>
            <w:tcBorders>
              <w:top w:val="nil"/>
              <w:left w:space="0" w:sz="4" w:color="auto" w:val="single"/>
              <w:bottom w:space="0" w:sz="4" w:color="auto" w:val="single"/>
              <w:right w:space="0" w:sz="4" w:color="auto" w:val="single"/>
            </w:tcBorders>
            <w:noWrap/>
            <w:vAlign w:val="bottom"/>
            <w:hideMark/>
          </w:tcPr>
          <w:p w:rsidRDefault="006D3D49" w:rsidR="006D3D49">
            <w:pPr>
              <w:jc w:val="both"/>
              <w:rPr>
                <w:rFonts w:cs="Arial" w:hAnsi="Arial" w:ascii="Arial"/>
                <w:sz w:val="18"/>
                <w:szCs w:val="18"/>
              </w:rPr>
            </w:pPr>
            <w:r>
              <w:rPr>
                <w:rFonts w:cs="Arial" w:hAnsi="Arial" w:ascii="Arial"/>
                <w:sz w:val="18"/>
                <w:szCs w:val="18"/>
              </w:rPr>
              <w:t>Troškovi ovjere potpisa</w:t>
            </w:r>
          </w:p>
        </w:tc>
        <w:tc>
          <w:tcPr>
            <w:tcW w:type="dxa" w:w="2607"/>
            <w:gridSpan w:val="2"/>
            <w:tcBorders>
              <w:top w:val="nil"/>
              <w:left w:val="nil"/>
              <w:bottom w:space="0" w:sz="4" w:color="auto" w:val="single"/>
              <w:right w:space="0" w:sz="4" w:color="auto" w:val="single"/>
            </w:tcBorders>
            <w:noWrap/>
            <w:vAlign w:val="bottom"/>
            <w:hideMark/>
          </w:tcPr>
          <w:p w:rsidRDefault="006D3D49" w:rsidR="006D3D49">
            <w:pPr>
              <w:jc w:val="right"/>
              <w:rPr>
                <w:rFonts w:cs="Arial" w:hAnsi="Arial" w:ascii="Arial"/>
                <w:sz w:val="18"/>
                <w:szCs w:val="18"/>
              </w:rPr>
            </w:pPr>
            <w:r>
              <w:rPr>
                <w:rFonts w:cs="Arial" w:hAnsi="Arial" w:ascii="Arial"/>
                <w:sz w:val="18"/>
                <w:szCs w:val="18"/>
              </w:rPr>
              <w:t>0,00</w:t>
            </w:r>
          </w:p>
        </w:tc>
      </w:tr>
      <w:tr w:rsidTr="006D3D49" w:rsidR="006D3D49">
        <w:trPr>
          <w:gridAfter w:val="1"/>
          <w:wAfter w:type="dxa" w:w="963"/>
          <w:trHeight w:val="255"/>
        </w:trPr>
        <w:tc>
          <w:tcPr>
            <w:tcW w:type="dxa" w:w="6339"/>
            <w:tcBorders>
              <w:top w:val="nil"/>
              <w:left w:space="0" w:sz="4" w:color="auto" w:val="single"/>
              <w:bottom w:space="0" w:sz="4" w:color="auto" w:val="single"/>
              <w:right w:space="0" w:sz="4" w:color="auto" w:val="single"/>
            </w:tcBorders>
            <w:noWrap/>
            <w:vAlign w:val="bottom"/>
            <w:hideMark/>
          </w:tcPr>
          <w:p w:rsidRDefault="006D3D49" w:rsidR="006D3D49">
            <w:pPr>
              <w:jc w:val="both"/>
              <w:rPr>
                <w:rFonts w:cs="Arial" w:hAnsi="Arial" w:ascii="Arial"/>
                <w:sz w:val="18"/>
                <w:szCs w:val="18"/>
              </w:rPr>
            </w:pPr>
            <w:r>
              <w:rPr>
                <w:rFonts w:cs="Arial" w:hAnsi="Arial" w:ascii="Arial"/>
                <w:sz w:val="18"/>
                <w:szCs w:val="18"/>
              </w:rPr>
              <w:t xml:space="preserve">troškovi vođenja knjigovodstva i arhiviranja </w:t>
            </w:r>
          </w:p>
        </w:tc>
        <w:tc>
          <w:tcPr>
            <w:tcW w:type="dxa" w:w="2607"/>
            <w:gridSpan w:val="2"/>
            <w:tcBorders>
              <w:top w:val="nil"/>
              <w:left w:val="nil"/>
              <w:bottom w:space="0" w:sz="4" w:color="auto" w:val="single"/>
              <w:right w:space="0" w:sz="4" w:color="auto" w:val="single"/>
            </w:tcBorders>
            <w:noWrap/>
            <w:vAlign w:val="bottom"/>
            <w:hideMark/>
          </w:tcPr>
          <w:p w:rsidRDefault="006D3D49" w:rsidR="006D3D49">
            <w:pPr>
              <w:jc w:val="right"/>
              <w:rPr>
                <w:rFonts w:cs="Arial" w:hAnsi="Arial" w:ascii="Arial"/>
                <w:sz w:val="18"/>
                <w:szCs w:val="18"/>
              </w:rPr>
            </w:pPr>
            <w:r>
              <w:rPr>
                <w:rFonts w:cs="Arial" w:hAnsi="Arial" w:ascii="Arial"/>
                <w:sz w:val="18"/>
                <w:szCs w:val="18"/>
              </w:rPr>
              <w:t>5.000,00</w:t>
            </w:r>
          </w:p>
        </w:tc>
      </w:tr>
      <w:tr w:rsidTr="006D3D49" w:rsidR="006D3D49">
        <w:trPr>
          <w:gridAfter w:val="1"/>
          <w:wAfter w:type="dxa" w:w="963"/>
          <w:trHeight w:val="255"/>
        </w:trPr>
        <w:tc>
          <w:tcPr>
            <w:tcW w:type="dxa" w:w="6339"/>
            <w:tcBorders>
              <w:top w:val="nil"/>
              <w:left w:space="0" w:sz="4" w:color="auto" w:val="single"/>
              <w:bottom w:space="0" w:sz="4" w:color="auto" w:val="single"/>
              <w:right w:space="0" w:sz="4" w:color="auto" w:val="single"/>
            </w:tcBorders>
            <w:noWrap/>
            <w:vAlign w:val="bottom"/>
            <w:hideMark/>
          </w:tcPr>
          <w:p w:rsidRDefault="006D3D49" w:rsidR="006D3D49">
            <w:pPr>
              <w:jc w:val="both"/>
              <w:rPr>
                <w:rFonts w:cs="Arial" w:hAnsi="Arial" w:ascii="Arial"/>
                <w:sz w:val="18"/>
                <w:szCs w:val="18"/>
              </w:rPr>
            </w:pPr>
            <w:r>
              <w:rPr>
                <w:rFonts w:cs="Arial" w:hAnsi="Arial" w:ascii="Arial"/>
                <w:sz w:val="18"/>
                <w:szCs w:val="18"/>
              </w:rPr>
              <w:t>nagrada stečajnom upravitelju</w:t>
            </w:r>
          </w:p>
        </w:tc>
        <w:tc>
          <w:tcPr>
            <w:tcW w:type="dxa" w:w="2607"/>
            <w:gridSpan w:val="2"/>
            <w:tcBorders>
              <w:top w:val="nil"/>
              <w:left w:val="nil"/>
              <w:bottom w:space="0" w:sz="4" w:color="auto" w:val="single"/>
              <w:right w:space="0" w:sz="4" w:color="auto" w:val="single"/>
            </w:tcBorders>
            <w:noWrap/>
            <w:vAlign w:val="bottom"/>
            <w:hideMark/>
          </w:tcPr>
          <w:p w:rsidRDefault="006D3D49" w:rsidR="006D3D49">
            <w:pPr>
              <w:jc w:val="right"/>
              <w:rPr>
                <w:rFonts w:cs="Arial" w:hAnsi="Arial" w:ascii="Arial"/>
                <w:sz w:val="18"/>
                <w:szCs w:val="18"/>
              </w:rPr>
            </w:pPr>
            <w:r>
              <w:rPr>
                <w:rFonts w:cs="Arial" w:hAnsi="Arial" w:ascii="Arial"/>
                <w:sz w:val="18"/>
                <w:szCs w:val="18"/>
              </w:rPr>
              <w:t>0,00</w:t>
            </w:r>
          </w:p>
        </w:tc>
      </w:tr>
      <w:tr w:rsidTr="006D3D49" w:rsidR="006D3D49">
        <w:trPr>
          <w:gridAfter w:val="1"/>
          <w:wAfter w:type="dxa" w:w="963"/>
          <w:trHeight w:val="255"/>
        </w:trPr>
        <w:tc>
          <w:tcPr>
            <w:tcW w:type="dxa" w:w="6339"/>
            <w:tcBorders>
              <w:top w:val="nil"/>
              <w:left w:space="0" w:sz="4" w:color="auto" w:val="single"/>
              <w:bottom w:space="0" w:sz="4" w:color="auto" w:val="single"/>
              <w:right w:space="0" w:sz="4" w:color="auto" w:val="single"/>
            </w:tcBorders>
            <w:noWrap/>
            <w:vAlign w:val="bottom"/>
            <w:hideMark/>
          </w:tcPr>
          <w:p w:rsidRDefault="006D3D49" w:rsidR="006D3D49">
            <w:pPr>
              <w:jc w:val="both"/>
              <w:rPr>
                <w:rFonts w:cs="Arial" w:hAnsi="Arial" w:ascii="Arial"/>
                <w:sz w:val="18"/>
                <w:szCs w:val="18"/>
              </w:rPr>
            </w:pPr>
            <w:r>
              <w:rPr>
                <w:rFonts w:cs="Arial" w:hAnsi="Arial" w:ascii="Arial"/>
                <w:sz w:val="18"/>
                <w:szCs w:val="18"/>
              </w:rPr>
              <w:t>materijalni troškovi stečajnog upravitelja</w:t>
            </w:r>
          </w:p>
        </w:tc>
        <w:tc>
          <w:tcPr>
            <w:tcW w:type="dxa" w:w="2607"/>
            <w:gridSpan w:val="2"/>
            <w:tcBorders>
              <w:top w:val="nil"/>
              <w:left w:val="nil"/>
              <w:bottom w:space="0" w:sz="4" w:color="auto" w:val="single"/>
              <w:right w:space="0" w:sz="4" w:color="auto" w:val="single"/>
            </w:tcBorders>
            <w:noWrap/>
            <w:vAlign w:val="bottom"/>
            <w:hideMark/>
          </w:tcPr>
          <w:p w:rsidRDefault="006D3D49" w:rsidR="006D3D49">
            <w:pPr>
              <w:jc w:val="right"/>
              <w:rPr>
                <w:rFonts w:cs="Arial" w:hAnsi="Arial" w:ascii="Arial"/>
                <w:sz w:val="18"/>
                <w:szCs w:val="18"/>
              </w:rPr>
            </w:pPr>
            <w:r>
              <w:rPr>
                <w:rFonts w:cs="Arial" w:hAnsi="Arial" w:ascii="Arial"/>
                <w:sz w:val="18"/>
                <w:szCs w:val="18"/>
              </w:rPr>
              <w:t>3.000,00</w:t>
            </w:r>
          </w:p>
        </w:tc>
      </w:tr>
      <w:tr w:rsidTr="006D3D49" w:rsidR="006D3D49">
        <w:trPr>
          <w:gridAfter w:val="1"/>
          <w:wAfter w:type="dxa" w:w="963"/>
          <w:trHeight w:val="255"/>
        </w:trPr>
        <w:tc>
          <w:tcPr>
            <w:tcW w:type="dxa" w:w="6339"/>
            <w:tcBorders>
              <w:top w:val="nil"/>
              <w:left w:space="0" w:sz="4" w:color="auto" w:val="single"/>
              <w:bottom w:space="0" w:sz="4" w:color="auto" w:val="single"/>
              <w:right w:space="0" w:sz="4" w:color="auto" w:val="single"/>
            </w:tcBorders>
            <w:noWrap/>
            <w:vAlign w:val="bottom"/>
            <w:hideMark/>
          </w:tcPr>
          <w:p w:rsidRDefault="006D3D49" w:rsidR="006D3D49">
            <w:pPr>
              <w:jc w:val="both"/>
              <w:rPr>
                <w:rFonts w:cs="Arial" w:hAnsi="Arial" w:ascii="Arial"/>
                <w:sz w:val="18"/>
                <w:szCs w:val="18"/>
              </w:rPr>
            </w:pPr>
            <w:r>
              <w:rPr>
                <w:rFonts w:cs="Arial" w:hAnsi="Arial" w:ascii="Arial"/>
                <w:sz w:val="18"/>
                <w:szCs w:val="18"/>
              </w:rPr>
              <w:t>troškovi čuvanja pokretnina</w:t>
            </w:r>
          </w:p>
        </w:tc>
        <w:tc>
          <w:tcPr>
            <w:tcW w:type="dxa" w:w="2607"/>
            <w:gridSpan w:val="2"/>
            <w:tcBorders>
              <w:top w:val="nil"/>
              <w:left w:val="nil"/>
              <w:bottom w:space="0" w:sz="4" w:color="auto" w:val="single"/>
              <w:right w:space="0" w:sz="4" w:color="auto" w:val="single"/>
            </w:tcBorders>
            <w:noWrap/>
            <w:vAlign w:val="bottom"/>
            <w:hideMark/>
          </w:tcPr>
          <w:p w:rsidRDefault="006D3D49" w:rsidR="006D3D49">
            <w:pPr>
              <w:jc w:val="right"/>
              <w:rPr>
                <w:rFonts w:cs="Arial" w:hAnsi="Arial" w:ascii="Arial"/>
                <w:sz w:val="18"/>
                <w:szCs w:val="18"/>
              </w:rPr>
            </w:pPr>
            <w:r>
              <w:rPr>
                <w:rFonts w:cs="Arial" w:hAnsi="Arial" w:ascii="Arial"/>
                <w:sz w:val="18"/>
                <w:szCs w:val="18"/>
              </w:rPr>
              <w:t>1.000,00</w:t>
            </w:r>
          </w:p>
        </w:tc>
      </w:tr>
      <w:tr w:rsidTr="006D3D49" w:rsidR="006D3D49">
        <w:trPr>
          <w:gridAfter w:val="1"/>
          <w:wAfter w:type="dxa" w:w="963"/>
          <w:trHeight w:val="255"/>
        </w:trPr>
        <w:tc>
          <w:tcPr>
            <w:tcW w:type="dxa" w:w="6339"/>
            <w:tcBorders>
              <w:top w:val="nil"/>
              <w:left w:space="0" w:sz="4" w:color="auto" w:val="single"/>
              <w:bottom w:space="0" w:sz="4" w:color="auto" w:val="single"/>
              <w:right w:space="0" w:sz="4" w:color="auto" w:val="single"/>
            </w:tcBorders>
            <w:noWrap/>
            <w:vAlign w:val="bottom"/>
            <w:hideMark/>
          </w:tcPr>
          <w:p w:rsidRDefault="006D3D49" w:rsidR="006D3D49">
            <w:pPr>
              <w:jc w:val="both"/>
              <w:rPr>
                <w:rFonts w:cs="Arial" w:hAnsi="Arial" w:ascii="Arial"/>
                <w:b/>
                <w:bCs/>
                <w:sz w:val="18"/>
                <w:szCs w:val="18"/>
              </w:rPr>
            </w:pPr>
            <w:r>
              <w:rPr>
                <w:rFonts w:cs="Arial" w:hAnsi="Arial" w:ascii="Arial"/>
                <w:b/>
                <w:bCs/>
                <w:sz w:val="18"/>
                <w:szCs w:val="18"/>
              </w:rPr>
              <w:t>UKUPNO TROŠKOVI STEČAJNOG POSTUPKA</w:t>
            </w:r>
          </w:p>
        </w:tc>
        <w:tc>
          <w:tcPr>
            <w:tcW w:type="dxa" w:w="2607"/>
            <w:gridSpan w:val="2"/>
            <w:tcBorders>
              <w:top w:val="nil"/>
              <w:left w:val="nil"/>
              <w:bottom w:space="0" w:sz="4" w:color="auto" w:val="single"/>
              <w:right w:space="0" w:sz="4" w:color="auto" w:val="single"/>
            </w:tcBorders>
            <w:noWrap/>
            <w:vAlign w:val="bottom"/>
            <w:hideMark/>
          </w:tcPr>
          <w:p w:rsidRDefault="006D3D49" w:rsidR="006D3D49">
            <w:pPr>
              <w:jc w:val="right"/>
              <w:rPr>
                <w:rFonts w:cs="Arial" w:hAnsi="Arial" w:ascii="Arial"/>
                <w:b/>
                <w:bCs/>
                <w:sz w:val="18"/>
                <w:szCs w:val="18"/>
              </w:rPr>
            </w:pPr>
            <w:r>
              <w:rPr>
                <w:rFonts w:cs="Arial" w:hAnsi="Arial" w:ascii="Arial"/>
                <w:b/>
                <w:bCs/>
                <w:sz w:val="18"/>
                <w:szCs w:val="18"/>
              </w:rPr>
              <w:t>12.200,00</w:t>
            </w:r>
          </w:p>
        </w:tc>
      </w:tr>
      <w:tr w:rsidTr="006D3D49" w:rsidR="006D3D49">
        <w:trPr>
          <w:gridAfter w:val="1"/>
          <w:wAfter w:type="dxa" w:w="963"/>
          <w:trHeight w:val="255"/>
        </w:trPr>
        <w:tc>
          <w:tcPr>
            <w:tcW w:type="dxa" w:w="6339"/>
            <w:tcBorders>
              <w:top w:val="nil"/>
              <w:left w:space="0" w:sz="4" w:color="auto" w:val="single"/>
              <w:bottom w:space="0" w:sz="4" w:color="auto" w:val="single"/>
              <w:right w:space="0" w:sz="4" w:color="auto" w:val="single"/>
            </w:tcBorders>
            <w:noWrap/>
            <w:vAlign w:val="bottom"/>
            <w:hideMark/>
          </w:tcPr>
          <w:p w:rsidRDefault="006D3D49" w:rsidR="006D3D49">
            <w:pPr>
              <w:rPr>
                <w:rFonts w:cs="Arial" w:hAnsi="Arial" w:ascii="Arial"/>
                <w:b/>
                <w:bCs/>
                <w:sz w:val="18"/>
                <w:szCs w:val="18"/>
              </w:rPr>
            </w:pPr>
            <w:r>
              <w:rPr>
                <w:rFonts w:cs="Arial" w:hAnsi="Arial" w:ascii="Arial"/>
                <w:b/>
                <w:bCs/>
                <w:sz w:val="18"/>
                <w:szCs w:val="18"/>
              </w:rPr>
              <w:t xml:space="preserve">STEČAJNA MASA NAKON PODMIRENJA TROŠKOVA </w:t>
            </w:r>
          </w:p>
        </w:tc>
        <w:tc>
          <w:tcPr>
            <w:tcW w:type="dxa" w:w="2607"/>
            <w:gridSpan w:val="2"/>
            <w:tcBorders>
              <w:top w:val="nil"/>
              <w:left w:val="nil"/>
              <w:bottom w:space="0" w:sz="4" w:color="auto" w:val="single"/>
              <w:right w:space="0" w:sz="4" w:color="auto" w:val="single"/>
            </w:tcBorders>
            <w:noWrap/>
            <w:vAlign w:val="bottom"/>
            <w:hideMark/>
          </w:tcPr>
          <w:p w:rsidRDefault="006D3D49" w:rsidR="006D3D49">
            <w:pPr>
              <w:jc w:val="right"/>
              <w:rPr>
                <w:rFonts w:cs="Arial" w:hAnsi="Arial" w:ascii="Arial"/>
                <w:b/>
                <w:bCs/>
                <w:sz w:val="18"/>
                <w:szCs w:val="18"/>
              </w:rPr>
            </w:pPr>
            <w:r>
              <w:rPr>
                <w:rFonts w:cs="Arial" w:hAnsi="Arial" w:ascii="Arial"/>
                <w:b/>
                <w:bCs/>
                <w:sz w:val="18"/>
                <w:szCs w:val="18"/>
              </w:rPr>
              <w:t>-12.200,00</w:t>
            </w:r>
          </w:p>
        </w:tc>
      </w:tr>
    </w:tbl>
    <w:p w:rsidRDefault="006D3D49" w:rsidP="006D3D49" w:rsidR="006D3D49">
      <w:pPr>
        <w:ind w:left="708"/>
        <w:jc w:val="both"/>
        <w:rPr>
          <w:color w:val="FF0000"/>
        </w:rPr>
      </w:pPr>
    </w:p>
    <w:p w:rsidRDefault="006D3D49" w:rsidP="006D3D49" w:rsidR="006D3D49" w:rsidRPr="005F2A6C">
      <w:pPr>
        <w:jc w:val="both"/>
      </w:pPr>
      <w:r w:rsidRPr="005F2A6C">
        <w:lastRenderedPageBreak/>
        <w:t>Predl</w:t>
      </w:r>
      <w:r w:rsidR="005F2A6C">
        <w:t xml:space="preserve">ožila je </w:t>
      </w:r>
      <w:r w:rsidRPr="005F2A6C">
        <w:t xml:space="preserve">da prema članku 132. Stečajnog zakona sud donese Rješenje o otvaranju  i zaključenju stečajnog </w:t>
      </w:r>
      <w:proofErr w:type="spellStart"/>
      <w:r w:rsidRPr="005F2A6C">
        <w:t>stečajnog</w:t>
      </w:r>
      <w:proofErr w:type="spellEnd"/>
      <w:r w:rsidRPr="005F2A6C">
        <w:t xml:space="preserve"> postupka nad dužnikom DRAGUN d.o.o., Otok, Zrinski-Frankopana 58, OIB: 55692992124, MBS:030035717.</w:t>
      </w:r>
    </w:p>
    <w:p w:rsidRDefault="006D3D49" w:rsidP="006D3D49" w:rsidR="006D3D49">
      <w:pPr>
        <w:jc w:val="both"/>
      </w:pPr>
    </w:p>
    <w:p w:rsidRDefault="006D3D49" w:rsidP="006D3D49" w:rsidR="006D3D49">
      <w:pPr>
        <w:ind w:firstLine="720"/>
        <w:jc w:val="both"/>
      </w:pPr>
      <w:r>
        <w:t>Rješenjem ovoga suda broj St-</w:t>
      </w:r>
      <w:r w:rsidR="005F2A6C">
        <w:t>773</w:t>
      </w:r>
      <w:r>
        <w:t xml:space="preserve">/16 od </w:t>
      </w:r>
      <w:r w:rsidR="005F2A6C">
        <w:t>11</w:t>
      </w:r>
      <w:r>
        <w:t xml:space="preserve">. siječnja 2017. g. sud je pozvao osobe koje imaju pravni interes za provedbom stečajnog postupka nad dužnikom da se u roku od 15 dana od dana objave rješenja na e-oglasnoj ploči ovoga suda solidarno uplate na sudski depozit </w:t>
      </w:r>
      <w:r w:rsidR="005F2A6C">
        <w:t>12.2</w:t>
      </w:r>
      <w:r>
        <w:t>00,00 kn na ime predujma za pokriće troškova kako prethodnog tako i otvorenog stečajnog postupka u protivnom će sud donijeti odluku o otvaranju i zaključenju stečajnog postupka sukladno čl. 132 Stečajnog zakona (NN 71/15).</w:t>
      </w:r>
    </w:p>
    <w:p w:rsidRDefault="006D3D49" w:rsidP="006D3D49" w:rsidR="006D3D49">
      <w:pPr>
        <w:jc w:val="both"/>
      </w:pPr>
    </w:p>
    <w:p w:rsidRDefault="006D3D49" w:rsidP="006D3D49" w:rsidR="006D3D49">
      <w:pPr>
        <w:ind w:firstLine="720"/>
        <w:jc w:val="both"/>
      </w:pPr>
      <w:r>
        <w:t xml:space="preserve">Navedeno rješenje objavljeno je na mrežnim stranicama e-oglasna ploča Trgovačkog suda u Osijeku dana </w:t>
      </w:r>
      <w:r w:rsidR="005F2A6C">
        <w:t>11</w:t>
      </w:r>
      <w:r>
        <w:t>. siječnja 2017. g.</w:t>
      </w:r>
    </w:p>
    <w:p w:rsidRDefault="006D3D49" w:rsidP="006D3D49" w:rsidR="006D3D49">
      <w:pPr>
        <w:jc w:val="both"/>
      </w:pPr>
      <w:r>
        <w:t xml:space="preserve"> </w:t>
      </w:r>
    </w:p>
    <w:p w:rsidRDefault="006D3D49" w:rsidP="006D3D49" w:rsidR="006D3D49">
      <w:pPr>
        <w:ind w:firstLine="720"/>
        <w:jc w:val="both"/>
      </w:pPr>
      <w:r>
        <w:t>Po pozivu suda na gore navedeno rješenje u zadanom roku nitko od zainteresiranih osoba nije uplatio predujam za pokriće troškova stečajnog postupka.</w:t>
      </w:r>
    </w:p>
    <w:p w:rsidRDefault="006D3D49" w:rsidP="006D3D49" w:rsidR="006D3D49">
      <w:pPr>
        <w:jc w:val="both"/>
      </w:pPr>
    </w:p>
    <w:p w:rsidRDefault="006D3D49" w:rsidP="005F2A6C" w:rsidR="006D3D49">
      <w:pPr>
        <w:ind w:firstLine="720"/>
        <w:jc w:val="both"/>
      </w:pPr>
      <w:r>
        <w:t xml:space="preserve">Sud je proveo uvid u materijalnu dokumentaciju u spisu i to prijedlog FINE za </w:t>
      </w:r>
      <w:r w:rsidR="005F2A6C">
        <w:t>otvaranje st.</w:t>
      </w:r>
      <w:r>
        <w:t xml:space="preserve"> postupka dužnika od </w:t>
      </w:r>
      <w:r w:rsidR="005F2A6C">
        <w:t>30.3.</w:t>
      </w:r>
      <w:r>
        <w:t xml:space="preserve">2016. g., povijesni izvadak iz sudskog registra za dužnika, </w:t>
      </w:r>
      <w:proofErr w:type="spellStart"/>
      <w:r>
        <w:t>prokazni</w:t>
      </w:r>
      <w:proofErr w:type="spellEnd"/>
      <w:r>
        <w:t xml:space="preserve"> popis imovine</w:t>
      </w:r>
      <w:r w:rsidR="005F2A6C">
        <w:t xml:space="preserve"> dužnika od 15.12.2016. g.</w:t>
      </w:r>
      <w:r>
        <w:t xml:space="preserve"> ovjerovljen kod javnog bilježnika </w:t>
      </w:r>
      <w:r w:rsidR="005F2A6C">
        <w:t xml:space="preserve">Alen </w:t>
      </w:r>
      <w:proofErr w:type="spellStart"/>
      <w:r w:rsidR="005F2A6C">
        <w:t>Vajcl</w:t>
      </w:r>
      <w:proofErr w:type="spellEnd"/>
      <w:r w:rsidR="005F2A6C">
        <w:t xml:space="preserve"> iz Vinkovaca OV-6486/16 od 15.12.2016. g., Uvjerenje MUP PU PP Otok od 27.12.2016. g., Potvrda OS Vukovar </w:t>
      </w:r>
      <w:proofErr w:type="spellStart"/>
      <w:r w:rsidR="005F2A6C">
        <w:t>zk</w:t>
      </w:r>
      <w:proofErr w:type="spellEnd"/>
      <w:r w:rsidR="005F2A6C">
        <w:t>. odjel Vinkovci od 28.12.2016. g., potvrda FINE o blokadi računa od 19.12.2016. g., stanje dugotrajne imovine do 30.11.2016. g., bruto bilanca do 30.11.2016. g., 31.12.2015. g., prijava poreza na dobit za 2015. g., obračunska lista 10 od 31.10.2016. g., izvješće o primicima, porezu na dohodak i prirezu te doprinosima za obvezna osiguranja na dan 30.11.2016. g.</w:t>
      </w:r>
    </w:p>
    <w:p w:rsidRDefault="005F2A6C" w:rsidP="005F2A6C" w:rsidR="005F2A6C">
      <w:pPr>
        <w:ind w:firstLine="720"/>
        <w:jc w:val="both"/>
      </w:pPr>
    </w:p>
    <w:p w:rsidRDefault="005F2A6C" w:rsidP="005F2A6C" w:rsidR="005F2A6C">
      <w:pPr>
        <w:ind w:firstLine="708"/>
        <w:jc w:val="both"/>
      </w:pPr>
      <w:r>
        <w:t xml:space="preserve">Slijedom navedenog a temeljem provedenog dokaznog postupka sud je utvrdio da su ispunjene pretpostavke za otvaranje stečajnog postupka nad dužnikom propisane čl. 5 i 6 Stečajnog zakona („Narodne novine“ broj 71/15 u daljnjem tekstu SZ) – nesposobnost za plaćanje te budući da se po pozivu suda iz rješenja od 11. siječnja 2017. g. nisu javili vjerovnici odnosno zainteresirane osobe za provedbu stečajnog postupka nad dužnikom u zadanom roku, te budući da je iz </w:t>
      </w:r>
      <w:proofErr w:type="spellStart"/>
      <w:r>
        <w:t>prokaznog</w:t>
      </w:r>
      <w:proofErr w:type="spellEnd"/>
      <w:r>
        <w:t xml:space="preserve"> popisa imovine dužnika ovjerovljenog kod javnog bilježnika razvidno da dužnik nema nikakve imovine a niti onu koja bi bila dovoljna za namirenje troškova stečajnog postupka valjalo je stečajni postupak nad dužnikom zaključiti i odlučiti kao u izreci a sukladno čl. 132 st. 2 SZ u vezi s čl. 116 st. 1 t. 2 i čl. 110 st. 1 SZ.</w:t>
      </w:r>
    </w:p>
    <w:p w:rsidRDefault="005F2A6C" w:rsidP="005F2A6C" w:rsidR="005F2A6C">
      <w:pPr>
        <w:ind w:firstLine="720"/>
        <w:jc w:val="both"/>
      </w:pPr>
    </w:p>
    <w:p w:rsidRDefault="006D3D49" w:rsidP="006D3D49" w:rsidR="006D3D49">
      <w:pPr>
        <w:jc w:val="both"/>
      </w:pPr>
    </w:p>
    <w:p w:rsidRDefault="005F2A6C" w:rsidP="006D3D49" w:rsidR="005F2A6C">
      <w:pPr>
        <w:jc w:val="both"/>
      </w:pPr>
    </w:p>
    <w:p w:rsidRDefault="005F2A6C" w:rsidP="006D3D49" w:rsidR="005F2A6C">
      <w:pPr>
        <w:jc w:val="both"/>
      </w:pPr>
    </w:p>
    <w:p w:rsidRDefault="005F2A6C" w:rsidP="006D3D49" w:rsidR="005F2A6C">
      <w:pPr>
        <w:jc w:val="both"/>
      </w:pPr>
    </w:p>
    <w:p w:rsidRDefault="005F2A6C" w:rsidP="006D3D49" w:rsidR="005F2A6C">
      <w:pPr>
        <w:jc w:val="both"/>
      </w:pPr>
    </w:p>
    <w:p w:rsidRDefault="005F2A6C" w:rsidP="006D3D49" w:rsidR="005F2A6C">
      <w:pPr>
        <w:jc w:val="both"/>
      </w:pPr>
    </w:p>
    <w:p w:rsidRDefault="005F2A6C" w:rsidP="006D3D49" w:rsidR="005F2A6C">
      <w:pPr>
        <w:jc w:val="both"/>
      </w:pPr>
    </w:p>
    <w:p w:rsidRDefault="005F2A6C" w:rsidP="006D3D49" w:rsidR="005F2A6C">
      <w:pPr>
        <w:jc w:val="both"/>
      </w:pPr>
    </w:p>
    <w:p w:rsidRDefault="005F2A6C" w:rsidP="006D3D49" w:rsidR="005F2A6C">
      <w:pPr>
        <w:jc w:val="both"/>
      </w:pPr>
    </w:p>
    <w:p w:rsidRDefault="005F2A6C" w:rsidP="006D3D49" w:rsidR="005F2A6C">
      <w:pPr>
        <w:jc w:val="both"/>
      </w:pPr>
    </w:p>
    <w:p w:rsidRDefault="006D3D49" w:rsidP="006D3D49" w:rsidR="006D3D49">
      <w:pPr>
        <w:ind w:firstLine="720"/>
        <w:jc w:val="both"/>
      </w:pPr>
      <w:r>
        <w:t xml:space="preserve">Za stečajnog upravitelja, automatskim odabirom, imenovana je </w:t>
      </w:r>
      <w:r w:rsidR="005F2A6C">
        <w:t xml:space="preserve">Sanda Marinac </w:t>
      </w:r>
      <w:r>
        <w:t xml:space="preserve">iz </w:t>
      </w:r>
      <w:r w:rsidR="005F2A6C">
        <w:t>Požege</w:t>
      </w:r>
      <w:r>
        <w:t xml:space="preserve"> s liste A stečajnih upravitelja za područje nadležnosti ovoga suda a sukladno čl. 84 st. 1 u vezi s čl. 85 st. 2 SZ.</w:t>
      </w:r>
    </w:p>
    <w:p w:rsidRDefault="006D3D49" w:rsidP="006D3D49" w:rsidR="006D3D49">
      <w:pPr>
        <w:ind w:firstLine="720"/>
        <w:jc w:val="both"/>
      </w:pPr>
    </w:p>
    <w:p w:rsidRDefault="006D3D49" w:rsidP="006D3D49" w:rsidR="006D3D49">
      <w:pPr>
        <w:ind w:firstLine="720"/>
        <w:jc w:val="both"/>
      </w:pPr>
    </w:p>
    <w:p w:rsidRDefault="006D3D49" w:rsidP="006D3D49" w:rsidR="006D3D49">
      <w:pPr>
        <w:jc w:val="both"/>
      </w:pPr>
    </w:p>
    <w:p w:rsidRDefault="002106FF" w:rsidP="007D2041" w:rsidR="002106FF">
      <w:pPr>
        <w:jc w:val="both"/>
      </w:pPr>
    </w:p>
    <w:p w:rsidRDefault="002106FF" w:rsidP="007D2041" w:rsidR="002106FF">
      <w:pPr>
        <w:jc w:val="both"/>
      </w:pPr>
    </w:p>
    <w:p w:rsidRDefault="00324E7F" w:rsidP="00D8612A" w:rsidR="00C41AEF">
      <w:pPr>
        <w:jc w:val="center"/>
      </w:pPr>
      <w:r w:rsidRPr="00D2596C">
        <w:t xml:space="preserve">U Osijeku </w:t>
      </w:r>
      <w:r w:rsidR="005F2A6C">
        <w:t>13. ožujka</w:t>
      </w:r>
      <w:r w:rsidR="00D9130C">
        <w:t xml:space="preserve"> 2017. g.</w:t>
      </w:r>
    </w:p>
    <w:p w:rsidRDefault="00590AC7" w:rsidP="00F058D9" w:rsidR="00590AC7">
      <w:pPr>
        <w:tabs>
          <w:tab w:pos="1065" w:val="left"/>
        </w:tabs>
      </w:pPr>
    </w:p>
    <w:p w:rsidRDefault="002106FF" w:rsidP="00F058D9" w:rsidR="002106FF">
      <w:pPr>
        <w:tabs>
          <w:tab w:pos="1065" w:val="left"/>
        </w:tabs>
      </w:pPr>
    </w:p>
    <w:p w:rsidRDefault="002106FF" w:rsidP="00F058D9" w:rsidR="002106FF">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831D30">
      <w:pPr>
        <w:ind w:hanging="5760" w:left="5760"/>
      </w:pPr>
      <w:r>
        <w:tab/>
      </w:r>
      <w:r>
        <w:tab/>
        <w:t>Nada Roso</w:t>
      </w:r>
      <w:r w:rsidR="00DF5F6A">
        <w:t xml:space="preserve">        </w:t>
      </w:r>
    </w:p>
    <w:p w:rsidRDefault="00831D30" w:rsidP="00984C3D" w:rsidR="00831D30">
      <w:pPr>
        <w:ind w:hanging="5760" w:left="5760"/>
      </w:pPr>
    </w:p>
    <w:p w:rsidRDefault="00831D30" w:rsidP="00984C3D" w:rsidR="00831D30">
      <w:pPr>
        <w:ind w:hanging="5760" w:left="5760"/>
      </w:pPr>
    </w:p>
    <w:p w:rsidRDefault="002106FF" w:rsidP="00984C3D" w:rsidR="002106FF">
      <w:pPr>
        <w:ind w:hanging="5760" w:left="5760"/>
      </w:pPr>
    </w:p>
    <w:p w:rsidRDefault="002106FF" w:rsidP="00984C3D" w:rsidR="002106FF">
      <w:pPr>
        <w:ind w:hanging="5760" w:left="5760"/>
      </w:pPr>
    </w:p>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pPr>
    </w:p>
    <w:p w:rsidRDefault="007D7E9A" w:rsidP="00DF5F6A" w:rsidR="007D7E9A" w:rsidRPr="007C599D">
      <w:pPr>
        <w:jc w:val="both"/>
        <w:rPr>
          <w:b/>
        </w:rPr>
      </w:pPr>
    </w:p>
    <w:p w:rsidRDefault="00DF5F6A" w:rsidP="00DF5F6A" w:rsidR="00DF5F6A" w:rsidRPr="007D7E9A">
      <w:pPr>
        <w:jc w:val="both"/>
      </w:pPr>
      <w:r w:rsidRPr="007D7E9A">
        <w:t>DNA:</w:t>
      </w:r>
    </w:p>
    <w:p w:rsidRDefault="00DF5F6A" w:rsidP="00456F1B" w:rsidR="007D2041" w:rsidRPr="00C15A9A">
      <w:r w:rsidRPr="007D7E9A">
        <w:t>1.</w:t>
      </w:r>
      <w:r w:rsidRPr="007D7E9A">
        <w:rPr>
          <w:b/>
        </w:rPr>
        <w:t xml:space="preserve"> </w:t>
      </w:r>
      <w:r w:rsidRPr="007D7E9A">
        <w:t>stečajn</w:t>
      </w:r>
      <w:r w:rsidR="00E33447" w:rsidRPr="007D7E9A">
        <w:t>i</w:t>
      </w:r>
      <w:r w:rsidRPr="007D7E9A">
        <w:t xml:space="preserve"> uprav. </w:t>
      </w:r>
      <w:r w:rsidR="005F2A6C">
        <w:t xml:space="preserve">Sanda Marinac, </w:t>
      </w:r>
      <w:proofErr w:type="spellStart"/>
      <w:r w:rsidR="005F2A6C">
        <w:t>Poežga</w:t>
      </w:r>
      <w:proofErr w:type="spellEnd"/>
      <w:r w:rsidR="005F2A6C">
        <w:t xml:space="preserve">, </w:t>
      </w:r>
      <w:r w:rsidR="005F2A6C" w:rsidRPr="005F2A6C">
        <w:t>K. Krešimira 53</w:t>
      </w:r>
    </w:p>
    <w:p w:rsidRDefault="00DD1315" w:rsidP="0017695F" w:rsidR="00DF5F6A">
      <w:pPr>
        <w:tabs>
          <w:tab w:pos="4965" w:val="left"/>
        </w:tabs>
        <w:jc w:val="both"/>
      </w:pPr>
      <w:r>
        <w:t>2</w:t>
      </w:r>
      <w:r w:rsidR="00DF5F6A" w:rsidRPr="007D7E9A">
        <w:t>.</w:t>
      </w:r>
      <w:r w:rsidR="00DF5F6A" w:rsidRPr="007D7E9A">
        <w:rPr>
          <w:b/>
        </w:rPr>
        <w:t xml:space="preserve"> </w:t>
      </w:r>
      <w:r w:rsidR="00DF5F6A" w:rsidRPr="007D7E9A">
        <w:t xml:space="preserve">ŽDO </w:t>
      </w:r>
      <w:r w:rsidR="004A2B09">
        <w:t>Vukovar</w:t>
      </w:r>
    </w:p>
    <w:p w:rsidRDefault="00AB2B8B" w:rsidP="00C15A9A" w:rsidR="005F2A6C" w:rsidRPr="005F2A6C">
      <w:pPr>
        <w:tabs>
          <w:tab w:pos="4965" w:val="left"/>
        </w:tabs>
        <w:jc w:val="both"/>
      </w:pPr>
      <w:r>
        <w:t xml:space="preserve">3. </w:t>
      </w:r>
      <w:proofErr w:type="spellStart"/>
      <w:r w:rsidR="004A2B09">
        <w:t>z.z</w:t>
      </w:r>
      <w:proofErr w:type="spellEnd"/>
      <w:r w:rsidR="004A2B09">
        <w:t xml:space="preserve">. dužnika </w:t>
      </w:r>
      <w:r w:rsidR="005F2A6C" w:rsidRPr="005F2A6C">
        <w:t xml:space="preserve">Mijo Dragun, Otok, Zrinski-Frankopana 58 </w:t>
      </w:r>
    </w:p>
    <w:p w:rsidRDefault="00AB2B8B" w:rsidP="005F2A6C" w:rsidR="00831D30">
      <w:pPr>
        <w:tabs>
          <w:tab w:pos="4965" w:val="left"/>
          <w:tab w:pos="5415" w:val="left"/>
        </w:tabs>
        <w:jc w:val="both"/>
      </w:pPr>
      <w:r>
        <w:t>5</w:t>
      </w:r>
      <w:r w:rsidR="007D7E9A" w:rsidRPr="0017695F">
        <w:t>. dužnik</w:t>
      </w:r>
      <w:r w:rsidR="00BA7BA2" w:rsidRPr="00BA7BA2">
        <w:tab/>
      </w:r>
      <w:r w:rsidR="005F2A6C">
        <w:tab/>
      </w:r>
    </w:p>
    <w:p w:rsidRDefault="00AB2B8B" w:rsidP="00BA7BA2" w:rsidR="00163859">
      <w:pPr>
        <w:tabs>
          <w:tab w:pos="3225" w:val="left"/>
          <w:tab w:pos="5850" w:val="left"/>
        </w:tabs>
        <w:jc w:val="both"/>
      </w:pPr>
      <w:r>
        <w:t>6</w:t>
      </w:r>
      <w:r w:rsidR="00DF5F6A" w:rsidRPr="007D7E9A">
        <w:t xml:space="preserve">. </w:t>
      </w:r>
      <w:r w:rsidR="007D7E9A">
        <w:t>e-</w:t>
      </w:r>
      <w:proofErr w:type="spellStart"/>
      <w:r w:rsidR="00DF5F6A" w:rsidRPr="007D7E9A">
        <w:t>ogl</w:t>
      </w:r>
      <w:proofErr w:type="spellEnd"/>
      <w:r w:rsidR="00DF5F6A" w:rsidRPr="007D7E9A">
        <w:t>. pl.</w:t>
      </w:r>
      <w:r w:rsidR="005F2A6C">
        <w:t xml:space="preserve"> uz </w:t>
      </w:r>
      <w:proofErr w:type="spellStart"/>
      <w:r w:rsidR="005F2A6C">
        <w:t>prokazni</w:t>
      </w:r>
      <w:proofErr w:type="spellEnd"/>
      <w:r w:rsidR="005F2A6C">
        <w:t xml:space="preserve"> popis imovine (str. 17-25 spisa)</w:t>
      </w:r>
    </w:p>
    <w:p w:rsidRDefault="00AB2B8B" w:rsidP="00163859" w:rsidR="00163859">
      <w:pPr>
        <w:tabs>
          <w:tab w:pos="3225" w:val="left"/>
          <w:tab w:pos="5850" w:val="left"/>
        </w:tabs>
        <w:jc w:val="both"/>
      </w:pPr>
      <w:r>
        <w:t>7</w:t>
      </w:r>
      <w:r w:rsidR="00163859">
        <w:t>. Registar</w:t>
      </w:r>
      <w:r w:rsidR="005456F8">
        <w:t xml:space="preserve"> TS Osijek</w:t>
      </w:r>
    </w:p>
    <w:p w:rsidRDefault="00AB2B8B" w:rsidP="00163859" w:rsidR="00163859">
      <w:pPr>
        <w:tabs>
          <w:tab w:pos="3225" w:val="left"/>
          <w:tab w:pos="5850" w:val="left"/>
        </w:tabs>
        <w:jc w:val="both"/>
      </w:pPr>
      <w:r>
        <w:t>8</w:t>
      </w:r>
      <w:r w:rsidR="00163859">
        <w:t>. FINA</w:t>
      </w:r>
    </w:p>
    <w:p w:rsidRDefault="00AB2B8B" w:rsidP="00163859" w:rsidR="00163859">
      <w:pPr>
        <w:tabs>
          <w:tab w:pos="3225" w:val="left"/>
          <w:tab w:pos="5850" w:val="left"/>
        </w:tabs>
        <w:jc w:val="both"/>
      </w:pPr>
      <w:r>
        <w:t>9</w:t>
      </w:r>
      <w:r w:rsidR="00163859">
        <w:t xml:space="preserve">. kal. </w:t>
      </w:r>
      <w:r w:rsidR="005F2A6C">
        <w:t>13.4.</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F058D9" w:rsidP="00F058D9" w:rsidR="00F058D9" w:rsidRPr="00F058D9">
      <w:pPr>
        <w:tabs>
          <w:tab w:pos="1065" w:val="left"/>
        </w:tabs>
      </w:pPr>
      <w:bookmarkStart w:name="_GoBack" w:id="0"/>
      <w:bookmarkEnd w:id="0"/>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A3484" w:rsidR="001A3484">
      <w:r>
        <w:separator/>
      </w:r>
    </w:p>
  </w:endnote>
  <w:endnote w:id="0" w:type="continuationSeparator">
    <w:p w:rsidRDefault="001A3484" w:rsidR="001A348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A3484" w:rsidR="001A3484">
      <w:r>
        <w:separator/>
      </w:r>
    </w:p>
  </w:footnote>
  <w:footnote w:id="0" w:type="continuationSeparator">
    <w:p w:rsidRDefault="001A3484" w:rsidR="001A348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F5B15">
      <w:rPr>
        <w:rStyle w:val="Brojstranice"/>
        <w:noProof/>
      </w:rPr>
      <w:t>- 6 -</w:t>
    </w:r>
    <w:r>
      <w:rPr>
        <w:rStyle w:val="Brojstranice"/>
      </w:rPr>
      <w:fldChar w:fldCharType="end"/>
    </w:r>
  </w:p>
  <w:p w:rsidRDefault="006D3D49" w:rsidP="006D3D49" w:rsidR="006D3D49">
    <w:pPr>
      <w:jc w:val="right"/>
    </w:pPr>
    <w:r>
      <w:t>Broj: 6 St-773/16-12</w:t>
    </w:r>
  </w:p>
  <w:p w:rsidRDefault="0092156A" w:rsidP="006D3D49"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38A6C0C"/>
    <w:multiLevelType w:val="hybridMultilevel"/>
    <w:tmpl w:val="0EBA4C4E"/>
    <w:lvl w:tplc="05364886" w:ilvl="0">
      <w:start w:val="1"/>
      <w:numFmt w:val="decimal"/>
      <w:lvlText w:val="%1."/>
      <w:lvlJc w:val="left"/>
      <w:pPr>
        <w:ind w:hanging="360" w:left="1068"/>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8">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7EC30FD"/>
    <w:multiLevelType w:val="hybridMultilevel"/>
    <w:tmpl w:val="137E106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1">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3">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4">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7">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8">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0">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1">
    <w:nsid w:val="7EF70B52"/>
    <w:multiLevelType w:val="hybridMultilevel"/>
    <w:tmpl w:val="089CCA28"/>
    <w:lvl w:tplc="041A000B" w:ilvl="0">
      <w:start w:val="1"/>
      <w:numFmt w:val="bullet"/>
      <w:lvlText w:val=""/>
      <w:lvlJc w:val="left"/>
      <w:pPr>
        <w:tabs>
          <w:tab w:pos="720" w:val="num"/>
        </w:tabs>
        <w:ind w:hanging="360" w:left="720"/>
      </w:pPr>
      <w:rPr>
        <w:rFonts w:hAnsi="Wingdings" w:ascii="Wingdings" w:hint="default"/>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2">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num>
  <w:num w:numId="2">
    <w:abstractNumId w:val="2"/>
  </w:num>
  <w:num w:numId="3">
    <w:abstractNumId w:val="15"/>
  </w:num>
  <w:num w:numId="4">
    <w:abstractNumId w:val="10"/>
  </w:num>
  <w:num w:numId="5">
    <w:abstractNumId w:val="18"/>
  </w:num>
  <w:num w:numId="6">
    <w:abstractNumId w:val="22"/>
  </w:num>
  <w:num w:numId="7">
    <w:abstractNumId w:val="14"/>
  </w:num>
  <w:num w:numId="8">
    <w:abstractNumId w:val="17"/>
  </w:num>
  <w:num w:numId="9">
    <w:abstractNumId w:val="3"/>
  </w:num>
  <w:num w:numId="10">
    <w:abstractNumId w:val="1"/>
  </w:num>
  <w:num w:numId="11">
    <w:abstractNumId w:val="19"/>
  </w:num>
  <w:num w:numId="12">
    <w:abstractNumId w:val="6"/>
  </w:num>
  <w:num w:numId="13">
    <w:abstractNumId w:val="8"/>
  </w:num>
  <w:num w:numId="14">
    <w:abstractNumId w:val="16"/>
  </w:num>
  <w:num w:numId="15">
    <w:abstractNumId w:val="20"/>
  </w:num>
  <w:num w:numId="16">
    <w:abstractNumId w:val="0"/>
  </w:num>
  <w:num w:numId="17">
    <w:abstractNumId w:val="7"/>
  </w:num>
  <w:num w:numId="18">
    <w:abstractNumId w:val="12"/>
  </w:num>
  <w:num w:numId="19">
    <w:abstractNumId w:val="13"/>
  </w:num>
  <w:num w:numId="20">
    <w:abstractNumId w:val="5"/>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324C"/>
    <w:rsid w:val="000549DC"/>
    <w:rsid w:val="00054BF6"/>
    <w:rsid w:val="000569DB"/>
    <w:rsid w:val="000615E0"/>
    <w:rsid w:val="000714CD"/>
    <w:rsid w:val="00076B1B"/>
    <w:rsid w:val="00080341"/>
    <w:rsid w:val="00097EDD"/>
    <w:rsid w:val="000A0A06"/>
    <w:rsid w:val="000A36A9"/>
    <w:rsid w:val="000C2EBA"/>
    <w:rsid w:val="000E4DA4"/>
    <w:rsid w:val="000E532B"/>
    <w:rsid w:val="000F332B"/>
    <w:rsid w:val="0010057F"/>
    <w:rsid w:val="0010241A"/>
    <w:rsid w:val="001146A9"/>
    <w:rsid w:val="001154A0"/>
    <w:rsid w:val="0013537E"/>
    <w:rsid w:val="001473BF"/>
    <w:rsid w:val="00154D2B"/>
    <w:rsid w:val="00163859"/>
    <w:rsid w:val="00163993"/>
    <w:rsid w:val="00164709"/>
    <w:rsid w:val="00171423"/>
    <w:rsid w:val="0017695F"/>
    <w:rsid w:val="00185ABA"/>
    <w:rsid w:val="001956E6"/>
    <w:rsid w:val="001A3484"/>
    <w:rsid w:val="001A7B3C"/>
    <w:rsid w:val="001C39D1"/>
    <w:rsid w:val="001C68B7"/>
    <w:rsid w:val="001D04A7"/>
    <w:rsid w:val="001D771B"/>
    <w:rsid w:val="001F1BA6"/>
    <w:rsid w:val="001F7662"/>
    <w:rsid w:val="002106FF"/>
    <w:rsid w:val="00240917"/>
    <w:rsid w:val="00243617"/>
    <w:rsid w:val="002526D3"/>
    <w:rsid w:val="00271876"/>
    <w:rsid w:val="00271F61"/>
    <w:rsid w:val="002743AC"/>
    <w:rsid w:val="002859AC"/>
    <w:rsid w:val="002B215E"/>
    <w:rsid w:val="002B7A2F"/>
    <w:rsid w:val="002C25B5"/>
    <w:rsid w:val="002C5B24"/>
    <w:rsid w:val="002D7A99"/>
    <w:rsid w:val="002E06A8"/>
    <w:rsid w:val="002E2CA7"/>
    <w:rsid w:val="002F1901"/>
    <w:rsid w:val="003136DB"/>
    <w:rsid w:val="00324E7F"/>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74DF"/>
    <w:rsid w:val="003F1016"/>
    <w:rsid w:val="00401E49"/>
    <w:rsid w:val="00402E82"/>
    <w:rsid w:val="004038C3"/>
    <w:rsid w:val="00415EA9"/>
    <w:rsid w:val="0042088B"/>
    <w:rsid w:val="00421F7D"/>
    <w:rsid w:val="00425304"/>
    <w:rsid w:val="00426D87"/>
    <w:rsid w:val="004275EC"/>
    <w:rsid w:val="004319DA"/>
    <w:rsid w:val="004508DE"/>
    <w:rsid w:val="00456F1B"/>
    <w:rsid w:val="00460DFD"/>
    <w:rsid w:val="004752F0"/>
    <w:rsid w:val="00475E77"/>
    <w:rsid w:val="004832DB"/>
    <w:rsid w:val="004843FB"/>
    <w:rsid w:val="0048660A"/>
    <w:rsid w:val="004929A7"/>
    <w:rsid w:val="004A2B09"/>
    <w:rsid w:val="004A3B17"/>
    <w:rsid w:val="004B2427"/>
    <w:rsid w:val="004B64D1"/>
    <w:rsid w:val="004C6676"/>
    <w:rsid w:val="004D6DB6"/>
    <w:rsid w:val="004E58C3"/>
    <w:rsid w:val="004F16D5"/>
    <w:rsid w:val="00506A8F"/>
    <w:rsid w:val="00511E05"/>
    <w:rsid w:val="0052238B"/>
    <w:rsid w:val="00523EB3"/>
    <w:rsid w:val="00536767"/>
    <w:rsid w:val="00542326"/>
    <w:rsid w:val="005456F8"/>
    <w:rsid w:val="0055174B"/>
    <w:rsid w:val="00563C8E"/>
    <w:rsid w:val="00567EF6"/>
    <w:rsid w:val="00575A6C"/>
    <w:rsid w:val="00581F83"/>
    <w:rsid w:val="00590AC7"/>
    <w:rsid w:val="005A1622"/>
    <w:rsid w:val="005A609C"/>
    <w:rsid w:val="005B2397"/>
    <w:rsid w:val="005B570E"/>
    <w:rsid w:val="005D023F"/>
    <w:rsid w:val="005E0664"/>
    <w:rsid w:val="005F2A6C"/>
    <w:rsid w:val="005F38B0"/>
    <w:rsid w:val="00631AD2"/>
    <w:rsid w:val="00631B6D"/>
    <w:rsid w:val="006451E7"/>
    <w:rsid w:val="00665935"/>
    <w:rsid w:val="0066649B"/>
    <w:rsid w:val="00670C39"/>
    <w:rsid w:val="00672FCA"/>
    <w:rsid w:val="006810E9"/>
    <w:rsid w:val="0068151D"/>
    <w:rsid w:val="006A3974"/>
    <w:rsid w:val="006A3F79"/>
    <w:rsid w:val="006A6E09"/>
    <w:rsid w:val="006B2371"/>
    <w:rsid w:val="006B2E64"/>
    <w:rsid w:val="006C0D3B"/>
    <w:rsid w:val="006D3D49"/>
    <w:rsid w:val="006E1A97"/>
    <w:rsid w:val="006E1E8F"/>
    <w:rsid w:val="00701A3C"/>
    <w:rsid w:val="00717103"/>
    <w:rsid w:val="00721F9E"/>
    <w:rsid w:val="00730917"/>
    <w:rsid w:val="007326F3"/>
    <w:rsid w:val="00741717"/>
    <w:rsid w:val="0074545C"/>
    <w:rsid w:val="00746576"/>
    <w:rsid w:val="007520FE"/>
    <w:rsid w:val="007560B9"/>
    <w:rsid w:val="00756159"/>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5758"/>
    <w:rsid w:val="007F6CE4"/>
    <w:rsid w:val="00801141"/>
    <w:rsid w:val="00816867"/>
    <w:rsid w:val="00820082"/>
    <w:rsid w:val="0082151F"/>
    <w:rsid w:val="00831D30"/>
    <w:rsid w:val="00834690"/>
    <w:rsid w:val="00837349"/>
    <w:rsid w:val="008444F3"/>
    <w:rsid w:val="008527DE"/>
    <w:rsid w:val="008F4139"/>
    <w:rsid w:val="00910E67"/>
    <w:rsid w:val="009149BB"/>
    <w:rsid w:val="00916F61"/>
    <w:rsid w:val="0092156A"/>
    <w:rsid w:val="00930DC2"/>
    <w:rsid w:val="00934AD2"/>
    <w:rsid w:val="00936CFF"/>
    <w:rsid w:val="0096085B"/>
    <w:rsid w:val="009703E4"/>
    <w:rsid w:val="00970C9E"/>
    <w:rsid w:val="00984C3D"/>
    <w:rsid w:val="00985A43"/>
    <w:rsid w:val="00994289"/>
    <w:rsid w:val="009A4342"/>
    <w:rsid w:val="009C32E6"/>
    <w:rsid w:val="00A2140D"/>
    <w:rsid w:val="00A27BAA"/>
    <w:rsid w:val="00A371A9"/>
    <w:rsid w:val="00A439AF"/>
    <w:rsid w:val="00A43B04"/>
    <w:rsid w:val="00A52B20"/>
    <w:rsid w:val="00A531D3"/>
    <w:rsid w:val="00A61F6B"/>
    <w:rsid w:val="00A76741"/>
    <w:rsid w:val="00A832BA"/>
    <w:rsid w:val="00A8473B"/>
    <w:rsid w:val="00A87261"/>
    <w:rsid w:val="00A91021"/>
    <w:rsid w:val="00A94CD6"/>
    <w:rsid w:val="00AA278D"/>
    <w:rsid w:val="00AA4050"/>
    <w:rsid w:val="00AA6F28"/>
    <w:rsid w:val="00AB2B8B"/>
    <w:rsid w:val="00AB554F"/>
    <w:rsid w:val="00AE36D5"/>
    <w:rsid w:val="00AF7CD3"/>
    <w:rsid w:val="00B0663D"/>
    <w:rsid w:val="00B21D21"/>
    <w:rsid w:val="00B26081"/>
    <w:rsid w:val="00B27C9F"/>
    <w:rsid w:val="00B4614D"/>
    <w:rsid w:val="00B46556"/>
    <w:rsid w:val="00B519EB"/>
    <w:rsid w:val="00B654E2"/>
    <w:rsid w:val="00B74B5C"/>
    <w:rsid w:val="00B76E05"/>
    <w:rsid w:val="00B80806"/>
    <w:rsid w:val="00BA2914"/>
    <w:rsid w:val="00BA5E31"/>
    <w:rsid w:val="00BA7BA2"/>
    <w:rsid w:val="00BB776B"/>
    <w:rsid w:val="00BD0C63"/>
    <w:rsid w:val="00BD5E44"/>
    <w:rsid w:val="00BF27D4"/>
    <w:rsid w:val="00BF30CF"/>
    <w:rsid w:val="00BF63E8"/>
    <w:rsid w:val="00C032AD"/>
    <w:rsid w:val="00C1549A"/>
    <w:rsid w:val="00C15A9A"/>
    <w:rsid w:val="00C30F2B"/>
    <w:rsid w:val="00C30F2F"/>
    <w:rsid w:val="00C35C1B"/>
    <w:rsid w:val="00C41AEF"/>
    <w:rsid w:val="00C510C6"/>
    <w:rsid w:val="00C66EC6"/>
    <w:rsid w:val="00C85EA2"/>
    <w:rsid w:val="00C8762D"/>
    <w:rsid w:val="00C913B6"/>
    <w:rsid w:val="00C933D7"/>
    <w:rsid w:val="00C94FC2"/>
    <w:rsid w:val="00CA1D43"/>
    <w:rsid w:val="00CB4985"/>
    <w:rsid w:val="00CC10AB"/>
    <w:rsid w:val="00CD2BF9"/>
    <w:rsid w:val="00D032F3"/>
    <w:rsid w:val="00D04D17"/>
    <w:rsid w:val="00D2596C"/>
    <w:rsid w:val="00D31877"/>
    <w:rsid w:val="00D458C8"/>
    <w:rsid w:val="00D5134B"/>
    <w:rsid w:val="00D54CA6"/>
    <w:rsid w:val="00D73E4D"/>
    <w:rsid w:val="00D8612A"/>
    <w:rsid w:val="00D9130C"/>
    <w:rsid w:val="00D95EBD"/>
    <w:rsid w:val="00DA062B"/>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60E30"/>
    <w:rsid w:val="00E6574D"/>
    <w:rsid w:val="00E91D99"/>
    <w:rsid w:val="00E93865"/>
    <w:rsid w:val="00E95409"/>
    <w:rsid w:val="00EA4040"/>
    <w:rsid w:val="00EB066B"/>
    <w:rsid w:val="00ED72C6"/>
    <w:rsid w:val="00EE1979"/>
    <w:rsid w:val="00EE283C"/>
    <w:rsid w:val="00EE60C5"/>
    <w:rsid w:val="00EF29B1"/>
    <w:rsid w:val="00EF330B"/>
    <w:rsid w:val="00EF5B15"/>
    <w:rsid w:val="00F00605"/>
    <w:rsid w:val="00F01EE1"/>
    <w:rsid w:val="00F058D9"/>
    <w:rsid w:val="00F11DAD"/>
    <w:rsid w:val="00F21871"/>
    <w:rsid w:val="00F41C45"/>
    <w:rsid w:val="00F43FEE"/>
    <w:rsid w:val="00F63463"/>
    <w:rsid w:val="00F82A7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customStyle="true" w:styleId="Tijeloteksta21" w:type="paragraph">
    <w:name w:val="Tijelo teksta 21"/>
    <w:basedOn w:val="Normal"/>
    <w:rsid w:val="00C15A9A"/>
    <w:pPr>
      <w:suppressAutoHyphens/>
      <w:spacing w:lineRule="atLeast" w:line="100"/>
    </w:pPr>
    <w:rPr>
      <w:rFonts w:eastAsia="Lucida Sans Unicode"/>
      <w:kern w:val="1"/>
      <w:sz w:val="22"/>
      <w:lang w:eastAsia="ar-SA"/>
    </w:rPr>
  </w:style>
  <w:style w:customStyle="true" w:styleId="Sadrajitablice" w:type="paragraph">
    <w:name w:val="Sadržaji tablice"/>
    <w:basedOn w:val="Normal"/>
    <w:rsid w:val="00D9130C"/>
    <w:pPr>
      <w:widowControl w:val="false"/>
      <w:suppressLineNumbers/>
      <w:suppressAutoHyphens/>
    </w:pPr>
    <w:rPr>
      <w:rFonts w:eastAsia="Lucida Sans Unicode"/>
      <w:kern w:val="2"/>
      <w:sz w:val="22"/>
    </w:rPr>
  </w:style>
  <w:style w:styleId="Tekstrezerviranogmjesta" w:type="character">
    <w:name w:val="Placeholder Text"/>
    <w:basedOn w:val="Zadanifontodlomka"/>
    <w:uiPriority w:val="99"/>
    <w:semiHidden/>
    <w:rsid w:val="00EF5B15"/>
    <w:rPr>
      <w:color w:val="808080"/>
      <w:bdr w:space="0" w:sz="0" w:color="auto" w:val="none"/>
      <w:shd w:fill="CCFFFF" w:color="auto" w:val="clear"/>
    </w:rPr>
  </w:style>
  <w:style w:customStyle="true" w:styleId="eSPISCCParagraphDefaultFont" w:type="character">
    <w:name w:val="eSPIS_CC_Paragraph Default Font"/>
    <w:basedOn w:val="Zadanifontodlomka"/>
    <w:rsid w:val="00EF5B1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F5B15"/>
    <w:rPr>
      <w:bdr w:space="0" w:sz="0" w:color="auto" w:val="none"/>
      <w:shd w:fill="FFFFCC" w:color="auto" w:val="clear"/>
      <w:lang w:val="hr-HR"/>
    </w:rPr>
  </w:style>
  <w:style w:customStyle="true" w:styleId="PozadinaSvijetloCrvena" w:type="character">
    <w:name w:val="Pozadina_SvijetloCrvena"/>
    <w:basedOn w:val="eSPISCCParagraphDefaultFont"/>
    <w:rsid w:val="00EF5B1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F5B1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customStyle="1" w:styleId="Tijeloteksta21" w:type="paragraph">
    <w:name w:val="Tijelo teksta 21"/>
    <w:basedOn w:val="Normal"/>
    <w:rsid w:val="00C15A9A"/>
    <w:pPr>
      <w:suppressAutoHyphens/>
      <w:spacing w:line="100" w:lineRule="atLeast"/>
    </w:pPr>
    <w:rPr>
      <w:rFonts w:eastAsia="Lucida Sans Unicode"/>
      <w:kern w:val="1"/>
      <w:sz w:val="22"/>
      <w:lang w:eastAsia="ar-SA"/>
    </w:rPr>
  </w:style>
  <w:style w:customStyle="1" w:styleId="Sadrajitablice" w:type="paragraph">
    <w:name w:val="Sadržaji tablice"/>
    <w:basedOn w:val="Normal"/>
    <w:rsid w:val="00D9130C"/>
    <w:pPr>
      <w:widowControl w:val="0"/>
      <w:suppressLineNumbers/>
      <w:suppressAutoHyphens/>
    </w:pPr>
    <w:rPr>
      <w:rFonts w:eastAsia="Lucida Sans Unicode"/>
      <w:kern w:val="2"/>
      <w:sz w:val="22"/>
    </w:rPr>
  </w:style>
  <w:style w:styleId="Tekstrezerviranogmjesta" w:type="character">
    <w:name w:val="Placeholder Text"/>
    <w:basedOn w:val="Zadanifontodlomka"/>
    <w:uiPriority w:val="99"/>
    <w:semiHidden/>
    <w:rsid w:val="00EF5B15"/>
    <w:rPr>
      <w:color w:val="808080"/>
      <w:bdr w:color="auto" w:space="0" w:sz="0" w:val="none"/>
      <w:shd w:color="auto" w:fill="CCFFFF" w:val="clear"/>
    </w:rPr>
  </w:style>
  <w:style w:customStyle="1" w:styleId="eSPISCCParagraphDefaultFont" w:type="character">
    <w:name w:val="eSPIS_CC_Paragraph Default Font"/>
    <w:basedOn w:val="Zadanifontodlomka"/>
    <w:rsid w:val="00EF5B1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F5B15"/>
    <w:rPr>
      <w:bdr w:color="auto" w:space="0" w:sz="0" w:val="none"/>
      <w:shd w:color="auto" w:fill="FFFFCC" w:val="clear"/>
      <w:lang w:val="hr-HR"/>
    </w:rPr>
  </w:style>
  <w:style w:customStyle="1" w:styleId="PozadinaSvijetloCrvena" w:type="character">
    <w:name w:val="Pozadina_SvijetloCrvena"/>
    <w:basedOn w:val="eSPISCCParagraphDefaultFont"/>
    <w:rsid w:val="00EF5B1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F5B1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499541731">
      <w:bodyDiv w:val="true"/>
      <w:marLeft w:val="0"/>
      <w:marRight w:val="0"/>
      <w:marTop w:val="0"/>
      <w:marBottom w:val="0"/>
      <w:divBdr>
        <w:top w:space="0" w:sz="0" w:color="auto" w:val="none"/>
        <w:left w:space="0" w:sz="0" w:color="auto" w:val="none"/>
        <w:bottom w:space="0" w:sz="0" w:color="auto" w:val="none"/>
        <w:right w:space="0" w:sz="0" w:color="auto" w:val="none"/>
      </w:divBdr>
    </w:div>
    <w:div w:id="560020992">
      <w:bodyDiv w:val="true"/>
      <w:marLeft w:val="0"/>
      <w:marRight w:val="0"/>
      <w:marTop w:val="0"/>
      <w:marBottom w:val="0"/>
      <w:divBdr>
        <w:top w:space="0" w:sz="0" w:color="auto" w:val="none"/>
        <w:left w:space="0" w:sz="0" w:color="auto" w:val="none"/>
        <w:bottom w:space="0" w:sz="0" w:color="auto" w:val="none"/>
        <w:right w:space="0" w:sz="0" w:color="auto" w:val="none"/>
      </w:divBdr>
    </w:div>
    <w:div w:id="638070269">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107047082">
      <w:bodyDiv w:val="true"/>
      <w:marLeft w:val="0"/>
      <w:marRight w:val="0"/>
      <w:marTop w:val="0"/>
      <w:marBottom w:val="0"/>
      <w:divBdr>
        <w:top w:space="0" w:sz="0" w:color="auto" w:val="none"/>
        <w:left w:space="0" w:sz="0" w:color="auto" w:val="none"/>
        <w:bottom w:space="0" w:sz="0" w:color="auto" w:val="none"/>
        <w:right w:space="0" w:sz="0" w:color="auto" w:val="none"/>
      </w:divBdr>
    </w:div>
    <w:div w:id="1195267042">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ožujka 2017.</izvorni_sadrzaj>
    <derivirana_varijabla naziv="DomainObject.DatumDonosenjaOdluke_1">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773</izvorni_sadrzaj>
    <derivirana_varijabla naziv="DomainObject.Predmet.Broj_1">773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St-773/2016</izvorni_sadrzaj>
    <derivirana_varijabla naziv="DomainObject.Predmet.OznakaBroj_1">St-773/2016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DRAGUN društvo s ograničenom odgovornošću za proizvodnju, trgovinu i usluge</izvorni_sadrzaj>
    <derivirana_varijabla naziv="DomainObject.Predmet.ProtustrankaFormated_1">  DRAGUN društvo s ograničenom odgovornošću za proizvodnju, trgovinu i usluge</derivirana_varijabla>
  </DomainObject.Predmet.ProtustrankaFormated>
  <DomainObject.Predmet.ProtustrankaFormatedOIB>
    <izvorni_sadrzaj>  DRAGUN društvo s ograničenom odgovornošću za proizvodnju, trgovinu i usluge, OIB 55692992124</izvorni_sadrzaj>
    <derivirana_varijabla naziv="DomainObject.Predmet.ProtustrankaFormatedOIB_1">  DRAGUN društvo s ograničenom odgovornošću za proizvodnju, trgovinu i usluge, OIB 55692992124</derivirana_varijabla>
  </DomainObject.Predmet.ProtustrankaFormatedOIB>
  <DomainObject.Predmet.ProtustrankaFormatedWithAdress>
    <izvorni_sadrzaj> DRAGUN društvo s ograničenom odgovornošću za proizvodnju, trgovinu i usluge, Zrinski-Frankopana 58, 32252 Otok</izvorni_sadrzaj>
    <derivirana_varijabla naziv="DomainObject.Predmet.ProtustrankaFormatedWithAdress_1"> DRAGUN društvo s ograničenom odgovornošću za proizvodnju, trgovinu i usluge, Zrinski-Frankopana 58, 32252 Otok</derivirana_varijabla>
  </DomainObject.Predmet.ProtustrankaFormatedWithAdress>
  <DomainObject.Predmet.ProtustrankaFormatedWithAdressOIB>
    <izvorni_sadrzaj> DRAGUN društvo s ograničenom odgovornošću za proizvodnju, trgovinu i usluge, OIB 55692992124, Zrinski-Frankopana 58, 32252 Otok</izvorni_sadrzaj>
    <derivirana_varijabla naziv="DomainObject.Predmet.ProtustrankaFormatedWithAdressOIB_1"> DRAGUN društvo s ograničenom odgovornošću za proizvodnju, trgovinu i usluge, OIB 55692992124, Zrinski-Frankopana 58, 32252 Otok</derivirana_varijabla>
  </DomainObject.Predmet.ProtustrankaFormatedWithAdressOIB>
  <DomainObject.Predmet.ProtustrankaWithAdress>
    <izvorni_sadrzaj>DRAGUN društvo s ograničenom odgovornošću za proizvodnju, trgovinu i usluge Zrinski-Frankopana 58, 32252 Otok</izvorni_sadrzaj>
    <derivirana_varijabla naziv="DomainObject.Predmet.ProtustrankaWithAdress_1">DRAGUN društvo s ograničenom odgovornošću za proizvodnju, trgovinu i usluge Zrinski-Frankopana 58, 32252 Otok</derivirana_varijabla>
  </DomainObject.Predmet.ProtustrankaWithAdress>
  <DomainObject.Predmet.ProtustrankaWithAdressOIB>
    <izvorni_sadrzaj>DRAGUN društvo s ograničenom odgovornošću za proizvodnju, trgovinu i usluge, OIB 55692992124, Zrinski-Frankopana 58, 32252 Otok</izvorni_sadrzaj>
    <derivirana_varijabla naziv="DomainObject.Predmet.ProtustrankaWithAdressOIB_1">DRAGUN društvo s ograničenom odgovornošću za proizvodnju, trgovinu i usluge, OIB 55692992124, Zrinski-Frankopana 58, 32252 Otok</derivirana_varijabla>
  </DomainObject.Predmet.ProtustrankaWithAdressOIB>
  <DomainObject.Predmet.ProtustrankaNazivFormated>
    <izvorni_sadrzaj>DRAGUN društvo s ograničenom odgovornošću za proizvodnju, trgovinu i usluge</izvorni_sadrzaj>
    <derivirana_varijabla naziv="DomainObject.Predmet.ProtustrankaNazivFormated_1">DRAGUN društvo s ograničenom odgovornošću za proizvodnju, trgovinu i usluge</derivirana_varijabla>
  </DomainObject.Predmet.ProtustrankaNazivFormated>
  <DomainObject.Predmet.ProtustrankaNazivFormatedOIB>
    <izvorni_sadrzaj>DRAGUN društvo s ograničenom odgovornošću za proizvodnju, trgovinu i usluge, OIB 55692992124</izvorni_sadrzaj>
    <derivirana_varijabla naziv="DomainObject.Predmet.ProtustrankaNazivFormatedOIB_1">DRAGUN društvo s ograničenom odgovornošću za proizvodnju, trgovinu i usluge, OIB 55692992124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DRAGUN društvo s ograničenom odgovornošću za proizvodnju, trgovinu i usluge</item>
    </izvorni_sadrzaj>
    <derivirana_varijabla naziv="DomainObject.Predmet.ProtuStrankaListFormated_1">
      <item>DRAGUN društvo s ograničenom odgovornošću za proizvodnju, trgovinu i usluge</item>
    </derivirana_varijabla>
  </DomainObject.Predmet.ProtuStrankaListFormated>
  <DomainObject.Predmet.ProtuStrankaListFormatedOIB>
    <izvorni_sadrzaj>
      <item>DRAGUN društvo s ograničenom odgovornošću za proizvodnju, trgovinu i usluge, OIB 55692992124</item>
    </izvorni_sadrzaj>
    <derivirana_varijabla naziv="DomainObject.Predmet.ProtuStrankaListFormatedOIB_1">
      <item>DRAGUN društvo s ograničenom odgovornošću za proizvodnju, trgovinu i usluge, OIB 55692992124</item>
    </derivirana_varijabla>
  </DomainObject.Predmet.ProtuStrankaListFormatedOIB>
  <DomainObject.Predmet.ProtuStrankaListFormatedWithAdress>
    <izvorni_sadrzaj>
      <item>DRAGUN društvo s ograničenom odgovornošću za proizvodnju, trgovinu i usluge, Zrinski-Frankopana 58, 32252 Otok</item>
    </izvorni_sadrzaj>
    <derivirana_varijabla naziv="DomainObject.Predmet.ProtuStrankaListFormatedWithAdress_1">
      <item>DRAGUN društvo s ograničenom odgovornošću za proizvodnju, trgovinu i usluge, Zrinski-Frankopana 58, 32252 Otok</item>
    </derivirana_varijabla>
  </DomainObject.Predmet.ProtuStrankaListFormatedWithAdress>
  <DomainObject.Predmet.ProtuStrankaListFormatedWithAdressOIB>
    <izvorni_sadrzaj>
      <item>DRAGUN društvo s ograničenom odgovornošću za proizvodnju, trgovinu i usluge, OIB 55692992124, Zrinski-Frankopana 58, 32252 Otok</item>
    </izvorni_sadrzaj>
    <derivirana_varijabla naziv="DomainObject.Predmet.ProtuStrankaListFormatedWithAdressOIB_1">
      <item>DRAGUN društvo s ograničenom odgovornošću za proizvodnju, trgovinu i usluge, OIB 55692992124, Zrinski-Frankopana 58, 32252 Otok</item>
    </derivirana_varijabla>
  </DomainObject.Predmet.ProtuStrankaListFormatedWithAdressOIB>
  <DomainObject.Predmet.ProtuStrankaListNazivFormated>
    <izvorni_sadrzaj>
      <item>DRAGUN društvo s ograničenom odgovornošću za proizvodnju, trgovinu i usluge</item>
    </izvorni_sadrzaj>
    <derivirana_varijabla naziv="DomainObject.Predmet.ProtuStrankaListNazivFormated_1">
      <item>DRAGUN društvo s ograničenom odgovornošću za proizvodnju, trgovinu i usluge</item>
    </derivirana_varijabla>
  </DomainObject.Predmet.ProtuStrankaListNazivFormated>
  <DomainObject.Predmet.ProtuStrankaListNazivFormatedOIB>
    <izvorni_sadrzaj>
      <item>DRAGUN društvo s ograničenom odgovornošću za proizvodnju, trgovinu i usluge, OIB 55692992124</item>
    </izvorni_sadrzaj>
    <derivirana_varijabla naziv="DomainObject.Predmet.ProtuStrankaListNazivFormatedOIB_1">
      <item>DRAGUN društvo s ograničenom odgovornošću za proizvodnju, trgovinu i usluge, OIB 55692992124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2017.</izvorni_sadrzaj>
    <derivirana_varijabla naziv="DomainObject.Datum_1">13. ožujka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DRAGUN društvo s ograničenom odgovornošću za proizvodnju, trgovinu i usluge</izvorni_sadrzaj>
    <derivirana_varijabla naziv="DomainObject.Predmet.ProtustrankaIDrugi_1">DRAGUN društvo s ograničenom odgovornošću za proizvodnju,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DRAGUN društvo s ograničenom odgovornošću za proizvodnju, trgovinu i usluge, OIB 55692992124, Zrinski-Frankopana 58, 32252 Otok</izvorni_sadrzaj>
    <derivirana_varijabla naziv="DomainObject.Predmet.ProtustrankaIDrugiAdressOIB_1">DRAGUN društvo s ograničenom odgovornošću za proizvodnju, trgovinu i usluge, OIB 55692992124, Zrinski-Frankopana 58, 32252 Otok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DRAGUN društvo s ograničenom odgovornošću za proizvodnju, trgovinu i usluge</item>
    </izvorni_sadrzaj>
    <derivirana_varijabla naziv="DomainObject.Predmet.SudioniciListNaziv_1">
      <item>FINA RC OSIJEK</item>
      <item>DRAGUN društvo s ograničenom odgovornošću za proizvodnju, trgovinu i usluge</item>
    </derivirana_varijabla>
  </DomainObject.Predmet.SudioniciListNaziv>
  <DomainObject.Predmet.SudioniciListAdressOIB>
    <izvorni_sadrzaj>
      <item>FINA RC OSIJEK, OIB 85821130368</item>
      <item>DRAGUN društvo s ograničenom odgovornošću za proizvodnju, trgovinu i usluge, OIB 55692992124, Zrinski-Frankopana 58,32252 Otok</item>
    </izvorni_sadrzaj>
    <derivirana_varijabla naziv="DomainObject.Predmet.SudioniciListAdressOIB_1">
      <item>FINA RC OSIJEK, OIB 85821130368</item>
      <item>DRAGUN društvo s ograničenom odgovornošću za proizvodnju, trgovinu i usluge, OIB 55692992124, Zrinski-Frankopana 58,32252 Otok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55692992124</item>
    </izvorni_sadrzaj>
    <derivirana_varijabla naziv="DomainObject.Predmet.SudioniciListNazivOIB_1">
      <item>, OIB 85821130368</item>
      <item>, OIB 55692992124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Sanda Marinac, OIB 01875522309, Kralja Krešimira 53 Požega</item>
    </izvorni_sadrzaj>
    <derivirana_varijabla naziv="DomainObject.Predmet.StecajniUpraviteljiListAddressOIB_1">
      <item>Sanda Marinac, OIB 01875522309, Kralja Krešimira 53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91D3E96-BC29-4222-A242-E8DCBA8AD4A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1378</properties:Words>
  <properties:Characters>7902</properties:Characters>
  <properties:Lines>280</properties:Lines>
  <properties:Paragraphs>94</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9289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2017-03-13T08:46:00Z</dcterms:created>
  <dc:creator>dsekulic</dc:creator>
  <cp:lastModifiedBy>Danijela Sekulić</cp:lastModifiedBy>
  <cp:lastPrinted>2017-03-13T09:04:00Z</cp:lastPrinted>
  <dcterms:modified xmlns:xsi="http://www.w3.org/2001/XMLSchema-instance" xsi:type="dcterms:W3CDTF">2017-03-13T09:06:00Z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6</vt:i4>
  </prop:property>
</prop:Properties>
</file>