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df01" w14:paraId="abfdf01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250C3D">
        <w:t xml:space="preserve">  </w:t>
      </w:r>
      <w:r w:rsidRPr="00062348">
        <w:t xml:space="preserve">  </w:t>
      </w:r>
      <w:r w:rsidR="00922021" w:rsidRPr="00062348">
        <w:t xml:space="preserve"> </w:t>
      </w:r>
      <w:r w:rsidR="00E9047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250C3D" w:rsidP="004D131B" w:rsidR="00CF6251" w:rsidRPr="00062348">
      <w:pPr>
        <w:rPr>
          <w:bCs/>
        </w:rPr>
      </w:pPr>
      <w:r>
        <w:rPr>
          <w:bCs/>
        </w:rPr>
        <w:t xml:space="preserve">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250C3D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250C3D" w:rsidP="00250C3D" w:rsidR="00250C3D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 w:rsidRPr="00062348">
      <w:pPr>
        <w:jc w:val="both"/>
      </w:pPr>
      <w:r w:rsidRPr="00062348">
        <w:tab/>
      </w:r>
      <w:r w:rsidR="00255536" w:rsidRPr="00062348">
        <w:t>Trgovački sud u Pazinu, po stečajnom sucu Ivanu Dujiću, u stečajnom postupku nad dužnikom P. B. R. d.o.o. u stečaju Kršan, Lazarići 5, OIB: 10472063699</w:t>
      </w:r>
      <w:r w:rsidRPr="00062348">
        <w:t>, 1</w:t>
      </w:r>
      <w:r w:rsidR="00255536" w:rsidRPr="00062348">
        <w:t>2</w:t>
      </w:r>
      <w:r w:rsidRPr="00062348">
        <w:t xml:space="preserve">. </w:t>
      </w:r>
      <w:r w:rsidR="00255536" w:rsidRPr="00062348">
        <w:t>svibnja</w:t>
      </w:r>
      <w:r w:rsidRPr="00062348">
        <w:t xml:space="preserve"> 201</w:t>
      </w:r>
      <w:r w:rsidR="00255536" w:rsidRPr="00062348">
        <w:t>7</w:t>
      </w:r>
      <w:r w:rsidRPr="00062348">
        <w:t>.</w:t>
      </w:r>
    </w:p>
    <w:p w:rsidRDefault="00255536" w:rsidP="00CF6251" w:rsidR="00255536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CF6251" w:rsidRPr="00062348">
      <w:pPr>
        <w:jc w:val="both"/>
      </w:pPr>
      <w:r w:rsidRPr="00062348">
        <w:tab/>
      </w:r>
      <w:r w:rsidR="00CF6251" w:rsidRPr="00062348">
        <w:t xml:space="preserve">Pozivaju se vjerovnici dužnika </w:t>
      </w:r>
      <w:r w:rsidR="00255536" w:rsidRPr="00062348">
        <w:t>P. B. R. d.o.o. u stečaju Kršan, Lazarići 5, OIB: 10472063699</w:t>
      </w:r>
      <w:r w:rsidR="00CF6251" w:rsidRPr="00062348">
        <w:t xml:space="preserve"> te druge osobe koje za to imaju interes, da u roku od 30 dana od objave ovog poziva predujme</w:t>
      </w:r>
      <w:r w:rsidR="00255536" w:rsidRPr="00062348">
        <w:t xml:space="preserve"> </w:t>
      </w:r>
      <w:r w:rsidR="00312B2F" w:rsidRPr="00062348">
        <w:t xml:space="preserve">iznos od </w:t>
      </w:r>
      <w:r w:rsidR="00255536" w:rsidRPr="00062348">
        <w:t>6</w:t>
      </w:r>
      <w:r w:rsidR="00CF6251" w:rsidRPr="00062348">
        <w:t>0.000,00 kuna za pokriće troškova parničnog postupka radi</w:t>
      </w:r>
      <w:r w:rsidR="00255536" w:rsidRPr="00062348">
        <w:t xml:space="preserve"> povrata izvršenih ulaganja stečajnog dužnika u tuđu imovinu, </w:t>
      </w:r>
      <w:r w:rsidR="00CF6251" w:rsidRPr="00062348">
        <w:t>na depozit ovog suda broj: HR43 2390001 1300029763, poziv na broj 020-</w:t>
      </w:r>
      <w:r w:rsidR="00255536" w:rsidRPr="00062348">
        <w:t>440</w:t>
      </w:r>
      <w:r w:rsidR="00CF6251" w:rsidRPr="00062348">
        <w:t>-1</w:t>
      </w:r>
      <w:r w:rsidR="00255536" w:rsidRPr="00062348">
        <w:t xml:space="preserve">6, </w:t>
      </w:r>
      <w:r w:rsidR="00312B2F" w:rsidRPr="00062348">
        <w:t>sa naznakom svrhe uplate</w:t>
      </w:r>
      <w:r w:rsidR="00CF6251" w:rsidRPr="00062348">
        <w:t xml:space="preserve">.  </w:t>
      </w:r>
    </w:p>
    <w:p w:rsidRDefault="004D131B" w:rsidP="00A0482D" w:rsidR="004D131B" w:rsidRPr="00062348">
      <w:pPr>
        <w:jc w:val="center"/>
      </w:pPr>
    </w:p>
    <w:p w:rsidRDefault="00A0482D" w:rsidP="00A0482D" w:rsidR="00A0482D" w:rsidRPr="00062348">
      <w:pPr>
        <w:jc w:val="center"/>
      </w:pPr>
      <w:r w:rsidRPr="00062348">
        <w:t>Obrazloženje</w:t>
      </w:r>
    </w:p>
    <w:p w:rsidRDefault="00A0482D" w:rsidP="00A0482D" w:rsidR="00A0482D" w:rsidRPr="00062348">
      <w:pPr>
        <w:jc w:val="both"/>
      </w:pPr>
      <w:r w:rsidRPr="00062348">
        <w:tab/>
      </w:r>
    </w:p>
    <w:p w:rsidRDefault="00A0482D" w:rsidP="002C6219" w:rsidR="002C6219" w:rsidRPr="00062348">
      <w:pPr>
        <w:jc w:val="both"/>
      </w:pPr>
      <w:r w:rsidRPr="00062348">
        <w:tab/>
      </w:r>
      <w:r w:rsidR="00CF6251" w:rsidRPr="00062348">
        <w:t xml:space="preserve">Na </w:t>
      </w:r>
      <w:r w:rsidR="002C6219" w:rsidRPr="00062348">
        <w:t>skupštini vjerovnika održanoj 12</w:t>
      </w:r>
      <w:r w:rsidR="00255536" w:rsidRPr="00062348">
        <w:t xml:space="preserve">. </w:t>
      </w:r>
      <w:r w:rsidR="002C6219" w:rsidRPr="00062348">
        <w:t>svibnja 2017</w:t>
      </w:r>
      <w:r w:rsidR="00255536" w:rsidRPr="00062348">
        <w:t>. stečajn</w:t>
      </w:r>
      <w:r w:rsidR="002C6219" w:rsidRPr="00062348">
        <w:t>a</w:t>
      </w:r>
      <w:r w:rsidR="00255536" w:rsidRPr="00062348">
        <w:t xml:space="preserve"> upravitelj</w:t>
      </w:r>
      <w:r w:rsidR="002C6219" w:rsidRPr="00062348">
        <w:t xml:space="preserve">ica je, prilikom rasprave o prvoj točki dnevnog reda „Donošenje odluke o pokretanju sudskog postupka glede izvršenih ulaganja stečajnog dužnika u tuđu imovinu.“ navela kao u izvješću od 04. travnja 2017. kako slijedi: </w:t>
      </w:r>
    </w:p>
    <w:p w:rsidRDefault="002C6219" w:rsidP="002C6219" w:rsidR="002C6219" w:rsidRPr="00062348">
      <w:pPr>
        <w:kinsoku w:val="false"/>
        <w:overflowPunct w:val="false"/>
        <w:spacing w:lineRule="exact" w:line="287"/>
        <w:jc w:val="both"/>
        <w:textAlignment w:val="baseline"/>
        <w:rPr>
          <w:bCs/>
        </w:rPr>
      </w:pPr>
      <w:r w:rsidRPr="00062348">
        <w:t>"</w:t>
      </w:r>
      <w:r w:rsidRPr="00062348">
        <w:rPr>
          <w:bCs/>
        </w:rPr>
        <w:t xml:space="preserve">Ispitati stanje u pogledu izvršenog ulaganja od strane dužnika na k.č.873, k.o. Kršan kako bi skupština vjerovnika mogla donijeti odluku o pokretanju parničnog postupka radi povrata ulaganja ili stjecanja prava vlasništva na tuđem zemljištu. </w:t>
      </w:r>
    </w:p>
    <w:p w:rsidRDefault="002C6219" w:rsidP="002C6219" w:rsidR="002C6219" w:rsidRPr="00062348">
      <w:pPr>
        <w:kinsoku w:val="false"/>
        <w:overflowPunct w:val="false"/>
        <w:spacing w:lineRule="exact" w:line="271" w:before="166"/>
        <w:jc w:val="both"/>
        <w:textAlignment w:val="baseline"/>
      </w:pPr>
      <w:r w:rsidRPr="00062348">
        <w:t>Razriješeni stečajni upravitelj je u svom izvješću od dana 29. rujna 2016.g. kao i svojoj dopuni izvješća naveo detaljno sve u vezi problematike oko izvršenih ulaganja od strane dužnika na k.č.br.873 k.o. Kršan i to kako slijedi:</w:t>
      </w:r>
    </w:p>
    <w:p w:rsidRDefault="002C6219" w:rsidP="002C6219" w:rsidR="002C6219" w:rsidRPr="00062348">
      <w:pPr>
        <w:kinsoku w:val="false"/>
        <w:overflowPunct w:val="false"/>
        <w:spacing w:lineRule="exact" w:line="271" w:before="266"/>
        <w:jc w:val="both"/>
        <w:textAlignment w:val="baseline"/>
      </w:pPr>
      <w:r w:rsidRPr="00062348">
        <w:t xml:space="preserve">Kartica </w:t>
      </w:r>
      <w:r w:rsidRPr="00062348">
        <w:rPr>
          <w:bCs/>
        </w:rPr>
        <w:t>investicija u tijeku</w:t>
      </w:r>
      <w:r w:rsidRPr="00062348">
        <w:t xml:space="preserve"> znači da je </w:t>
      </w:r>
      <w:r w:rsidRPr="00062348">
        <w:rPr>
          <w:bCs/>
        </w:rPr>
        <w:t xml:space="preserve">PBR </w:t>
      </w:r>
      <w:r w:rsidRPr="00062348">
        <w:t>od 2008.g. do 2012.g. odnosno do blokade stečajnog dužnika uložio u uređenje hale i zemljišta iznos kako slijedi u niže položenoj tabeli ali nije zaokružio cjelinu i aktivirao je te stavio u ulaganja na tuđoj imovini.</w:t>
      </w:r>
    </w:p>
    <w:p w:rsidRDefault="002C6219" w:rsidP="002C6219" w:rsidR="002C6219" w:rsidRPr="00062348">
      <w:pPr>
        <w:kinsoku w:val="false"/>
        <w:overflowPunct w:val="false"/>
        <w:spacing w:lineRule="exact" w:line="287" w:after="423" w:before="251"/>
        <w:ind w:hanging="288" w:left="792"/>
        <w:jc w:val="both"/>
        <w:textAlignment w:val="baseline"/>
      </w:pPr>
      <w:r w:rsidRPr="00062348">
        <w:t xml:space="preserve">1. Isto tako </w:t>
      </w:r>
      <w:r w:rsidRPr="00062348">
        <w:rPr>
          <w:bCs/>
        </w:rPr>
        <w:t xml:space="preserve">PBR </w:t>
      </w:r>
      <w:r w:rsidRPr="00062348">
        <w:t>nije imao ugovor o najmu zemljišta sa vlasnikom Brunom Predragom i s tog osnova je ulagao u tuđu imovinu bez pravno reguliranog odnosa.</w:t>
      </w:r>
    </w:p>
    <w:tbl>
      <w:tblPr>
        <w:tblW w:type="auto" w:w="0"/>
        <w:tblInd w:type="dxa" w:w="8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22"/>
        <w:gridCol w:w="552"/>
        <w:gridCol w:w="1076"/>
      </w:tblGrid>
      <w:tr w:rsidTr="009257DD" w:rsidR="002C6219" w:rsidRPr="00062348">
        <w:trPr>
          <w:trHeight w:val="288"/>
        </w:trPr>
        <w:tc>
          <w:tcPr>
            <w:tcW w:type="dxa" w:w="265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62"/>
              <w:ind w:left="63"/>
              <w:textAlignment w:val="baseline"/>
              <w:rPr>
                <w:bCs/>
              </w:rPr>
            </w:pPr>
            <w:r w:rsidRPr="00062348">
              <w:t xml:space="preserve">Investicije </w:t>
            </w:r>
            <w:r w:rsidRPr="00062348">
              <w:rPr>
                <w:bCs/>
              </w:rPr>
              <w:t>u tijeku</w:t>
            </w:r>
          </w:p>
        </w:tc>
      </w:tr>
      <w:tr w:rsidTr="009257DD" w:rsidR="002C6219" w:rsidRPr="00062348">
        <w:trPr>
          <w:trHeight w:hRule="exact" w:val="283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79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23" w:after="10" w:before="41"/>
              <w:ind w:left="63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godina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20" w:after="13" w:before="41"/>
              <w:jc w:val="center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iznos</w:t>
            </w: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88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78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20" w:after="3" w:before="45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2008.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3" w:before="45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78.151, 27</w:t>
            </w:r>
          </w:p>
        </w:tc>
      </w:tr>
      <w:tr w:rsidTr="009257DD" w:rsidR="002C6219" w:rsidRPr="00062348">
        <w:trPr>
          <w:trHeight w:hRule="exact" w:val="293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20" w:after="20" w:before="53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2009.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24" w:before="49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22.611, 89</w:t>
            </w:r>
          </w:p>
        </w:tc>
      </w:tr>
      <w:tr w:rsidTr="009257DD" w:rsidR="002C6219" w:rsidRPr="00062348">
        <w:trPr>
          <w:trHeight w:hRule="exact" w:val="278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20" w:after="12" w:before="41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2010.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12" w:before="41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312.072, 57</w:t>
            </w:r>
          </w:p>
        </w:tc>
      </w:tr>
      <w:tr w:rsidTr="009257DD" w:rsidR="002C6219" w:rsidRPr="00062348">
        <w:trPr>
          <w:trHeight w:hRule="exact" w:val="279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20" w:after="3" w:before="46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2011.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3" w:before="46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242. 508, 77</w:t>
            </w:r>
          </w:p>
        </w:tc>
      </w:tr>
      <w:tr w:rsidTr="009257DD" w:rsidR="002C6219" w:rsidRPr="00062348">
        <w:trPr>
          <w:trHeight w:hRule="exact" w:val="288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20" w:after="13" w:before="45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2012.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6" w:before="52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93.139, 82</w:t>
            </w:r>
          </w:p>
        </w:tc>
      </w:tr>
      <w:tr w:rsidTr="009257DD" w:rsidR="002C6219" w:rsidRPr="00062348">
        <w:trPr>
          <w:trHeight w:hRule="exact" w:val="293"/>
        </w:trPr>
        <w:tc>
          <w:tcPr>
            <w:tcW w:type="dxa" w:w="10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28" w:after="23" w:before="41"/>
              <w:ind w:left="63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lastRenderedPageBreak/>
              <w:t>Ukupno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20" w:after="29" w:before="43"/>
              <w:textAlignment w:val="baseline"/>
              <w:rPr>
                <w:bCs/>
                <w:lang w:eastAsia="en-US"/>
              </w:rPr>
            </w:pPr>
            <w:r w:rsidRPr="00062348">
              <w:rPr>
                <w:bCs/>
                <w:lang w:eastAsia="en-US"/>
              </w:rPr>
              <w:t>748.484,32</w:t>
            </w:r>
          </w:p>
        </w:tc>
      </w:tr>
    </w:tbl>
    <w:p w:rsidRDefault="002C6219" w:rsidP="002C6219" w:rsidR="002C6219" w:rsidRPr="00062348">
      <w:pPr>
        <w:kinsoku w:val="false"/>
        <w:overflowPunct w:val="false"/>
        <w:spacing w:lineRule="exact" w:line="20" w:after="250"/>
        <w:ind w:right="6064" w:left="826"/>
        <w:textAlignment w:val="baseline"/>
      </w:pPr>
    </w:p>
    <w:p w:rsidRDefault="002C6219" w:rsidP="002C6219" w:rsidR="002C6219" w:rsidRPr="00062348">
      <w:pPr>
        <w:widowControl w:val="false"/>
        <w:numPr>
          <w:ilvl w:val="0"/>
          <w:numId w:val="3"/>
        </w:numPr>
        <w:kinsoku w:val="false"/>
        <w:overflowPunct w:val="false"/>
        <w:autoSpaceDN w:val="false"/>
        <w:spacing w:lineRule="exact" w:line="280"/>
        <w:jc w:val="both"/>
        <w:textAlignment w:val="baseline"/>
        <w:rPr>
          <w:lang w:eastAsia="en-US"/>
        </w:rPr>
      </w:pPr>
      <w:r w:rsidRPr="00062348">
        <w:rPr>
          <w:lang w:eastAsia="en-US"/>
        </w:rPr>
        <w:t xml:space="preserve">Kartica </w:t>
      </w:r>
      <w:r w:rsidRPr="00062348">
        <w:rPr>
          <w:bCs/>
          <w:lang w:eastAsia="en-US"/>
        </w:rPr>
        <w:t>Ulaganja na tuđoj imovini</w:t>
      </w:r>
      <w:r w:rsidRPr="00062348">
        <w:rPr>
          <w:lang w:eastAsia="en-US"/>
        </w:rPr>
        <w:t xml:space="preserve"> znači da je za razliku od gore navedenoga definirano da je uloženo u uređenje hale i zemljišta na tuđoj imovini kako slijedi:</w:t>
      </w:r>
    </w:p>
    <w:p w:rsidRDefault="002C6219" w:rsidP="002C6219" w:rsidR="002C6219" w:rsidRPr="00062348">
      <w:pPr>
        <w:widowControl w:val="false"/>
        <w:numPr>
          <w:ilvl w:val="0"/>
          <w:numId w:val="4"/>
        </w:numPr>
        <w:kinsoku w:val="false"/>
        <w:overflowPunct w:val="false"/>
        <w:autoSpaceDN w:val="false"/>
        <w:spacing w:lineRule="exact" w:line="292" w:before="1"/>
        <w:jc w:val="both"/>
        <w:textAlignment w:val="baseline"/>
        <w:rPr>
          <w:lang w:eastAsia="en-US"/>
        </w:rPr>
      </w:pPr>
      <w:r w:rsidRPr="00062348">
        <w:rPr>
          <w:lang w:eastAsia="en-US"/>
        </w:rPr>
        <w:t>Isto tako PBR nije imao ugovor o najmu zemljišta sa vlasnikom Brunom Predragom i s tog osnova je ulagao u tuđu imovinu bez pravno reguliranog odnosa.</w:t>
      </w:r>
    </w:p>
    <w:tbl>
      <w:tblPr>
        <w:tblW w:type="auto" w:w="0"/>
        <w:tblInd w:type="dxa" w:w="893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18"/>
        <w:gridCol w:w="552"/>
        <w:gridCol w:w="1085"/>
      </w:tblGrid>
      <w:tr w:rsidTr="009257DD" w:rsidR="002C6219" w:rsidRPr="00062348">
        <w:trPr>
          <w:trHeight w:val="298"/>
        </w:trPr>
        <w:tc>
          <w:tcPr>
            <w:tcW w:type="dxa" w:w="2655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51" w:after="19"/>
              <w:ind w:left="63"/>
              <w:textAlignment w:val="baseline"/>
            </w:pPr>
            <w:r w:rsidRPr="00062348">
              <w:t>Ulaganja u tuđu imovinu</w:t>
            </w:r>
          </w:p>
        </w:tc>
      </w:tr>
      <w:tr w:rsidTr="009257DD" w:rsidR="002C6219" w:rsidRPr="00062348">
        <w:trPr>
          <w:trHeight w:hRule="exact" w:val="278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88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53" w:after="10"/>
              <w:ind w:left="63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godina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47" w:after="16"/>
              <w:jc w:val="center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iznos</w:t>
            </w: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83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</w:tr>
      <w:tr w:rsidTr="009257DD" w:rsidR="002C6219" w:rsidRPr="00062348">
        <w:trPr>
          <w:trHeight w:hRule="exact" w:val="288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47" w:after="20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2009.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47" w:after="20"/>
              <w:textAlignment w:val="baseline"/>
              <w:rPr>
                <w:spacing w:val="-13"/>
                <w:lang w:eastAsia="en-US"/>
              </w:rPr>
            </w:pPr>
            <w:r w:rsidRPr="00062348">
              <w:rPr>
                <w:spacing w:val="-13"/>
                <w:lang w:eastAsia="en-US"/>
              </w:rPr>
              <w:t>151.460,93</w:t>
            </w:r>
          </w:p>
        </w:tc>
      </w:tr>
      <w:tr w:rsidTr="009257DD" w:rsidR="002C6219" w:rsidRPr="00062348">
        <w:trPr>
          <w:trHeight w:hRule="exact" w:val="283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47" w:after="14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2010.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52" w:after="9"/>
              <w:textAlignment w:val="baseline"/>
              <w:rPr>
                <w:spacing w:val="-16"/>
                <w:lang w:eastAsia="en-US"/>
              </w:rPr>
            </w:pPr>
            <w:r w:rsidRPr="00062348">
              <w:rPr>
                <w:spacing w:val="-16"/>
                <w:lang w:eastAsia="en-US"/>
              </w:rPr>
              <w:t>431.162, 87</w:t>
            </w:r>
          </w:p>
        </w:tc>
      </w:tr>
      <w:tr w:rsidTr="009257DD" w:rsidR="002C6219" w:rsidRPr="00062348">
        <w:trPr>
          <w:trHeight w:hRule="exact" w:val="284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47" w:after="14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2011.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47" w:after="14"/>
              <w:textAlignment w:val="baseline"/>
              <w:rPr>
                <w:spacing w:val="-12"/>
                <w:lang w:eastAsia="en-US"/>
              </w:rPr>
            </w:pPr>
            <w:r w:rsidRPr="00062348">
              <w:rPr>
                <w:spacing w:val="-12"/>
                <w:lang w:eastAsia="en-US"/>
              </w:rPr>
              <w:t>274.714,32</w:t>
            </w:r>
          </w:p>
        </w:tc>
      </w:tr>
      <w:tr w:rsidTr="009257DD" w:rsidR="002C6219" w:rsidRPr="00062348">
        <w:trPr>
          <w:trHeight w:hRule="exact" w:val="288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504" w:val="decimal"/>
              </w:tabs>
              <w:kinsoku w:val="false"/>
              <w:overflowPunct w:val="false"/>
              <w:autoSpaceDN w:val="false"/>
              <w:spacing w:lineRule="exact" w:line="247" w:after="19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2012.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47" w:after="19"/>
              <w:textAlignment w:val="baseline"/>
              <w:rPr>
                <w:spacing w:val="-13"/>
                <w:lang w:eastAsia="en-US"/>
              </w:rPr>
            </w:pPr>
            <w:r w:rsidRPr="00062348">
              <w:rPr>
                <w:spacing w:val="-13"/>
                <w:lang w:eastAsia="en-US"/>
              </w:rPr>
              <w:t>117.849,49</w:t>
            </w:r>
          </w:p>
        </w:tc>
      </w:tr>
      <w:tr w:rsidTr="009257DD" w:rsidR="002C6219" w:rsidRPr="00062348">
        <w:trPr>
          <w:trHeight w:hRule="exact" w:val="292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exact" w:line="247" w:after="19"/>
              <w:ind w:left="63"/>
              <w:textAlignment w:val="baseline"/>
              <w:rPr>
                <w:lang w:eastAsia="en-US"/>
              </w:rPr>
            </w:pPr>
            <w:r w:rsidRPr="00062348">
              <w:rPr>
                <w:lang w:eastAsia="en-US"/>
              </w:rPr>
              <w:t>Ukupno</w:t>
            </w:r>
          </w:p>
        </w:tc>
        <w:tc>
          <w:tcPr>
            <w:tcW w:type="dxa" w:w="5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</w:tcPr>
          <w:p w:rsidRDefault="002C6219" w:rsidP="009257DD" w:rsidR="002C6219" w:rsidRPr="00062348">
            <w:pPr>
              <w:widowControl w:val="false"/>
              <w:kinsoku w:val="false"/>
              <w:overflowPunct w:val="false"/>
              <w:autoSpaceDN w:val="false"/>
              <w:spacing w:lineRule="auto" w:line="276"/>
              <w:textAlignment w:val="baseline"/>
            </w:pPr>
          </w:p>
        </w:tc>
        <w:tc>
          <w:tcPr>
            <w:tcW w:type="dxa" w:w="10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6219" w:rsidP="009257DD" w:rsidR="002C6219" w:rsidRPr="00062348">
            <w:pPr>
              <w:widowControl w:val="false"/>
              <w:tabs>
                <w:tab w:pos="360" w:val="decimal"/>
              </w:tabs>
              <w:kinsoku w:val="false"/>
              <w:overflowPunct w:val="false"/>
              <w:autoSpaceDN w:val="false"/>
              <w:spacing w:lineRule="exact" w:line="247" w:after="19"/>
              <w:textAlignment w:val="baseline"/>
              <w:rPr>
                <w:spacing w:val="-12"/>
                <w:lang w:eastAsia="en-US"/>
              </w:rPr>
            </w:pPr>
            <w:r w:rsidRPr="00062348">
              <w:rPr>
                <w:spacing w:val="-12"/>
                <w:lang w:eastAsia="en-US"/>
              </w:rPr>
              <w:t>975.187,61</w:t>
            </w:r>
          </w:p>
        </w:tc>
      </w:tr>
    </w:tbl>
    <w:p w:rsidRDefault="002C6219" w:rsidP="002C6219" w:rsidR="002C6219" w:rsidRPr="00062348">
      <w:pPr>
        <w:kinsoku w:val="false"/>
        <w:overflowPunct w:val="false"/>
        <w:spacing w:lineRule="exact" w:line="20" w:after="263"/>
        <w:ind w:right="6001" w:left="884"/>
        <w:textAlignment w:val="baseline"/>
      </w:pPr>
    </w:p>
    <w:p w:rsidRDefault="002C6219" w:rsidP="002C6219" w:rsidR="002C6219" w:rsidRPr="00062348">
      <w:pPr>
        <w:kinsoku w:val="false"/>
        <w:overflowPunct w:val="false"/>
        <w:spacing w:lineRule="exact" w:line="265"/>
        <w:jc w:val="both"/>
        <w:textAlignment w:val="baseline"/>
        <w:rPr>
          <w:lang w:eastAsia="en-US"/>
        </w:rPr>
      </w:pPr>
      <w:r w:rsidRPr="00062348">
        <w:rPr>
          <w:lang w:eastAsia="en-US"/>
        </w:rPr>
        <w:t>Slijedom već ranijeg utvrđenog stečajna upraviteljica je predložila da Skupština vjerovnika donese odluku o pokretanju sudskog postupka.</w:t>
      </w:r>
    </w:p>
    <w:p w:rsidRDefault="002C6219" w:rsidP="002C6219" w:rsidR="002C6219" w:rsidRPr="00062348">
      <w:pPr>
        <w:kinsoku w:val="false"/>
        <w:overflowPunct w:val="false"/>
        <w:spacing w:lineRule="exact" w:line="270" w:before="249"/>
        <w:jc w:val="both"/>
        <w:textAlignment w:val="baseline"/>
        <w:rPr>
          <w:bCs/>
          <w:lang w:eastAsia="en-US"/>
        </w:rPr>
      </w:pPr>
      <w:r w:rsidRPr="00062348">
        <w:rPr>
          <w:bCs/>
          <w:lang w:eastAsia="en-US"/>
        </w:rPr>
        <w:t xml:space="preserve">Moguća odluka skupštine vjerovnika je da se pokrene parnični postupak radi povrata uloženoga ili stjecanja vlasništva na tuđem zemljištu za uloženo. </w:t>
      </w:r>
    </w:p>
    <w:p w:rsidRDefault="002C6219" w:rsidP="002C6219" w:rsidR="002C6219" w:rsidRPr="00062348">
      <w:pPr>
        <w:kinsoku w:val="false"/>
        <w:overflowPunct w:val="false"/>
        <w:spacing w:lineRule="exact" w:line="269" w:before="287"/>
        <w:jc w:val="both"/>
        <w:textAlignment w:val="baseline"/>
        <w:rPr>
          <w:spacing w:val="-3"/>
          <w:lang w:eastAsia="en-US"/>
        </w:rPr>
      </w:pPr>
      <w:r w:rsidRPr="00062348">
        <w:rPr>
          <w:spacing w:val="-3"/>
          <w:lang w:eastAsia="en-US"/>
        </w:rPr>
        <w:t>Stečajna upraviteljica posebice ističe da je neizvjestan ishod eventualno pokrenutog parničnog postupka. Mogućnost stjecanja prava vlasništva ulaganjem u tuđu imovinu predviđena je odredbom iz članka 156. Zakona o vlasništvu i drugim stvarnim pravima. Predmetnom odredbom propisano je da se ulaganjem u tuđu nekretninu ne može steći pravo vlasništva osim ukoliko je to dogovoreno s vlasnikom predmetne nekretnine. Stečajna upraviteljica nema saznanja da navedeni dogovor postoji. No, u korist stečajnog dužnika zasigurno ide činjenica da raniji zakonski zastupnik plaća zakup stečajnom dužniku. No, uspjeh u sporu u korist stečajnog dužnika je itekako neizvjestan.</w:t>
      </w:r>
    </w:p>
    <w:p w:rsidRDefault="002C6219" w:rsidP="002C6219" w:rsidR="002C6219" w:rsidRPr="00062348">
      <w:pPr>
        <w:kinsoku w:val="false"/>
        <w:overflowPunct w:val="false"/>
        <w:spacing w:lineRule="exact" w:line="269" w:before="266"/>
        <w:jc w:val="both"/>
        <w:textAlignment w:val="baseline"/>
        <w:rPr>
          <w:spacing w:val="-1"/>
          <w:lang w:eastAsia="en-US"/>
        </w:rPr>
      </w:pPr>
      <w:r w:rsidRPr="00062348">
        <w:rPr>
          <w:spacing w:val="-1"/>
          <w:lang w:eastAsia="en-US"/>
        </w:rPr>
        <w:t>Troškovi vođenja sudskog postupka s obzirom na uloženu vrijednost sredstava, a uzimajući u obzir da će i na strani tužitelja (stečajni dužnik) i na strani tuženika biti angažiran odvjetnik, iznositi minimalno 200.000,00 kn (broj poduzetih radnji po odvjetniku 5). Stečajna upraviteljica ističe da treba osigurati sredstva i na strani tužitelja ali i na strani tuženika ukoliko tužitelj ne uspije u sporu.</w:t>
      </w:r>
    </w:p>
    <w:p w:rsidRDefault="002C6219" w:rsidP="002C6219" w:rsidR="002C6219" w:rsidRPr="00062348">
      <w:pPr>
        <w:kinsoku w:val="false"/>
        <w:overflowPunct w:val="false"/>
        <w:spacing w:lineRule="exact" w:line="269" w:before="259"/>
        <w:jc w:val="both"/>
        <w:textAlignment w:val="baseline"/>
        <w:rPr>
          <w:lang w:eastAsia="en-US"/>
        </w:rPr>
      </w:pPr>
      <w:r w:rsidRPr="00062348">
        <w:rPr>
          <w:lang w:eastAsia="en-US"/>
        </w:rPr>
        <w:t>Eventualno stečajni dužnik može umjesto tužbe radi utvrđenja vlasništva sudskim putem potraživati od upisanog vlasnika nekretnine novčani iznos za koji je ulaganjem povećao vrijednost te iste nekretnine i to temeljem članka 1111. Zakona o obveznim odnosima. No, za pokretanje tužbe radi stjecanje bez osnove zastarni rok je 5 godina.</w:t>
      </w:r>
    </w:p>
    <w:p w:rsidRDefault="002C6219" w:rsidP="002C6219" w:rsidR="002C6219" w:rsidRPr="00062348">
      <w:pPr>
        <w:jc w:val="both"/>
        <w:rPr>
          <w:spacing w:val="-1"/>
          <w:lang w:eastAsia="en-US"/>
        </w:rPr>
      </w:pPr>
    </w:p>
    <w:p w:rsidRDefault="002C6219" w:rsidP="002C6219" w:rsidR="002C6219" w:rsidRPr="00062348">
      <w:pPr>
        <w:jc w:val="both"/>
        <w:rPr>
          <w:spacing w:val="-1"/>
          <w:lang w:eastAsia="en-US"/>
        </w:rPr>
      </w:pPr>
      <w:r w:rsidRPr="00062348">
        <w:rPr>
          <w:spacing w:val="-1"/>
          <w:lang w:eastAsia="en-US"/>
        </w:rPr>
        <w:t>Troškovi vođenja sudskog postupka s obzirom na uloženu vrijednost sredstava, a uzimajući u obzir da će i na strani tužitelja (stečajni dužnik) i na strani tuženika biti angažiran odvjetnik, iznositi minimalno 150.000,00 kn (broj poduzetih radnji po odvjetniku 5). Stečajna upraviteljica ističe da treba osigurati sredstva i na strani tužitelja ali i na strani tuženika ukoliko tužitelj ne uspije u sporu."</w:t>
      </w:r>
    </w:p>
    <w:p w:rsidRDefault="002C6219" w:rsidP="002C6219" w:rsidR="002C6219" w:rsidRPr="00062348">
      <w:pPr>
        <w:ind w:firstLine="708"/>
        <w:jc w:val="both"/>
        <w:rPr>
          <w:spacing w:val="-1"/>
          <w:lang w:eastAsia="en-US"/>
        </w:rPr>
      </w:pPr>
    </w:p>
    <w:p w:rsidRDefault="002C6219" w:rsidP="002C6219" w:rsidR="002C6219" w:rsidRPr="00062348">
      <w:pPr>
        <w:ind w:firstLine="708"/>
        <w:jc w:val="both"/>
        <w:rPr>
          <w:spacing w:val="-1"/>
          <w:lang w:eastAsia="en-US"/>
        </w:rPr>
      </w:pPr>
      <w:r w:rsidRPr="00062348">
        <w:rPr>
          <w:spacing w:val="-1"/>
          <w:lang w:eastAsia="en-US"/>
        </w:rPr>
        <w:t xml:space="preserve">Stečajna upraviteljica dodala je da je u međuvremenu pribavila pravno mišljenje odvjetnika Marka Zagorca iz Rijeke te je isto predala u spis predmeta.  </w:t>
      </w:r>
    </w:p>
    <w:p w:rsidRDefault="002C6219" w:rsidP="002C6219" w:rsidR="002C6219" w:rsidRPr="00062348">
      <w:pPr>
        <w:ind w:firstLine="708"/>
        <w:jc w:val="both"/>
        <w:rPr>
          <w:spacing w:val="-1"/>
          <w:lang w:eastAsia="en-US"/>
        </w:rPr>
      </w:pPr>
      <w:r w:rsidRPr="00062348">
        <w:rPr>
          <w:spacing w:val="-1"/>
          <w:lang w:eastAsia="en-US"/>
        </w:rPr>
        <w:t xml:space="preserve">Stečajna upraviteljica dalje je navela da s obzirom na zastarni rok od 5 godina smatra svrsishodnim utužiti investiciju iz 2012. godine u iznosu od 93.139,82 kune te ulaganje iz 2012. godine u iznosu od 117.849,49 kuna – ukupno 211.043,31 kunu. S obzirom da u stečajnoj masi nema sredstava za namirenje troškova eventualne parnice predlaže se pozvati vjerovnike da predujme iznos od 60.000,00 kuna za troškove predmetnog postupka, uključujući i rezervaciju za troškove suprotne strane u slučaju neuspjeha u sporu. Uz navedeno stečajna upraviteljica će ispitati je li vlasnik predmetne nekretnine voljan otkupiti halu izgrađenu na predmetnom zemljištu te će o tome obavijestiti sud u izvješću. </w:t>
      </w:r>
    </w:p>
    <w:p w:rsidRDefault="00255536" w:rsidP="00CF6251" w:rsidR="00255536" w:rsidRPr="00062348">
      <w:pPr>
        <w:jc w:val="both"/>
      </w:pPr>
    </w:p>
    <w:p w:rsidRDefault="00312B2F" w:rsidP="00CF6251" w:rsidR="00CF6251" w:rsidRPr="00062348">
      <w:pPr>
        <w:jc w:val="both"/>
      </w:pPr>
      <w:r w:rsidRPr="00062348">
        <w:tab/>
      </w:r>
      <w:r w:rsidR="002C6219" w:rsidRPr="00062348">
        <w:t xml:space="preserve">Skupština vjerovnika je prihvatila </w:t>
      </w:r>
      <w:r w:rsidR="00CF6251" w:rsidRPr="00062348">
        <w:t>prijedlog stečajn</w:t>
      </w:r>
      <w:r w:rsidR="002C6219" w:rsidRPr="00062348">
        <w:t>e</w:t>
      </w:r>
      <w:r w:rsidR="00CF6251" w:rsidRPr="00062348">
        <w:t xml:space="preserve"> upravitelj</w:t>
      </w:r>
      <w:r w:rsidR="002C6219" w:rsidRPr="00062348">
        <w:t>ice.</w:t>
      </w:r>
    </w:p>
    <w:p w:rsidRDefault="002C6219" w:rsidP="00CF6251" w:rsidR="002C6219" w:rsidRPr="00062348">
      <w:pPr>
        <w:jc w:val="both"/>
      </w:pPr>
    </w:p>
    <w:p w:rsidRDefault="001E3BA2" w:rsidP="00A871DD" w:rsidR="00CF6251" w:rsidRPr="00062348">
      <w:pPr>
        <w:jc w:val="both"/>
      </w:pPr>
      <w:r w:rsidRPr="00062348">
        <w:tab/>
        <w:t>S obzirom na sve navedeno odlučeno je kao u izreci.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250C3D" w:rsidR="00922021" w:rsidRPr="00062348">
      <w:pPr>
        <w:jc w:val="center"/>
        <w:rPr>
          <w:spacing w:val="8"/>
        </w:rPr>
      </w:pPr>
      <w:r w:rsidRPr="00062348">
        <w:rPr>
          <w:spacing w:val="8"/>
        </w:rPr>
        <w:t xml:space="preserve">U Pazinu, </w:t>
      </w:r>
      <w:r w:rsidR="001E3BA2" w:rsidRPr="00062348">
        <w:rPr>
          <w:spacing w:val="8"/>
        </w:rPr>
        <w:t>1</w:t>
      </w:r>
      <w:r w:rsidR="002C6219" w:rsidRPr="00062348">
        <w:rPr>
          <w:spacing w:val="8"/>
        </w:rPr>
        <w:t>2</w:t>
      </w:r>
      <w:r w:rsidRPr="00062348">
        <w:rPr>
          <w:spacing w:val="8"/>
        </w:rPr>
        <w:t xml:space="preserve">. </w:t>
      </w:r>
      <w:r w:rsidR="002C6219" w:rsidRPr="00062348">
        <w:rPr>
          <w:spacing w:val="8"/>
        </w:rPr>
        <w:t>svibnja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E90475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1E3BA2" w:rsidP="001E3BA2" w:rsidR="001E3BA2" w:rsidRPr="00062348">
      <w:pPr>
        <w:jc w:val="both"/>
      </w:pPr>
      <w:r w:rsidRPr="00062348">
        <w:t>- stečajni upravitelj</w:t>
      </w:r>
    </w:p>
    <w:p w:rsidRDefault="001E3BA2" w:rsidP="001E3BA2" w:rsidR="0076475B" w:rsidRPr="00062348">
      <w:pPr>
        <w:jc w:val="both"/>
      </w:pPr>
      <w:r w:rsidRPr="00062348">
        <w:t>- e-oglasna ploča suda (čl. 12. Stečajnog zakona)</w:t>
      </w:r>
    </w:p>
    <w:sectPr w:rsidSect="00250C3D" w:rsidR="0076475B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7DD" w:rsidR="009257DD">
      <w:r>
        <w:separator/>
      </w:r>
    </w:p>
  </w:endnote>
  <w:endnote w:id="0" w:type="continuationSeparator">
    <w:p w:rsidRDefault="009257DD" w:rsidR="00925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7DD" w:rsidR="009257DD">
      <w:r>
        <w:separator/>
      </w:r>
    </w:p>
  </w:footnote>
  <w:footnote w:id="0" w:type="continuationSeparator">
    <w:p w:rsidRDefault="009257DD" w:rsidR="00925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4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Posl. br. 10 St-</w:t>
    </w:r>
    <w:r w:rsidR="00255536">
      <w:rPr>
        <w:rStyle w:val="Brojstranice"/>
      </w:rPr>
      <w:t>440/16</w:t>
    </w:r>
    <w:r>
      <w:rPr>
        <w:rStyle w:val="Brojstranice"/>
      </w:rPr>
      <w:t>-</w:t>
    </w:r>
    <w:r w:rsidR="00255536">
      <w:rPr>
        <w:rStyle w:val="Brojstranice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F6337"/>
    <w:rsid w:val="00201A05"/>
    <w:rsid w:val="00250C3D"/>
    <w:rsid w:val="00255536"/>
    <w:rsid w:val="002C6219"/>
    <w:rsid w:val="00312B2F"/>
    <w:rsid w:val="0032199C"/>
    <w:rsid w:val="00325861"/>
    <w:rsid w:val="0034384D"/>
    <w:rsid w:val="00367BD6"/>
    <w:rsid w:val="003B5158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5500E"/>
    <w:rsid w:val="00662157"/>
    <w:rsid w:val="00681BBF"/>
    <w:rsid w:val="006B35DE"/>
    <w:rsid w:val="006B68ED"/>
    <w:rsid w:val="006D7016"/>
    <w:rsid w:val="007523BA"/>
    <w:rsid w:val="0076475B"/>
    <w:rsid w:val="00786836"/>
    <w:rsid w:val="007D7C33"/>
    <w:rsid w:val="007E3E6F"/>
    <w:rsid w:val="007F7ED0"/>
    <w:rsid w:val="00816DC2"/>
    <w:rsid w:val="00832B36"/>
    <w:rsid w:val="00835DF5"/>
    <w:rsid w:val="008C6ADF"/>
    <w:rsid w:val="008D0640"/>
    <w:rsid w:val="008D2EA9"/>
    <w:rsid w:val="008E32A2"/>
    <w:rsid w:val="008F1CCC"/>
    <w:rsid w:val="00922021"/>
    <w:rsid w:val="009257DD"/>
    <w:rsid w:val="00943BC1"/>
    <w:rsid w:val="00997511"/>
    <w:rsid w:val="00997AAC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737D7"/>
    <w:rsid w:val="00B764B8"/>
    <w:rsid w:val="00B80D31"/>
    <w:rsid w:val="00B8111A"/>
    <w:rsid w:val="00BA7E09"/>
    <w:rsid w:val="00BC3390"/>
    <w:rsid w:val="00BC3DEE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0475"/>
    <w:rsid w:val="00E96D57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888</properties:Words>
  <properties:Characters>4877</properties:Characters>
  <properties:Lines>156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2017-05-12T10:07:00Z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2017-05-12T10:46:00Z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