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b9360" w14:paraId="c3b9360" w:rsidRDefault="006F4383" w:rsidP="006F4383" w:rsidR="006F4383" w:rsidRPr="006F4383">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r w:rsidRPr="006F4383">
        <w:rPr>
          <w:rFonts w:cs="Times New Roman" w:eastAsia="Times New Roman"/>
          <w:lang w:eastAsia="hr-HR"/>
        </w:rPr>
        <w:tab/>
      </w:r>
      <w:r w:rsidRPr="006F4383">
        <w:rPr>
          <w:rFonts w:cs="Times New Roman" w:eastAsia="Times New Roman"/>
          <w:lang w:eastAsia="hr-HR"/>
        </w:rPr>
        <w:tab/>
      </w:r>
      <w:r w:rsidRPr="006F4383">
        <w:rPr>
          <w:rFonts w:cs="Times New Roman" w:eastAsia="Times New Roman"/>
          <w:lang w:eastAsia="hr-HR"/>
        </w:rPr>
        <w:tab/>
      </w:r>
      <w:r w:rsidRPr="006F4383">
        <w:rPr>
          <w:rFonts w:cs="Times New Roman" w:eastAsia="Times New Roman"/>
          <w:lang w:eastAsia="hr-HR"/>
        </w:rPr>
        <w:tab/>
      </w:r>
      <w:r w:rsidRPr="006F4383">
        <w:rPr>
          <w:rFonts w:cs="Times New Roman" w:eastAsia="Times New Roman"/>
          <w:lang w:eastAsia="hr-HR"/>
        </w:rPr>
        <w:tab/>
      </w:r>
      <w:r w:rsidRPr="006F4383">
        <w:rPr>
          <w:rFonts w:cs="Times New Roman" w:eastAsia="Times New Roman"/>
          <w:lang w:eastAsia="hr-HR"/>
        </w:rPr>
        <w:tab/>
      </w:r>
      <w:r w:rsidRPr="006F4383">
        <w:rPr>
          <w:rFonts w:cs="Times New Roman" w:eastAsia="Times New Roman"/>
          <w:lang w:eastAsia="hr-HR"/>
        </w:rPr>
        <w:tab/>
      </w:r>
      <w:r w:rsidRPr="006F4383">
        <w:rPr>
          <w:rFonts w:cs="Times New Roman" w:eastAsia="Times New Roman"/>
          <w:lang w:eastAsia="hr-HR"/>
        </w:rPr>
        <w:tab/>
      </w:r>
      <w:r w:rsidRPr="006F4383">
        <w:rPr>
          <w:rFonts w:cs="Times New Roman" w:eastAsia="Times New Roman"/>
          <w:lang w:eastAsia="hr-HR"/>
        </w:rPr>
        <w:tab/>
        <w:t xml:space="preserve">        4 St-100/15</w:t>
      </w:r>
    </w:p>
    <w:p w:rsidRDefault="006F4383" w:rsidP="006F4383" w:rsidR="006F4383" w:rsidRPr="006F4383">
      <w:pPr>
        <w:spacing w:after="0"/>
        <w:rPr>
          <w:rFonts w:cs="Times New Roman" w:eastAsia="Times New Roman"/>
          <w:lang w:eastAsia="hr-HR"/>
        </w:rPr>
      </w:pPr>
    </w:p>
    <w:p w:rsidRDefault="006F4383" w:rsidP="006F4383" w:rsidR="006F4383" w:rsidRPr="006F4383">
      <w:pPr>
        <w:spacing w:after="0"/>
        <w:rPr>
          <w:rFonts w:cs="Times New Roman" w:eastAsia="Times New Roman"/>
          <w:lang w:eastAsia="hr-HR"/>
        </w:rPr>
      </w:pPr>
      <w:r w:rsidRPr="006F4383">
        <w:rPr>
          <w:rFonts w:cs="Times New Roman" w:eastAsia="Times New Roman"/>
          <w:lang w:eastAsia="hr-HR"/>
        </w:rPr>
        <w:t xml:space="preserve">REPUBLIKA HRVATSKA </w:t>
      </w:r>
    </w:p>
    <w:p w:rsidRDefault="006F4383" w:rsidP="006F4383" w:rsidR="006F4383" w:rsidRPr="006F4383">
      <w:pPr>
        <w:spacing w:after="0"/>
        <w:rPr>
          <w:rFonts w:cs="Times New Roman" w:eastAsia="Times New Roman"/>
          <w:lang w:eastAsia="hr-HR"/>
        </w:rPr>
      </w:pPr>
      <w:r w:rsidRPr="006F4383">
        <w:rPr>
          <w:rFonts w:cs="Times New Roman" w:eastAsia="Times New Roman"/>
          <w:lang w:eastAsia="hr-HR"/>
        </w:rPr>
        <w:t>TRGOVAČKI SUD U ZAGREBU</w:t>
      </w:r>
    </w:p>
    <w:p w:rsidRDefault="006F4383" w:rsidP="006F4383" w:rsidR="006F4383" w:rsidRPr="006F4383">
      <w:pPr>
        <w:spacing w:after="0"/>
        <w:rPr>
          <w:rFonts w:cs="Times New Roman" w:eastAsia="Times New Roman"/>
          <w:lang w:eastAsia="hr-HR"/>
        </w:rPr>
      </w:pPr>
      <w:r w:rsidRPr="006F4383">
        <w:rPr>
          <w:rFonts w:cs="Times New Roman" w:eastAsia="Times New Roman"/>
          <w:lang w:eastAsia="hr-HR"/>
        </w:rPr>
        <w:t xml:space="preserve">STALNA SLUŽBA </w:t>
      </w:r>
    </w:p>
    <w:p w:rsidRDefault="006F4383" w:rsidP="006F4383" w:rsidR="006F4383" w:rsidRPr="006F4383">
      <w:pPr>
        <w:spacing w:after="0"/>
        <w:rPr>
          <w:rFonts w:cs="Times New Roman" w:eastAsia="Times New Roman"/>
          <w:lang w:eastAsia="hr-HR"/>
        </w:rPr>
      </w:pPr>
      <w:r w:rsidRPr="006F4383">
        <w:rPr>
          <w:rFonts w:cs="Times New Roman" w:eastAsia="Times New Roman"/>
          <w:lang w:eastAsia="hr-HR"/>
        </w:rPr>
        <w:t>Karlovac, Trg hrvatskih branitelja 1/III</w:t>
      </w:r>
    </w:p>
    <w:p w:rsidRDefault="006F4383" w:rsidP="006F4383" w:rsidR="006F4383" w:rsidRPr="006F4383">
      <w:pPr>
        <w:spacing w:after="0"/>
        <w:rPr>
          <w:rFonts w:cs="Times New Roman" w:eastAsia="Times New Roman"/>
          <w:lang w:eastAsia="hr-HR"/>
        </w:rPr>
      </w:pPr>
    </w:p>
    <w:p w:rsidRDefault="006F4383" w:rsidP="006F4383" w:rsidR="006F4383" w:rsidRPr="006F4383">
      <w:pPr>
        <w:tabs>
          <w:tab w:pos="4050" w:val="left"/>
        </w:tabs>
        <w:spacing w:after="0"/>
        <w:rPr>
          <w:rFonts w:cs="Times New Roman" w:eastAsia="Times New Roman"/>
          <w:lang w:eastAsia="hr-HR"/>
        </w:rPr>
      </w:pPr>
      <w:r w:rsidRPr="006F4383">
        <w:rPr>
          <w:rFonts w:cs="Times New Roman" w:eastAsia="Times New Roman"/>
          <w:lang w:eastAsia="hr-HR"/>
        </w:rPr>
        <w:tab/>
      </w:r>
    </w:p>
    <w:p w:rsidRDefault="006F4383" w:rsidP="006F4383" w:rsidR="006F4383" w:rsidRPr="006F4383">
      <w:pPr>
        <w:tabs>
          <w:tab w:pos="4050" w:val="left"/>
        </w:tabs>
        <w:spacing w:after="0"/>
        <w:jc w:val="center"/>
        <w:rPr>
          <w:rFonts w:cs="Times New Roman" w:eastAsia="Times New Roman"/>
          <w:b/>
          <w:lang w:eastAsia="hr-HR"/>
        </w:rPr>
      </w:pPr>
      <w:r w:rsidRPr="006F4383">
        <w:rPr>
          <w:rFonts w:cs="Times New Roman" w:eastAsia="Times New Roman"/>
          <w:b/>
          <w:lang w:eastAsia="hr-HR"/>
        </w:rPr>
        <w:t>U IME REPUBLIKE HRVATSKE</w:t>
      </w:r>
    </w:p>
    <w:p w:rsidRDefault="006F4383" w:rsidP="006F4383" w:rsidR="006F4383" w:rsidRPr="006F4383">
      <w:pPr>
        <w:tabs>
          <w:tab w:pos="4050" w:val="left"/>
        </w:tabs>
        <w:spacing w:after="0"/>
        <w:jc w:val="center"/>
        <w:rPr>
          <w:rFonts w:cs="Times New Roman" w:eastAsia="Times New Roman"/>
          <w:lang w:eastAsia="hr-HR"/>
        </w:rPr>
      </w:pPr>
      <w:r w:rsidRPr="006F4383">
        <w:rPr>
          <w:rFonts w:cs="Times New Roman" w:eastAsia="Times New Roman"/>
          <w:b/>
          <w:lang w:eastAsia="hr-HR"/>
        </w:rPr>
        <w:t>R J E Š E N J E</w:t>
      </w:r>
    </w:p>
    <w:p w:rsidRDefault="006F4383" w:rsidP="006F4383" w:rsidR="006F4383" w:rsidRPr="006F4383">
      <w:pPr>
        <w:spacing w:after="0"/>
        <w:rPr>
          <w:rFonts w:cs="Times New Roman" w:eastAsia="Times New Roman"/>
          <w:lang w:eastAsia="hr-HR"/>
        </w:rPr>
      </w:pPr>
    </w:p>
    <w:p w:rsidRDefault="006F4383" w:rsidP="006F4383" w:rsidR="006F4383" w:rsidRPr="006F4383">
      <w:pPr>
        <w:spacing w:after="0"/>
        <w:ind w:firstLine="720"/>
        <w:jc w:val="both"/>
        <w:rPr>
          <w:rFonts w:cs="Times New Roman" w:eastAsia="Times New Roman"/>
          <w:lang w:eastAsia="hr-HR"/>
        </w:rPr>
      </w:pPr>
      <w:r w:rsidRPr="006F4383">
        <w:rPr>
          <w:rFonts w:cs="Times New Roman" w:eastAsia="Times New Roman"/>
          <w:lang w:eastAsia="hr-HR"/>
        </w:rPr>
        <w:t>TRGOVAČKI SUD ZAGREBU, STALNA SLUŽBA, po sucu Goranki Boljkovac, kao stečajnom sucu, povodom prijedloga predlagatelja FINANCIJSKA AGENCIJA, Zagreb, Vrtni put 3, za otvaranje stečajnog postupka nad dužnikom DESETO OGLEDALO d.o.o. Sisak, G. Krkleca 15, OIB 88050614070, dana 13. srpnja 2015. godine</w:t>
      </w:r>
    </w:p>
    <w:p w:rsidRDefault="006F4383" w:rsidP="006F4383" w:rsidR="006F4383" w:rsidRPr="006F4383">
      <w:pPr>
        <w:spacing w:after="0"/>
        <w:rPr>
          <w:rFonts w:cs="Times New Roman" w:eastAsia="Times New Roman"/>
          <w:lang w:eastAsia="hr-HR"/>
        </w:rPr>
      </w:pPr>
    </w:p>
    <w:p w:rsidRDefault="006F4383" w:rsidP="006F4383" w:rsidR="006F4383" w:rsidRPr="006F4383">
      <w:pPr>
        <w:spacing w:after="0"/>
        <w:jc w:val="center"/>
        <w:rPr>
          <w:rFonts w:cs="Times New Roman" w:eastAsia="Times New Roman"/>
          <w:b/>
          <w:lang w:eastAsia="hr-HR"/>
        </w:rPr>
      </w:pPr>
      <w:r w:rsidRPr="006F4383">
        <w:rPr>
          <w:rFonts w:cs="Times New Roman" w:eastAsia="Times New Roman"/>
          <w:lang w:eastAsia="hr-HR"/>
        </w:rPr>
        <w:t>r i j e š i o     j e</w:t>
      </w:r>
    </w:p>
    <w:p w:rsidRDefault="006F4383" w:rsidP="006F4383" w:rsidR="006F4383" w:rsidRPr="006F4383">
      <w:pPr>
        <w:spacing w:after="0"/>
        <w:ind w:firstLine="720"/>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Prijedlog predlagatelja  Financijska agencija, Zagreb, Vrtni put 3, od 30. siječnja 2015. godine, za otvaranje stečajnog postupka nad dužnikom DESETO OGLEDALO d.o.o. Sisak, G. Krkleca 15, OIB 880506614070, odbacuje se.</w:t>
      </w:r>
    </w:p>
    <w:p w:rsidRDefault="006F4383" w:rsidP="006F4383" w:rsidR="006F4383" w:rsidRPr="006F4383">
      <w:pPr>
        <w:spacing w:after="0"/>
        <w:jc w:val="both"/>
        <w:rPr>
          <w:rFonts w:cs="Times New Roman" w:eastAsia="Times New Roman"/>
          <w:lang w:eastAsia="hr-HR"/>
        </w:rPr>
      </w:pPr>
    </w:p>
    <w:p w:rsidRDefault="006F4383" w:rsidP="006F4383" w:rsidR="006F4383" w:rsidRPr="006F4383">
      <w:pPr>
        <w:spacing w:after="0"/>
        <w:jc w:val="both"/>
        <w:rPr>
          <w:rFonts w:cs="Times New Roman" w:eastAsia="Times New Roman"/>
          <w:lang w:eastAsia="hr-HR"/>
        </w:rPr>
      </w:pPr>
    </w:p>
    <w:p w:rsidRDefault="006F4383" w:rsidP="006F4383" w:rsidR="006F4383" w:rsidRPr="006F4383">
      <w:pPr>
        <w:spacing w:after="0"/>
        <w:jc w:val="center"/>
        <w:rPr>
          <w:rFonts w:cs="Times New Roman" w:eastAsia="Times New Roman"/>
          <w:lang w:eastAsia="hr-HR"/>
        </w:rPr>
      </w:pPr>
      <w:r w:rsidRPr="006F4383">
        <w:rPr>
          <w:rFonts w:cs="Times New Roman" w:eastAsia="Times New Roman"/>
          <w:lang w:eastAsia="hr-HR"/>
        </w:rPr>
        <w:t xml:space="preserve">Obrazloženje  </w:t>
      </w:r>
      <w:r w:rsidRPr="006F4383">
        <w:rPr>
          <w:rFonts w:cs="Times New Roman" w:eastAsia="Times New Roman"/>
          <w:lang w:eastAsia="hr-HR"/>
        </w:rPr>
        <w:tab/>
      </w:r>
    </w:p>
    <w:p w:rsidRDefault="006F4383" w:rsidP="006F4383" w:rsidR="006F4383" w:rsidRPr="006F4383">
      <w:pPr>
        <w:spacing w:after="0"/>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 xml:space="preserve">Predlagatelj Financijska agencija, Zagreb, podnijela je Trgovačkom sudu u Zagrebu dana 30. siječnja 2015. godine prijedlog za otvaranje stečajnog postupka nad dužnikom DESETO OGLEDALO d.o.o. Sisak, G. Krkleca 15, OIB 880506614070, a temeljem odredbe čl. </w:t>
      </w:r>
      <w:smartTag w:element="metricconverter" w:uri="urn:schemas-microsoft-com:office:smarttags">
        <w:smartTagPr>
          <w:attr w:val="49. st" w:name="ProductID"/>
        </w:smartTagPr>
        <w:r w:rsidRPr="006F4383">
          <w:rPr>
            <w:rFonts w:cs="Times New Roman" w:eastAsia="Times New Roman"/>
            <w:lang w:eastAsia="hr-HR"/>
          </w:rPr>
          <w:t>49. st</w:t>
        </w:r>
      </w:smartTag>
      <w:r w:rsidRPr="006F4383">
        <w:rPr>
          <w:rFonts w:cs="Times New Roman" w:eastAsia="Times New Roman"/>
          <w:lang w:eastAsia="hr-HR"/>
        </w:rPr>
        <w:t xml:space="preserve">. 2. Zakona o financijskom poslovanju i predstečajnoj nagodbi (Narodne novine broj 108/12, 144/12, dalje u tekstu: ZFPPN-a), a budući je rješenjem FINA-e od 7. siječnja 2015. godine Klasa: UP-I/110/07/14-01/7480, Ur.br.: 04-06-15-7480-5 nagodbeno vijeće odbacilo prijedlog ovdje dužnika za otvaranje postupka predstečajne nagodbe, a temeljem odredbe članka 49. stavak 1. točka 4. ZFPPN-a. </w:t>
      </w:r>
    </w:p>
    <w:p w:rsidRDefault="006F4383" w:rsidP="006F4383" w:rsidR="006F4383" w:rsidRPr="006F4383">
      <w:pPr>
        <w:spacing w:after="0"/>
        <w:ind w:firstLine="720"/>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 xml:space="preserve">Rješenjem ovog suda poslovni broj 4St-100/15 od 13. travnja 2015. godine pokrenut je prethodni postupak radi utvrđivanja uvjeta za otvaranje stečajnog postupka nad dužnikom DESETO OGLEDALO d.o.o. Sisak, G. Krkleca 15, OIB 880506614070, te je dana 29. svibnja 2015. godine kod ovog suda održano ročište radi izjašnjenja o prijedlogu za otvaranje stečajnog postupka, a na kojem ročištu je sud raspravnim rješenjem to ročište spojio s ročištem radi utvrđivanja uvjeta za otvaranje stečajnog postupka. Na ročištu je zakonski zastupnik dužnika Domagoj Bagarić izjavio da smatra da je prijedlog za otvaranje stečajnog postupka nad dužnikom osnovan, budući je dužnik u višegodišnjoj neprekidnoj blokadi, te je predložio da sud otvori stečajni postupak nad dužnikom. </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Uvidom u potvrdu FINA-e dana  21. svibnja 2015.  godine o blokadi računa i novčanih sredstava dužnika DESETO OGLEDALO d.o.o. (list 20 spisa), utvrđeno je da je do dana izdavanja potvrde 18. svibnja 2015. godine evidentirano 938 dana neprekidne blokade, te da su u očevidniku redoslijeda za plaćanje nepodmirene obveze na dan izdavanja potvrde u iznosu od 71.884,47 kn.</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 xml:space="preserve">Uvidom u dokumentaciju na listu 13 do 15 spisa, koju dokumentaciju je zakonski zastupnik dužnika dostavio sudu uz podnesak od 29. travnja 2015. godine, utvrđeno je da dužnik u svojim otvorenim stavkama ima evidentirano isključivo potraživanje prema dužniku Triatlon klub Zagreb u visini od 1.250,00 kn, s datumom dospijeća 11. srpnja 2012. godine,  dok iz registra osnovnih sredstava dužnika proizlazi da dužnik raspolaže samo sa pokretnom imovinom, i to uredskim namještajem nabavljenim u svibnju 2007. godine, prijenosnim računalom </w:t>
      </w:r>
      <w:proofErr w:type="spellStart"/>
      <w:r w:rsidRPr="006F4383">
        <w:rPr>
          <w:rFonts w:cs="Times New Roman" w:eastAsia="Times New Roman"/>
          <w:lang w:eastAsia="hr-HR"/>
        </w:rPr>
        <w:t>Notebook</w:t>
      </w:r>
      <w:proofErr w:type="spellEnd"/>
      <w:r w:rsidRPr="006F4383">
        <w:rPr>
          <w:rFonts w:cs="Times New Roman" w:eastAsia="Times New Roman"/>
          <w:lang w:eastAsia="hr-HR"/>
        </w:rPr>
        <w:t xml:space="preserve"> IBM nabavljenim u travnju 2004. godine, zatim prijenosnim računalom </w:t>
      </w:r>
      <w:proofErr w:type="spellStart"/>
      <w:r w:rsidRPr="006F4383">
        <w:rPr>
          <w:rFonts w:cs="Times New Roman" w:eastAsia="Times New Roman"/>
          <w:lang w:eastAsia="hr-HR"/>
        </w:rPr>
        <w:t>Notebook</w:t>
      </w:r>
      <w:proofErr w:type="spellEnd"/>
      <w:r w:rsidRPr="006F4383">
        <w:rPr>
          <w:rFonts w:cs="Times New Roman" w:eastAsia="Times New Roman"/>
          <w:lang w:eastAsia="hr-HR"/>
        </w:rPr>
        <w:t xml:space="preserve"> </w:t>
      </w:r>
      <w:proofErr w:type="spellStart"/>
      <w:r w:rsidRPr="006F4383">
        <w:rPr>
          <w:rFonts w:cs="Times New Roman" w:eastAsia="Times New Roman"/>
          <w:lang w:eastAsia="hr-HR"/>
        </w:rPr>
        <w:t>Lenovo</w:t>
      </w:r>
      <w:proofErr w:type="spellEnd"/>
      <w:r w:rsidRPr="006F4383">
        <w:rPr>
          <w:rFonts w:cs="Times New Roman" w:eastAsia="Times New Roman"/>
          <w:lang w:eastAsia="hr-HR"/>
        </w:rPr>
        <w:t xml:space="preserve"> 3000 nabavljenim u ožujku 2007. godine, računalom HP </w:t>
      </w:r>
      <w:proofErr w:type="spellStart"/>
      <w:r w:rsidRPr="006F4383">
        <w:rPr>
          <w:rFonts w:cs="Times New Roman" w:eastAsia="Times New Roman"/>
          <w:lang w:eastAsia="hr-HR"/>
        </w:rPr>
        <w:t>Renew</w:t>
      </w:r>
      <w:proofErr w:type="spellEnd"/>
      <w:r w:rsidRPr="006F4383">
        <w:rPr>
          <w:rFonts w:cs="Times New Roman" w:eastAsia="Times New Roman"/>
          <w:lang w:eastAsia="hr-HR"/>
        </w:rPr>
        <w:t xml:space="preserve"> RMKT nabavljenim u rujnu 2009. godine, te fotoaparatom marke </w:t>
      </w:r>
      <w:proofErr w:type="spellStart"/>
      <w:r w:rsidRPr="006F4383">
        <w:rPr>
          <w:rFonts w:cs="Times New Roman" w:eastAsia="Times New Roman"/>
          <w:lang w:eastAsia="hr-HR"/>
        </w:rPr>
        <w:t>Nikon</w:t>
      </w:r>
      <w:proofErr w:type="spellEnd"/>
      <w:r w:rsidRPr="006F4383">
        <w:rPr>
          <w:rFonts w:cs="Times New Roman" w:eastAsia="Times New Roman"/>
          <w:lang w:eastAsia="hr-HR"/>
        </w:rPr>
        <w:t xml:space="preserve"> nabavljenim 2009. godine, te mobilnim uređajem marke Nokia 6100 nabavljenim 2004. godine. Ukupna nabavna vrijednost cjelokupne pokretne imovine iznosila je 41.232,68 kn. </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Iz gore navedenog sud zaključuje da je nedvojbeno da je riječ o pokretnoj imovini koja je nedvojbeno uporabom kao i protekom vremena zbog tehnološkog i informatičkog razvoja, izgubila na vrijednosti, te je nedvojbeno u ovom trenutku neznatne tržišne vrijednosti, a osim toga zakonski zastupnik dužnika naveo je da predmetna računala nisu u funkciji, tj. da nisu ispravna, kao i da su dva uredska stola koja čine uredski namještaj također oštećena.</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 xml:space="preserve">Dakle, tijekom prethodnog postupka sud je utvrdio da je imovina dužnika neznatne vrijednosti, a da predvidivi troškovi stečajnog postupka iznose minimalno 12.200,00 kn, koji iznos bi bio potreban za pokriće nagrade stečajnog upravitelja u iznosu od 9.000,00 kn bruto, 2.000,00 kn knjigovodstvene usluge te trošak tri oglašavanja u Narodnim novinama od 1.200,00 kn. </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 xml:space="preserve">Odredbom čl. </w:t>
      </w:r>
      <w:smartTag w:element="metricconverter" w:uri="urn:schemas-microsoft-com:office:smarttags">
        <w:smartTagPr>
          <w:attr w:val="63. st" w:name="ProductID"/>
        </w:smartTagPr>
        <w:r w:rsidRPr="006F4383">
          <w:rPr>
            <w:rFonts w:cs="Times New Roman" w:eastAsia="Times New Roman"/>
            <w:lang w:eastAsia="hr-HR"/>
          </w:rPr>
          <w:t>63. st</w:t>
        </w:r>
      </w:smartTag>
      <w:r w:rsidRPr="006F4383">
        <w:rPr>
          <w:rFonts w:cs="Times New Roman" w:eastAsia="Times New Roman"/>
          <w:lang w:eastAsia="hr-HR"/>
        </w:rPr>
        <w:t>. 1. Stečajnog zakona  („Narodne novine“ broj 44/96, 29/99, 129/00, 123/03, 82/06, 116/10, 25/12, 133/12, 45/13, dalje u tekstu: SZ-a) propisano je da ako se tijekom prethodnog postupka utvrdi da imovina dužnika koja bi ušla u stečajnu masu nije dovoljna niti za namirenje troškova tog postupka ili je neznatne vrijednost, stečajni sudac će donijeti odluku o otvaranju i zaključenju stečajnog postupka. U tom se slučaju stečajni postupak neće provesti i na odgovarajući će se način primijeniti odredbe čl. 196. do 202. tog Zakona. Postupak se neće zaključiti, ako se u roku koji rješenjem odredi stečajni sudac predujmi dostatan iznos novca za pokriće troškova kako prethodnog, tako i otvorenog stečajnog postupka.</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Slijedom navedenog, sud je rješenjem posl.br. 4St-100/15 od 29. svibnja 2015. godine pozvao vjerovnike dužnika kao i osobe koje bi imale pravni interes da se stečajni postupak nad dužnikom provede, unatoč utvrđenoj nedostatnosti stečajne mase na plaćanje predujma u iznosu od 12.200,00 kn za pokriće troškova prethodnog i stečajnog postupka.</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 xml:space="preserve">Rješenje ovog suda posl.br. 4St-100/15 od 29. svibnja 2015. godine objavljeno je u Narodnim novinama broj 64/15 od 10. lipnja 2015. godine, te oglašeno na oglasnoj ploči suda 1. lipnja 2015. godine. </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 xml:space="preserve">Provjerom u računovodstvu ovog suda utvrđeno je da do dana 13. srpnja 2015. godine nije uplaćen predujam za pokriće troškova prethodnog i stečajnog postupka, slijedom čega bi bili ispunjeni uvjeti da sud donese rješenje o otvaranju i zaključenju stečajnog postupka nad dužnikom sukladno odredbi čl. 63. st. 1. SZ-a. </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lastRenderedPageBreak/>
        <w:t xml:space="preserve">Međutim, sud je utvrdio da je dana 11. lipnja 2014. godine Republika Hrvatska, Ministarstvo financija, Porezna uprava, Područni ured Sisak, podnijela ovom sudu prijedlog za pokretanje skraćenog stečajnog postupka nad dužnikom DESETO OGLEDALO d.o.o. Sisak, kojem prijedlogu je udovoljeno rješenjem Trgovačkog suda u Zagrebu posl.br. St-461/14 od 17. lipnja 2014. godine, kojim je pokrenut skraćeni stečajni postupak nad dužnikom. </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 xml:space="preserve">Nakon toga, Trgovački sud u Zagrebu rješenjem posl.br. St-461/14 od 18. lipnja 2015. godine otvorio je i istovremeno zaključio stečajni postupak nad dužnikom DESETO OGLEDALO d.o.o. Sisak, G. Krkleca 15, OIB 88050614070, a ujedno je imenovan i stečajni upravitelj Nebojša Antolić, iz Zagreba, P. </w:t>
      </w:r>
      <w:proofErr w:type="spellStart"/>
      <w:r w:rsidRPr="006F4383">
        <w:rPr>
          <w:rFonts w:cs="Times New Roman" w:eastAsia="Times New Roman"/>
          <w:lang w:eastAsia="hr-HR"/>
        </w:rPr>
        <w:t>Hatza</w:t>
      </w:r>
      <w:proofErr w:type="spellEnd"/>
      <w:r w:rsidRPr="006F4383">
        <w:rPr>
          <w:rFonts w:cs="Times New Roman" w:eastAsia="Times New Roman"/>
          <w:lang w:eastAsia="hr-HR"/>
        </w:rPr>
        <w:t xml:space="preserve"> 3. </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Rješenje Trgovačkog suda u Zagrebu posl.br. St-461/14 od 18. lipnja 2015. godine javno je objavljeno u Narodnim novinama broj 74/15 od 3. srpnja 2015. godine.</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Odredbom čl. 6. SZ-a propisano je da se u stečajnom postupku na odgovarajući način primjenjuju pravila parničnog postupka u postupku pred trgovačkim sudovima.</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 xml:space="preserve">Odredbom čl. 194. st. 3. Zakona o parničnom postupku (Narodne novine broj 148/11 – pročišćeni tekst, 25/13, dalje u tekstu: ZPP-a) propisano je da dok parnica teče ne može se u pogledu istog zahtjeva pokrenuti nova parnica među istim strankama, a ako takva parnica bude pokrenuta, sud će tužbu odbaciti; st. 4. istog članka propisano je da će sud u tijeku cijelog postupka po službenoj dužnosti paziti teče li već druga parnica o istom zahtjevu među istim strankama. </w:t>
      </w:r>
    </w:p>
    <w:p w:rsidRDefault="006F4383" w:rsidP="006F4383" w:rsidR="006F4383" w:rsidRPr="006F4383">
      <w:pPr>
        <w:spacing w:after="0"/>
        <w:ind w:firstLine="708"/>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 xml:space="preserve">Dakle, u ovom predmetu prijedlog za pokretanje stečajnog postupka podnesen je dana 30. siječnja 2015. godine, dok je u predmetu St-461/14, prijedlog za pokretanje skraćenog stečajnog postupka nad istim dužnikom podnesen 11. lipnja 2014. godine, te je u predmetu St-461/14 sud dana 18. lipnja 2015. godine donio rješenje o otvaranju i zaključenju stečajnog postupka nad dužnikom DESETO OGLEDALO d.o.o. Sisak, a identično rješenje bilo bi doneseno i u ovom predmetu, a da prethodno isto nije bilo doneseno u predmetu St-461/14, slijedom čega je u ovom predmetu valjao donijeti rješenje o odbacivanju prijedloga za pokretanje stečajnog postupka nad dužnikom, koji prijedlog je podnesen 30. siječnja 2015. godine, a budući se nad istim dužnikom ne može dva puta donijeti isto rješenje o otvaranju i zaključenju stečajnog postupka. </w:t>
      </w:r>
    </w:p>
    <w:p w:rsidRDefault="006F4383" w:rsidP="006F4383" w:rsidR="006F4383" w:rsidRPr="006F4383">
      <w:pPr>
        <w:spacing w:after="0"/>
        <w:ind w:firstLine="900"/>
        <w:jc w:val="both"/>
        <w:rPr>
          <w:rFonts w:cs="Times New Roman" w:eastAsia="Times New Roman"/>
          <w:lang w:eastAsia="hr-HR"/>
        </w:rPr>
      </w:pPr>
    </w:p>
    <w:p w:rsidRDefault="006F4383" w:rsidP="006F4383" w:rsidR="006F4383" w:rsidRPr="006F4383">
      <w:pPr>
        <w:spacing w:after="0"/>
        <w:ind w:firstLine="708"/>
        <w:jc w:val="both"/>
        <w:rPr>
          <w:rFonts w:cs="Times New Roman" w:eastAsia="Times New Roman"/>
          <w:lang w:eastAsia="hr-HR"/>
        </w:rPr>
      </w:pPr>
      <w:r w:rsidRPr="006F4383">
        <w:rPr>
          <w:rFonts w:cs="Times New Roman" w:eastAsia="Times New Roman"/>
          <w:lang w:eastAsia="hr-HR"/>
        </w:rPr>
        <w:t>Slijedom navedenog riješeno je kao u izreci.</w:t>
      </w:r>
    </w:p>
    <w:p w:rsidRDefault="006F4383" w:rsidP="006F4383" w:rsidR="006F4383" w:rsidRPr="006F4383">
      <w:pPr>
        <w:spacing w:after="0"/>
        <w:ind w:firstLine="900"/>
        <w:jc w:val="both"/>
        <w:rPr>
          <w:rFonts w:cs="Times New Roman" w:eastAsia="Times New Roman"/>
          <w:lang w:eastAsia="hr-HR"/>
        </w:rPr>
      </w:pPr>
      <w:r w:rsidRPr="006F4383">
        <w:rPr>
          <w:rFonts w:cs="Times New Roman" w:eastAsia="Times New Roman"/>
          <w:lang w:eastAsia="hr-HR"/>
        </w:rPr>
        <w:t xml:space="preserve">  </w:t>
      </w:r>
    </w:p>
    <w:p w:rsidRDefault="006F4383" w:rsidP="006F4383" w:rsidR="006F4383" w:rsidRPr="006F4383">
      <w:pPr>
        <w:spacing w:after="0"/>
        <w:jc w:val="center"/>
        <w:rPr>
          <w:rFonts w:cs="Times New Roman" w:eastAsia="Times New Roman"/>
          <w:lang w:eastAsia="hr-HR"/>
        </w:rPr>
      </w:pPr>
      <w:r w:rsidRPr="006F4383">
        <w:rPr>
          <w:rFonts w:cs="Times New Roman" w:eastAsia="Times New Roman"/>
          <w:lang w:eastAsia="hr-HR"/>
        </w:rPr>
        <w:t>U Karlovcu 13. srpnja 2015. godine</w:t>
      </w:r>
    </w:p>
    <w:p w:rsidRDefault="006F4383" w:rsidP="006F4383" w:rsidR="006F4383" w:rsidRPr="006F4383">
      <w:pPr>
        <w:spacing w:after="0"/>
        <w:ind w:left="6372"/>
        <w:jc w:val="both"/>
        <w:rPr>
          <w:rFonts w:cs="Times New Roman" w:eastAsia="Times New Roman"/>
          <w:lang w:eastAsia="hr-HR"/>
        </w:rPr>
      </w:pPr>
      <w:r w:rsidRPr="006F4383">
        <w:rPr>
          <w:rFonts w:cs="Times New Roman" w:eastAsia="Times New Roman"/>
          <w:lang w:eastAsia="hr-HR"/>
        </w:rPr>
        <w:t xml:space="preserve">         Stečajni sudac:</w:t>
      </w:r>
    </w:p>
    <w:p w:rsidRDefault="006F4383" w:rsidP="006F4383" w:rsidR="006F4383" w:rsidRPr="006F4383">
      <w:pPr>
        <w:spacing w:after="0"/>
        <w:jc w:val="both"/>
        <w:rPr>
          <w:rFonts w:cs="Times New Roman" w:eastAsia="Times New Roman"/>
          <w:lang w:eastAsia="hr-HR"/>
        </w:rPr>
      </w:pPr>
      <w:r w:rsidRPr="006F4383">
        <w:rPr>
          <w:rFonts w:cs="Times New Roman" w:eastAsia="Times New Roman"/>
          <w:lang w:eastAsia="hr-HR"/>
        </w:rPr>
        <w:t xml:space="preserve">                                                                                                                Goranka Boljkovac</w:t>
      </w:r>
    </w:p>
    <w:p w:rsidRDefault="006F4383" w:rsidP="006F4383" w:rsidR="006F4383" w:rsidRPr="006F4383">
      <w:pPr>
        <w:spacing w:after="0"/>
        <w:jc w:val="both"/>
        <w:rPr>
          <w:rFonts w:cs="Times New Roman" w:eastAsia="Times New Roman"/>
          <w:lang w:eastAsia="hr-HR"/>
        </w:rPr>
      </w:pPr>
    </w:p>
    <w:p w:rsidRDefault="006F4383" w:rsidP="006F4383" w:rsidR="006F4383" w:rsidRPr="006F4383">
      <w:pPr>
        <w:tabs>
          <w:tab w:pos="6900" w:val="left"/>
        </w:tabs>
        <w:spacing w:after="0"/>
        <w:jc w:val="both"/>
        <w:rPr>
          <w:rFonts w:cs="Times New Roman" w:eastAsia="Times New Roman"/>
          <w:lang w:eastAsia="hr-HR"/>
        </w:rPr>
      </w:pPr>
      <w:r w:rsidRPr="006F4383">
        <w:rPr>
          <w:rFonts w:cs="Times New Roman" w:eastAsia="Times New Roman"/>
          <w:lang w:eastAsia="hr-HR"/>
        </w:rPr>
        <w:t xml:space="preserve"> </w:t>
      </w:r>
      <w:r w:rsidRPr="006F4383">
        <w:rPr>
          <w:rFonts w:cs="Times New Roman" w:eastAsia="Times New Roman"/>
          <w:lang w:eastAsia="hr-HR"/>
        </w:rPr>
        <w:tab/>
      </w:r>
    </w:p>
    <w:p w:rsidRDefault="006F4383" w:rsidP="006F4383" w:rsidR="006F4383" w:rsidRPr="006F4383">
      <w:pPr>
        <w:tabs>
          <w:tab w:pos="6830" w:val="left"/>
        </w:tabs>
        <w:spacing w:after="0"/>
        <w:jc w:val="both"/>
        <w:rPr>
          <w:rFonts w:cs="Times New Roman" w:eastAsia="Times New Roman"/>
          <w:lang w:eastAsia="hr-HR"/>
        </w:rPr>
      </w:pPr>
    </w:p>
    <w:p w:rsidRDefault="006F4383" w:rsidP="006F4383" w:rsidR="006F4383" w:rsidRPr="006F4383">
      <w:pPr>
        <w:tabs>
          <w:tab w:pos="6150" w:val="left"/>
        </w:tabs>
        <w:spacing w:after="0"/>
        <w:rPr>
          <w:rFonts w:cs="Times New Roman" w:eastAsia="Times New Roman"/>
          <w:lang w:eastAsia="hr-HR"/>
        </w:rPr>
      </w:pPr>
      <w:r w:rsidRPr="006F4383">
        <w:rPr>
          <w:rFonts w:cs="Times New Roman" w:eastAsia="Times New Roman"/>
          <w:lang w:eastAsia="hr-HR"/>
        </w:rPr>
        <w:t>Dna:</w:t>
      </w:r>
      <w:r w:rsidRPr="006F4383">
        <w:rPr>
          <w:rFonts w:cs="Times New Roman" w:eastAsia="Times New Roman"/>
          <w:lang w:eastAsia="hr-HR"/>
        </w:rPr>
        <w:tab/>
      </w:r>
    </w:p>
    <w:p w:rsidRDefault="006F4383" w:rsidP="006F4383" w:rsidR="006F4383" w:rsidRPr="006F4383">
      <w:pPr>
        <w:numPr>
          <w:ilvl w:val="0"/>
          <w:numId w:val="47"/>
        </w:numPr>
        <w:spacing w:after="0"/>
        <w:rPr>
          <w:rFonts w:cs="Times New Roman" w:eastAsia="Times New Roman"/>
          <w:lang w:eastAsia="hr-HR"/>
        </w:rPr>
      </w:pPr>
      <w:r w:rsidRPr="006F4383">
        <w:rPr>
          <w:rFonts w:cs="Times New Roman" w:eastAsia="Times New Roman"/>
          <w:lang w:eastAsia="hr-HR"/>
        </w:rPr>
        <w:t>Dužniku</w:t>
      </w:r>
    </w:p>
    <w:p w:rsidRDefault="006F4383" w:rsidP="006F4383" w:rsidR="006F4383" w:rsidRPr="006F4383">
      <w:pPr>
        <w:numPr>
          <w:ilvl w:val="0"/>
          <w:numId w:val="47"/>
        </w:numPr>
        <w:spacing w:after="0"/>
        <w:rPr>
          <w:rFonts w:cs="Times New Roman" w:eastAsia="Times New Roman"/>
          <w:lang w:eastAsia="hr-HR"/>
        </w:rPr>
      </w:pPr>
      <w:r w:rsidRPr="006F4383">
        <w:rPr>
          <w:rFonts w:cs="Times New Roman" w:eastAsia="Times New Roman"/>
          <w:lang w:eastAsia="hr-HR"/>
        </w:rPr>
        <w:t xml:space="preserve">Predlagatelju </w:t>
      </w:r>
    </w:p>
    <w:p w:rsidRDefault="006F4383" w:rsidP="006F4383" w:rsidR="00DA0242">
      <w:pPr>
        <w:numPr>
          <w:ilvl w:val="0"/>
          <w:numId w:val="47"/>
        </w:numPr>
        <w:spacing w:after="0"/>
      </w:pPr>
      <w:r w:rsidRPr="006F4383">
        <w:rPr>
          <w:rFonts w:cs="Times New Roman" w:eastAsia="Times New Roman"/>
          <w:lang w:eastAsia="hr-HR"/>
        </w:rPr>
        <w:t>Oglasna ploča suda</w:t>
      </w:r>
      <w:r w:rsidRPr="006F4383">
        <w:rPr>
          <w:rFonts w:cs="Times New Roman" w:eastAsia="Times New Roman"/>
          <w:lang w:eastAsia="hr-HR"/>
        </w:rPr>
        <w:t xml:space="preserve"> </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38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70096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2015.</izvorni_sadrzaj>
    <derivirana_varijabla naziv="DomainObject.DatumDonosenjaOdluke_1">13.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St-100/2015-12</izvorni_sadrzaj>
    <derivirana_varijabla naziv="DomainObject.Oznaka_1">St-100/2015-12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izvorni_sadrzaj>
    <derivirana_varijabla naziv="DomainObject.Predmet.Broj_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St-100/2015</izvorni_sadrzaj>
    <derivirana_varijabla naziv="DomainObject.Predmet.OznakaBroj_1">St-100/2015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DESETO OGLEDALO d.o.o. za proizvodnju i usluge</izvorni_sadrzaj>
    <derivirana_varijabla naziv="DomainObject.Predmet.ProtustrankaFormated_1">  DESETO OGLEDALO d.o.o. za proizvodnju i usluge</derivirana_varijabla>
  </DomainObject.Predmet.ProtustrankaFormated>
  <DomainObject.Predmet.ProtustrankaFormatedOIB>
    <izvorni_sadrzaj>  DESETO OGLEDALO d.o.o. za proizvodnju i usluge, OIB 88050614070</izvorni_sadrzaj>
    <derivirana_varijabla naziv="DomainObject.Predmet.ProtustrankaFormatedOIB_1">  DESETO OGLEDALO d.o.o. za proizvodnju i usluge, OIB 88050614070</derivirana_varijabla>
  </DomainObject.Predmet.ProtustrankaFormatedOIB>
  <DomainObject.Predmet.ProtustrankaFormatedWithAdress>
    <izvorni_sadrzaj> DESETO OGLEDALO d.o.o. za proizvodnju i usluge, Gustava Krkleca 15, 44000 Sisak</izvorni_sadrzaj>
    <derivirana_varijabla naziv="DomainObject.Predmet.ProtustrankaFormatedWithAdress_1"> DESETO OGLEDALO d.o.o. za proizvodnju i usluge, Gustava Krkleca 15, 44000 Sisak</derivirana_varijabla>
  </DomainObject.Predmet.ProtustrankaFormatedWithAdress>
  <DomainObject.Predmet.ProtustrankaFormatedWithAdressOIB>
    <izvorni_sadrzaj> DESETO OGLEDALO d.o.o. za proizvodnju i usluge, OIB 88050614070, Gustava Krkleca 15, 44000 Sisak</izvorni_sadrzaj>
    <derivirana_varijabla naziv="DomainObject.Predmet.ProtustrankaFormatedWithAdressOIB_1"> DESETO OGLEDALO d.o.o. za proizvodnju i usluge, OIB 88050614070, Gustava Krkleca 15, 44000 Sisak</derivirana_varijabla>
  </DomainObject.Predmet.ProtustrankaFormatedWithAdressOIB>
  <DomainObject.Predmet.ProtustrankaWithAdress>
    <izvorni_sadrzaj>DESETO OGLEDALO d.o.o. za proizvodnju i usluge Gustava Krkleca 15, 44000 Sisak</izvorni_sadrzaj>
    <derivirana_varijabla naziv="DomainObject.Predmet.ProtustrankaWithAdress_1">DESETO OGLEDALO d.o.o. za proizvodnju i usluge Gustava Krkleca 15, 44000 Sisak</derivirana_varijabla>
  </DomainObject.Predmet.ProtustrankaWithAdress>
  <DomainObject.Predmet.ProtustrankaWithAdressOIB>
    <izvorni_sadrzaj>DESETO OGLEDALO d.o.o. za proizvodnju i usluge, OIB 88050614070, Gustava Krkleca 15, 44000 Sisak</izvorni_sadrzaj>
    <derivirana_varijabla naziv="DomainObject.Predmet.ProtustrankaWithAdressOIB_1">DESETO OGLEDALO d.o.o. za proizvodnju i usluge, OIB 88050614070, Gustava Krkleca 15, 44000 Sisak</derivirana_varijabla>
  </DomainObject.Predmet.ProtustrankaWithAdressOIB>
  <DomainObject.Predmet.ProtustrankaNazivFormated>
    <izvorni_sadrzaj>DESETO OGLEDALO d.o.o. za proizvodnju i usluge</izvorni_sadrzaj>
    <derivirana_varijabla naziv="DomainObject.Predmet.ProtustrankaNazivFormated_1">DESETO OGLEDALO d.o.o. za proizvodnju i usluge</derivirana_varijabla>
  </DomainObject.Predmet.ProtustrankaNazivFormated>
  <DomainObject.Predmet.ProtustrankaNazivFormatedOIB>
    <izvorni_sadrzaj>DESETO OGLEDALO d.o.o. za proizvodnju i usluge, OIB 88050614070</izvorni_sadrzaj>
    <derivirana_varijabla naziv="DomainObject.Predmet.ProtustrankaNazivFormatedOIB_1">DESETO OGLEDALO d.o.o. za proizvodnju i usluge, OIB 88050614070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DESETO OGLEDALO d.o.o. za proizvodnju i usluge</item>
    </izvorni_sadrzaj>
    <derivirana_varijabla naziv="DomainObject.Predmet.ProtuStrankaListFormated_1">
      <item>DESETO OGLEDALO d.o.o. za proizvodnju i usluge</item>
    </derivirana_varijabla>
  </DomainObject.Predmet.ProtuStrankaListFormated>
  <DomainObject.Predmet.ProtuStrankaListFormatedOIB>
    <izvorni_sadrzaj>
      <item>DESETO OGLEDALO d.o.o. za proizvodnju i usluge, OIB 88050614070</item>
    </izvorni_sadrzaj>
    <derivirana_varijabla naziv="DomainObject.Predmet.ProtuStrankaListFormatedOIB_1">
      <item>DESETO OGLEDALO d.o.o. za proizvodnju i usluge, OIB 88050614070</item>
    </derivirana_varijabla>
  </DomainObject.Predmet.ProtuStrankaListFormatedOIB>
  <DomainObject.Predmet.ProtuStrankaListFormatedWithAdress>
    <izvorni_sadrzaj>
      <item>DESETO OGLEDALO d.o.o. za proizvodnju i usluge, Gustava Krkleca 15, 44000 Sisak</item>
    </izvorni_sadrzaj>
    <derivirana_varijabla naziv="DomainObject.Predmet.ProtuStrankaListFormatedWithAdress_1">
      <item>DESETO OGLEDALO d.o.o. za proizvodnju i usluge, Gustava Krkleca 15, 44000 Sisak</item>
    </derivirana_varijabla>
  </DomainObject.Predmet.ProtuStrankaListFormatedWithAdress>
  <DomainObject.Predmet.ProtuStrankaListFormatedWithAdressOIB>
    <izvorni_sadrzaj>
      <item>DESETO OGLEDALO d.o.o. za proizvodnju i usluge, OIB 88050614070, Gustava Krkleca 15, 44000 Sisak</item>
    </izvorni_sadrzaj>
    <derivirana_varijabla naziv="DomainObject.Predmet.ProtuStrankaListFormatedWithAdressOIB_1">
      <item>DESETO OGLEDALO d.o.o. za proizvodnju i usluge, OIB 88050614070, Gustava Krkleca 15, 44000 Sisak</item>
    </derivirana_varijabla>
  </DomainObject.Predmet.ProtuStrankaListFormatedWithAdressOIB>
  <DomainObject.Predmet.ProtuStrankaListNazivFormated>
    <izvorni_sadrzaj>
      <item>DESETO OGLEDALO d.o.o. za proizvodnju i usluge</item>
    </izvorni_sadrzaj>
    <derivirana_varijabla naziv="DomainObject.Predmet.ProtuStrankaListNazivFormated_1">
      <item>DESETO OGLEDALO d.o.o. za proizvodnju i usluge</item>
    </derivirana_varijabla>
  </DomainObject.Predmet.ProtuStrankaListNazivFormated>
  <DomainObject.Predmet.ProtuStrankaListNazivFormatedOIB>
    <izvorni_sadrzaj>
      <item>DESETO OGLEDALO d.o.o. za proizvodnju i usluge, OIB 88050614070</item>
    </izvorni_sadrzaj>
    <derivirana_varijabla naziv="DomainObject.Predmet.ProtuStrankaListNazivFormatedOIB_1">
      <item>DESETO OGLEDALO d.o.o. za proizvodnju i usluge, OIB 88050614070</item>
    </derivirana_varijabla>
  </DomainObject.Predmet.ProtuStrankaListNazivFormatedOIB>
  <DomainObject.Predmet.OstaliListFormated>
    <izvorni_sadrzaj>
      <item>DOMAGOJ BAGARIĆ</item>
    </izvorni_sadrzaj>
    <derivirana_varijabla naziv="DomainObject.Predmet.OstaliListFormated_1">
      <item>DOMAGOJ BAGARIĆ</item>
    </derivirana_varijabla>
  </DomainObject.Predmet.OstaliListFormated>
  <DomainObject.Predmet.OstaliListFormatedOIB>
    <izvorni_sadrzaj>
      <item>DOMAGOJ BAGARIĆ, OIB 45261877034</item>
    </izvorni_sadrzaj>
    <derivirana_varijabla naziv="DomainObject.Predmet.OstaliListFormatedOIB_1">
      <item>DOMAGOJ BAGARIĆ, OIB 45261877034</item>
    </derivirana_varijabla>
  </DomainObject.Predmet.OstaliListFormatedOIB>
  <DomainObject.Predmet.OstaliListFormatedWithAdress>
    <izvorni_sadrzaj>
      <item>DOMAGOJ BAGARIĆ, Gustava Krkleca 15, 44000 Sisak</item>
    </izvorni_sadrzaj>
    <derivirana_varijabla naziv="DomainObject.Predmet.OstaliListFormatedWithAdress_1">
      <item>DOMAGOJ BAGARIĆ, Gustava Krkleca 15, 44000 Sisak</item>
    </derivirana_varijabla>
  </DomainObject.Predmet.OstaliListFormatedWithAdress>
  <DomainObject.Predmet.OstaliListFormatedWithAdressOIB>
    <izvorni_sadrzaj>
      <item>DOMAGOJ BAGARIĆ, OIB 45261877034, Gustava Krkleca 15, 44000 Sisak</item>
    </izvorni_sadrzaj>
    <derivirana_varijabla naziv="DomainObject.Predmet.OstaliListFormatedWithAdressOIB_1">
      <item>DOMAGOJ BAGARIĆ, OIB 45261877034, Gustava Krkleca 15, 44000 Sisak</item>
    </derivirana_varijabla>
  </DomainObject.Predmet.OstaliListFormatedWithAdressOIB>
  <DomainObject.Predmet.OstaliListNazivFormated>
    <izvorni_sadrzaj>
      <item>DOMAGOJ BAGARIĆ</item>
    </izvorni_sadrzaj>
    <derivirana_varijabla naziv="DomainObject.Predmet.OstaliListNazivFormated_1">
      <item>DOMAGOJ BAGARIĆ</item>
    </derivirana_varijabla>
  </DomainObject.Predmet.OstaliListNazivFormated>
  <DomainObject.Predmet.OstaliListNazivFormatedOIB>
    <izvorni_sadrzaj>
      <item>DOMAGOJ BAGARIĆ, OIB 45261877034</item>
    </izvorni_sadrzaj>
    <derivirana_varijabla naziv="DomainObject.Predmet.OstaliListNazivFormatedOIB_1">
      <item>DOMAGOJ BAGARIĆ, OIB 45261877034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2015.</izvorni_sadrzaj>
    <derivirana_varijabla naziv="DomainObject.Datum_1">13. srpnja 2015.</derivirana_varijabla>
  </DomainObject.Datum>
  <DomainObject.PoslovniBrojDokumenta>
    <izvorni_sadrzaj>St-100/2015-12</izvorni_sadrzaj>
    <derivirana_varijabla naziv="DomainObject.PoslovniBrojDokumenta_1">St-100/2015-12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DESETO OGLEDALO d.o.o. za proizvodnju i usluge</izvorni_sadrzaj>
    <derivirana_varijabla naziv="DomainObject.Predmet.ProtustrankaIDrugi_1">DESETO OGLEDALO d.o.o. za proizvodnju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DESETO OGLEDALO d.o.o. za proizvodnju i usluge, OIB 88050614070, Gustava Krkleca 15, 44000 Sisak</izvorni_sadrzaj>
    <derivirana_varijabla naziv="DomainObject.Predmet.ProtustrankaIDrugiAdressOIB_1">DESETO OGLEDALO d.o.o. za proizvodnju i usluge, OIB 88050614070, Gustava Krkleca 15,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DESETO OGLEDALO d.o.o. za proizvodnju i usluge</item>
      <item>DOMAGOJ BAGARIĆ</item>
    </izvorni_sadrzaj>
    <derivirana_varijabla naziv="DomainObject.Predmet.SudioniciListNaziv_1">
      <item>FINA Regionalni centar Zagreb</item>
      <item>DESETO OGLEDALO d.o.o. za proizvodnju i usluge</item>
      <item>DOMAGOJ BAGARIĆ</item>
    </derivirana_varijabla>
  </DomainObject.Predmet.SudioniciListNaziv>
  <DomainObject.Predmet.SudioniciListAdressOIB>
    <izvorni_sadrzaj>
      <item>FINA Regionalni centar Zagreb, OIB 85821130368, Ilica 307,10000 Zagreb</item>
      <item>DESETO OGLEDALO d.o.o. za proizvodnju i usluge, OIB 88050614070, Gustava Krkleca 15,44000 Sisak</item>
      <item>DOMAGOJ BAGARIĆ, OIB 45261877034, Gustava Krkleca 15,44000 Sisak</item>
    </izvorni_sadrzaj>
    <derivirana_varijabla naziv="DomainObject.Predmet.SudioniciListAdressOIB_1">
      <item>FINA Regionalni centar Zagreb, OIB 85821130368, Ilica 307,10000 Zagreb</item>
      <item>DESETO OGLEDALO d.o.o. za proizvodnju i usluge, OIB 88050614070, Gustava Krkleca 15,44000 Sisak</item>
      <item>DOMAGOJ BAGARIĆ, OIB 45261877034, Gustava Krkleca 15,44000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0521FC-B158-47D4-A197-F17D28ED9E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1245</properties:Words>
  <properties:Characters>7065</properties:Characters>
  <properties:Lines>146</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Goranka Boljkovac</cp:lastModifiedBy>
  <dcterms:modified xmlns:xsi="http://www.w3.org/2001/XMLSchema-instance" xsi:type="dcterms:W3CDTF">2015-07-13T13:02:00Z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St-100/2015-12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