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9021" w14:paraId="71a9021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</w:t>
      </w:r>
      <w:r w:rsidR="009E1FF0">
        <w:rPr>
          <w:rFonts w:eastAsia="Times New Roman" w:hAnsi="Times New Roman" w:ascii="Times New Roman"/>
          <w:bCs/>
          <w:color w:val="000000"/>
          <w:lang w:eastAsia="hr-HR"/>
        </w:rPr>
        <w:t>-2272</w:t>
      </w:r>
      <w:r w:rsidR="002D2E7A">
        <w:rPr>
          <w:rFonts w:eastAsia="Times New Roman" w:hAnsi="Times New Roman" w:ascii="Times New Roman"/>
          <w:bCs/>
          <w:color w:val="000000"/>
          <w:lang w:eastAsia="hr-HR"/>
        </w:rPr>
        <w:t>/16</w:t>
      </w:r>
      <w:r w:rsidR="009E1FF0">
        <w:rPr>
          <w:rFonts w:eastAsia="Times New Roman" w:hAnsi="Times New Roman" w:ascii="Times New Roman"/>
          <w:bCs/>
          <w:color w:val="000000"/>
          <w:lang w:eastAsia="hr-HR"/>
        </w:rPr>
        <w:t>-40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9F1DD4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9A5E2A" w:rsidRPr="009A5E2A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9E1FF0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kao stečajnom sucu, u stečajnom postupku nad dužnikom </w:t>
      </w:r>
      <w:r w:rsidR="009E1FF0" w:rsidRPr="009E1FF0">
        <w:rPr>
          <w:rFonts w:eastAsia="Times New Roman" w:hAnsi="Times New Roman" w:ascii="Times New Roman"/>
          <w:bCs/>
          <w:color w:val="000000"/>
          <w:lang w:eastAsia="hr-HR"/>
        </w:rPr>
        <w:t>URBANI OGLASI d.o.o. u stečaju, Zagreb, Kralja Držislava 3, OIB: 21113103412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9E1FF0">
        <w:rPr>
          <w:rFonts w:eastAsia="Times New Roman" w:hAnsi="Times New Roman" w:ascii="Times New Roman"/>
          <w:bCs/>
          <w:color w:val="000000"/>
          <w:lang w:eastAsia="hr-HR"/>
        </w:rPr>
        <w:t>17. svibnja</w:t>
      </w:r>
      <w:r w:rsidR="002E65D0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2E65D0">
        <w:rPr>
          <w:rFonts w:eastAsia="Times New Roman" w:hAnsi="Times New Roman" w:ascii="Times New Roman"/>
          <w:bCs/>
          <w:color w:val="000000"/>
          <w:lang w:eastAsia="hr-HR"/>
        </w:rPr>
        <w:t>8</w:t>
      </w:r>
      <w:r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815583" w:rsidP="00E6705C" w:rsidR="00815583">
      <w:pPr>
        <w:jc w:val="both"/>
        <w:rPr>
          <w:rFonts w:hAnsi="Times New Roman" w:ascii="Times New Roman"/>
        </w:rPr>
      </w:pPr>
    </w:p>
    <w:p w:rsidRDefault="002E65D0" w:rsidP="00E6705C" w:rsidR="002E65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1.Obustavlja se i zaključuje stečajni postupak nad dužnikom </w:t>
      </w:r>
      <w:r w:rsidR="009E1FF0" w:rsidRPr="009E1FF0">
        <w:rPr>
          <w:rFonts w:hAnsi="Times New Roman" w:ascii="Times New Roman"/>
        </w:rPr>
        <w:t>URBANI OGLASI d.o.o. u stečaju, Zagreb, Kralja Držislava 3, OIB: 21113103412</w:t>
      </w:r>
      <w:r>
        <w:rPr>
          <w:rFonts w:hAnsi="Times New Roman" w:ascii="Times New Roman"/>
        </w:rPr>
        <w:t>, zbog nedostatnosti stečajne mase za namirenje troškova stečajnog postupka.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2.Ovo rješenje će se objaviti na mrežnoj stranici e-Oglasna ploča Trgovačkog suda u Zagrebu i nakon pravomoćnosti dostaviti registru ovog suda radi brisanja dužnika iz istog.</w:t>
      </w: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3.Stečajni upravitelj će i nakon obustave i zaključenja stečajnog postupka u ime stečajnog dužnika, a za račun stečajne mase nastaviti s unovčenjem eventualno naknadno pronađene imovine dužnika i s ostvarenim sredstvima postupiti prema odredbi iz čl. 133. st. 1. Stečajnog zakona. 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9D5E53" w:rsidP="00FF3075" w:rsidR="003B11E8">
      <w:pPr>
        <w:jc w:val="center"/>
        <w:rPr>
          <w:rFonts w:eastAsia="Times New Roman" w:hAnsi="Times New Roman" w:ascii="Times New Roman"/>
          <w:color w:val="000000"/>
        </w:rPr>
      </w:pPr>
      <w:r w:rsidRPr="00837827">
        <w:rPr>
          <w:rFonts w:eastAsia="Times New Roman" w:hAnsi="Times New Roman" w:ascii="Times New Roman"/>
          <w:color w:val="000000"/>
        </w:rPr>
        <w:t>Obrazloženje</w:t>
      </w:r>
    </w:p>
    <w:p w:rsidRDefault="009D5E53" w:rsidP="009D5E53" w:rsidR="00FF3075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</w:r>
    </w:p>
    <w:p w:rsidRDefault="00FF3075" w:rsidP="009D5E53" w:rsidR="00FF3075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Rješenjem ovog suda poslovni broj gornji od 30. svibnja 2017. otvoren je stečajni postupak nad stečajnim dužnikom </w:t>
      </w:r>
      <w:r w:rsidRPr="00FF3075">
        <w:rPr>
          <w:rFonts w:eastAsia="Times New Roman" w:hAnsi="Times New Roman" w:ascii="Times New Roman"/>
          <w:color w:val="000000"/>
        </w:rPr>
        <w:t>URBANI OGLASI d.o.o. u stečaju, Zagreb, Kralja Držislava 3, OIB: 21113103412</w:t>
      </w:r>
      <w:r>
        <w:rPr>
          <w:rFonts w:eastAsia="Times New Roman" w:hAnsi="Times New Roman" w:ascii="Times New Roman"/>
          <w:color w:val="000000"/>
        </w:rPr>
        <w:t>.</w:t>
      </w:r>
    </w:p>
    <w:p w:rsidRDefault="00FF3075" w:rsidP="009D5E53" w:rsidR="00FF3075">
      <w:pPr>
        <w:jc w:val="both"/>
        <w:rPr>
          <w:rFonts w:eastAsia="Times New Roman" w:hAnsi="Times New Roman" w:ascii="Times New Roman"/>
          <w:color w:val="000000"/>
        </w:rPr>
      </w:pPr>
    </w:p>
    <w:p w:rsidRDefault="00FF3075" w:rsidP="009D5E53" w:rsidR="00FF3075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Stečajni upravitelj u izviješću od 6. rujna 2017. navodi da dužnik nema imovine kojim bi se podmirili dospjeli i budući troškovi stečajnog postupka, te predlaže da Skupština na izvještajnom ročištu donese odluku kojom prihvaća njegov prijedlog za donošenje rješenja o obustavi i zaključenju stečajnog postupka zbog nedostatnosti stečajne mase za pokriće troškova postupka i ostalih obveza stečajne mase sukladno čl. 293. </w:t>
      </w:r>
      <w:r w:rsidRPr="00FF3075">
        <w:rPr>
          <w:rFonts w:eastAsia="Times New Roman" w:hAnsi="Times New Roman" w:ascii="Times New Roman"/>
          <w:color w:val="000000"/>
        </w:rPr>
        <w:t>Stečajnog zakona ("Narodne novine" broj 71/15</w:t>
      </w:r>
      <w:r>
        <w:rPr>
          <w:rFonts w:eastAsia="Times New Roman" w:hAnsi="Times New Roman" w:ascii="Times New Roman"/>
          <w:color w:val="000000"/>
        </w:rPr>
        <w:t xml:space="preserve">, 104/17 </w:t>
      </w:r>
      <w:r w:rsidRPr="00FF3075">
        <w:rPr>
          <w:rFonts w:eastAsia="Times New Roman" w:hAnsi="Times New Roman" w:ascii="Times New Roman"/>
          <w:color w:val="000000"/>
        </w:rPr>
        <w:t>- dalje SZ),</w:t>
      </w:r>
      <w:r>
        <w:rPr>
          <w:rFonts w:eastAsia="Times New Roman" w:hAnsi="Times New Roman" w:ascii="Times New Roman"/>
          <w:color w:val="000000"/>
        </w:rPr>
        <w:t xml:space="preserve">, a </w:t>
      </w:r>
      <w:r w:rsidRPr="00FF3075">
        <w:rPr>
          <w:rFonts w:eastAsia="Times New Roman" w:hAnsi="Times New Roman" w:ascii="Times New Roman"/>
          <w:color w:val="000000"/>
        </w:rPr>
        <w:t xml:space="preserve">predvidivi troškovi vođenja stečajnog postupka za daljnjih šest mjeseci iznose ukupno </w:t>
      </w:r>
      <w:r>
        <w:rPr>
          <w:rFonts w:eastAsia="Times New Roman" w:hAnsi="Times New Roman" w:ascii="Times New Roman"/>
          <w:color w:val="000000"/>
        </w:rPr>
        <w:t xml:space="preserve">12.850,00 </w:t>
      </w:r>
      <w:r w:rsidRPr="00FF3075">
        <w:rPr>
          <w:rFonts w:eastAsia="Times New Roman" w:hAnsi="Times New Roman" w:ascii="Times New Roman"/>
          <w:color w:val="000000"/>
        </w:rPr>
        <w:t>kn po osnovi knjigovodstvenih usluga t</w:t>
      </w:r>
      <w:r>
        <w:rPr>
          <w:rFonts w:eastAsia="Times New Roman" w:hAnsi="Times New Roman" w:ascii="Times New Roman"/>
          <w:color w:val="000000"/>
        </w:rPr>
        <w:t>e ostalih materijalnih troškova. Izvješće stečajnog upravitelja s navedenim prijedlogom odluke za obustavu ovog stečajnog postupka u smislu odredbe čl. 293. SZ-a objavljene na e-Oglasnoj ploči suda 6. rujna 2017.</w:t>
      </w:r>
    </w:p>
    <w:p w:rsidRDefault="00FF3075" w:rsidP="009D5E53" w:rsidR="00FF3075">
      <w:pPr>
        <w:jc w:val="both"/>
        <w:rPr>
          <w:rFonts w:eastAsia="Times New Roman" w:hAnsi="Times New Roman" w:ascii="Times New Roman"/>
          <w:color w:val="000000"/>
        </w:rPr>
      </w:pPr>
    </w:p>
    <w:p w:rsidRDefault="00FF3075" w:rsidP="009D5E53" w:rsidR="00FF3075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lastRenderedPageBreak/>
        <w:tab/>
        <w:t>Na Skupštini  vjerovnika - izvještajnom ročištu održanom 11. rujna 2017., stečajni upravitelj je ustrajao kod navoda iznesenih u pisanom izvješću, odnosno prijedloga za obustavu i zaključenje ovog stečajnog postupka sukladno odredbi čl. 293. SZ-a. Prisutni stečajni vjerovnici Republika Hrvatska, Ministarstvo financija, Porezna uprava i HEP-operator distribucijskog sustava d.o.o. istaknuli su da nemaju primjedbi na izvješće stečajnog upravitelja, te su prihvatili prijedlog stečajnog upravitelja da se stečajni postupak obustavi i zaključi sukladno odredbi čl. 293. SZ-a.</w:t>
      </w:r>
    </w:p>
    <w:p w:rsidRDefault="00EF6ED2" w:rsidP="009D5E53" w:rsidR="00EF6ED2">
      <w:pPr>
        <w:jc w:val="both"/>
        <w:rPr>
          <w:rFonts w:eastAsia="Times New Roman" w:hAnsi="Times New Roman" w:ascii="Times New Roman"/>
          <w:color w:val="000000"/>
        </w:rPr>
      </w:pPr>
    </w:p>
    <w:p w:rsidRDefault="00A854C7" w:rsidP="009D5E53" w:rsidR="00A854C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Nakon pribavljenih mišljenja vjerovnika i stečajnog upravitelja, te budući se nitko od pozvanih vjerovnika nije protivio obustavi i zaključenju stečajnog postupka, a daljnjom bi se provedbom stečaja stvarali samo novi troškovi, sud je donio rješenje o obustavi  i zaključenju stečajnog postupka zbog nedostatnosti stečajne mase za namirenje stečajnog postupka, pa je temeljem odredbe </w:t>
      </w:r>
      <w:r w:rsidRPr="00A854C7">
        <w:rPr>
          <w:rFonts w:eastAsia="Times New Roman" w:hAnsi="Times New Roman" w:ascii="Times New Roman"/>
          <w:color w:val="000000"/>
        </w:rPr>
        <w:t xml:space="preserve">čl. 293. st. 1. </w:t>
      </w:r>
      <w:r>
        <w:rPr>
          <w:rFonts w:eastAsia="Times New Roman" w:hAnsi="Times New Roman" w:ascii="Times New Roman"/>
          <w:color w:val="000000"/>
        </w:rPr>
        <w:t xml:space="preserve">i 4. </w:t>
      </w:r>
      <w:r w:rsidRPr="00A854C7">
        <w:rPr>
          <w:rFonts w:eastAsia="Times New Roman" w:hAnsi="Times New Roman" w:ascii="Times New Roman"/>
          <w:color w:val="000000"/>
        </w:rPr>
        <w:t>SZ-a</w:t>
      </w:r>
      <w:r>
        <w:rPr>
          <w:rFonts w:eastAsia="Times New Roman" w:hAnsi="Times New Roman" w:ascii="Times New Roman"/>
          <w:color w:val="000000"/>
        </w:rPr>
        <w:t xml:space="preserve">, riješeno kao u izreci ovog rješenja.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9E1FF0">
        <w:rPr>
          <w:rFonts w:eastAsia="Times New Roman" w:hAnsi="Times New Roman" w:ascii="Times New Roman"/>
          <w:color w:val="000000"/>
        </w:rPr>
        <w:t>1</w:t>
      </w:r>
      <w:r w:rsidR="00A854C7">
        <w:rPr>
          <w:rFonts w:eastAsia="Times New Roman" w:hAnsi="Times New Roman" w:ascii="Times New Roman"/>
          <w:color w:val="000000"/>
        </w:rPr>
        <w:t>7</w:t>
      </w:r>
      <w:r w:rsidRPr="008C0B3D">
        <w:rPr>
          <w:rFonts w:eastAsia="Times New Roman" w:hAnsi="Times New Roman" w:ascii="Times New Roman"/>
          <w:color w:val="000000"/>
        </w:rPr>
        <w:t xml:space="preserve">. </w:t>
      </w:r>
      <w:r w:rsidR="009E1FF0">
        <w:rPr>
          <w:rFonts w:eastAsia="Times New Roman" w:hAnsi="Times New Roman" w:ascii="Times New Roman"/>
          <w:color w:val="000000"/>
        </w:rPr>
        <w:t>svibnja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A854C7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6C1A71">
        <w:rPr>
          <w:rFonts w:eastAsia="Times New Roman" w:hAnsi="Times New Roman" w:ascii="Times New Roman"/>
          <w:color w:val="000000"/>
        </w:rPr>
        <w:t>, v.r.</w:t>
      </w:r>
    </w:p>
    <w:p w:rsidRDefault="006C1A71" w:rsidP="008C0B3D" w:rsidR="006C1A71">
      <w:pPr>
        <w:jc w:val="right"/>
        <w:rPr>
          <w:rFonts w:eastAsia="Times New Roman" w:hAnsi="Times New Roman" w:ascii="Times New Roman"/>
          <w:color w:val="000000"/>
        </w:rPr>
      </w:pPr>
    </w:p>
    <w:p w:rsidRDefault="006C1A71" w:rsidP="008C0B3D" w:rsidR="006C1A71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6C1A71" w:rsidP="008C0B3D" w:rsidR="006C1A71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6C1A71" w:rsidP="008C0B3D" w:rsidR="006C1A71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E1441C" w:rsidP="008C0B3D" w:rsidR="00E1441C">
      <w:pPr>
        <w:jc w:val="right"/>
        <w:rPr>
          <w:rFonts w:eastAsia="Times New Roman" w:hAnsi="Times New Roman" w:ascii="Times New Roman"/>
          <w:color w:val="000000"/>
        </w:rPr>
      </w:pPr>
    </w:p>
    <w:p w:rsidRDefault="003B11E8" w:rsidP="008C0B3D" w:rsidR="003B11E8">
      <w:pPr>
        <w:jc w:val="right"/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</w:t>
      </w:r>
      <w:r w:rsidR="00D87D61">
        <w:rPr>
          <w:rFonts w:eastAsia="Times New Roman" w:hAnsi="Times New Roman" w:ascii="Times New Roman"/>
          <w:color w:val="000000"/>
        </w:rPr>
        <w:t xml:space="preserve"> stečajni</w:t>
      </w:r>
      <w:r w:rsidRPr="004B0F2F">
        <w:rPr>
          <w:rFonts w:eastAsia="Times New Roman" w:hAnsi="Times New Roman" w:ascii="Times New Roman"/>
          <w:color w:val="000000"/>
        </w:rPr>
        <w:t xml:space="preserve"> vjerovnik</w:t>
      </w:r>
      <w:r w:rsidR="00D87D61">
        <w:rPr>
          <w:rFonts w:eastAsia="Times New Roman" w:hAnsi="Times New Roman" w:ascii="Times New Roman"/>
          <w:color w:val="000000"/>
        </w:rPr>
        <w:t>.</w:t>
      </w:r>
      <w:r w:rsidRPr="004B0F2F">
        <w:rPr>
          <w:rFonts w:eastAsia="Times New Roman" w:hAnsi="Times New Roman" w:ascii="Times New Roman"/>
          <w:color w:val="000000"/>
        </w:rPr>
        <w:t xml:space="preserve"> Rok za žalbu iznosi osam dana</w:t>
      </w:r>
      <w:r w:rsidR="00DA3A28">
        <w:rPr>
          <w:rFonts w:eastAsia="Times New Roman" w:hAnsi="Times New Roman" w:ascii="Times New Roman"/>
          <w:color w:val="000000"/>
        </w:rPr>
        <w:t xml:space="preserve">, a počinje teći istekom osmog dana od dana objave ovog rješenja na mrežnoj stranici e-Oglasna ploča suda. </w:t>
      </w:r>
      <w:r w:rsidRPr="004B0F2F">
        <w:rPr>
          <w:rFonts w:eastAsia="Times New Roman" w:hAnsi="Times New Roman" w:ascii="Times New Roman"/>
          <w:color w:val="000000"/>
        </w:rPr>
        <w:t>Žalba se podnosi ovom sudu u</w:t>
      </w:r>
      <w:r w:rsidR="00DA3A28">
        <w:rPr>
          <w:rFonts w:eastAsia="Times New Roman" w:hAnsi="Times New Roman" w:ascii="Times New Roman"/>
          <w:color w:val="000000"/>
        </w:rPr>
        <w:t xml:space="preserve"> tri</w:t>
      </w:r>
      <w:r w:rsidRPr="004B0F2F">
        <w:rPr>
          <w:rFonts w:eastAsia="Times New Roman" w:hAnsi="Times New Roman" w:ascii="Times New Roman"/>
          <w:color w:val="000000"/>
        </w:rPr>
        <w:t xml:space="preserve">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6C1A71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213B8D" w:rsidR="0080080E" w:rsidRPr="008008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A71">
          <w:rPr>
            <w:noProof/>
          </w:rPr>
          <w:t>2</w:t>
        </w:r>
        <w:r>
          <w:fldChar w:fldCharType="end"/>
        </w:r>
      </w:p>
    </w:sdtContent>
  </w:sdt>
  <w:p w:rsidRDefault="009E1FF0" w:rsidP="009E1FF0" w:rsidR="00F46A98" w:rsidRPr="00F46A98">
    <w:pPr>
      <w:pStyle w:val="Zaglavlje"/>
      <w:jc w:val="right"/>
      <w:rPr>
        <w:rFonts w:hAnsi="Times New Roman" w:ascii="Times New Roman"/>
      </w:rPr>
    </w:pPr>
    <w:r w:rsidRPr="009E1FF0">
      <w:rPr>
        <w:rFonts w:hAnsi="Times New Roman" w:ascii="Times New Roman"/>
      </w:rPr>
      <w:t>3 St-2272/16-40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54037"/>
    <w:multiLevelType w:val="hybridMultilevel"/>
    <w:tmpl w:val="263402F4"/>
    <w:lvl w:tplc="A16E6D1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59B5EB2"/>
    <w:multiLevelType w:val="hybridMultilevel"/>
    <w:tmpl w:val="244A8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D565C7"/>
    <w:multiLevelType w:val="hybridMultilevel"/>
    <w:tmpl w:val="DEA859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1C3F7D"/>
    <w:multiLevelType w:val="hybridMultilevel"/>
    <w:tmpl w:val="40F45E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B50B01"/>
    <w:multiLevelType w:val="hybridMultilevel"/>
    <w:tmpl w:val="77D83142"/>
    <w:lvl w:tplc="041A000F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3A5421"/>
    <w:multiLevelType w:val="hybridMultilevel"/>
    <w:tmpl w:val="342ABA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494ED9"/>
    <w:multiLevelType w:val="hybridMultilevel"/>
    <w:tmpl w:val="C846B4CE"/>
    <w:lvl w:tplc="52E2151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EEC7493"/>
    <w:multiLevelType w:val="hybridMultilevel"/>
    <w:tmpl w:val="89C033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0F6B90"/>
    <w:rsid w:val="001130DB"/>
    <w:rsid w:val="0016731D"/>
    <w:rsid w:val="00182C15"/>
    <w:rsid w:val="0018650D"/>
    <w:rsid w:val="001A7223"/>
    <w:rsid w:val="00213B8D"/>
    <w:rsid w:val="002475FB"/>
    <w:rsid w:val="00253CD2"/>
    <w:rsid w:val="00293469"/>
    <w:rsid w:val="00295084"/>
    <w:rsid w:val="002D2E7A"/>
    <w:rsid w:val="002E28DC"/>
    <w:rsid w:val="002E65D0"/>
    <w:rsid w:val="003665BC"/>
    <w:rsid w:val="00367E3E"/>
    <w:rsid w:val="00373DDD"/>
    <w:rsid w:val="00383E16"/>
    <w:rsid w:val="0038400D"/>
    <w:rsid w:val="003A4E35"/>
    <w:rsid w:val="003B11E8"/>
    <w:rsid w:val="003C230E"/>
    <w:rsid w:val="00407649"/>
    <w:rsid w:val="0042263F"/>
    <w:rsid w:val="004318FA"/>
    <w:rsid w:val="004626DA"/>
    <w:rsid w:val="00476A7E"/>
    <w:rsid w:val="00486CC4"/>
    <w:rsid w:val="004B0F2F"/>
    <w:rsid w:val="004F0AE3"/>
    <w:rsid w:val="00522798"/>
    <w:rsid w:val="00524612"/>
    <w:rsid w:val="005365A7"/>
    <w:rsid w:val="00564095"/>
    <w:rsid w:val="005807E9"/>
    <w:rsid w:val="005953B3"/>
    <w:rsid w:val="005B130B"/>
    <w:rsid w:val="005B5104"/>
    <w:rsid w:val="005C1F97"/>
    <w:rsid w:val="005D01E2"/>
    <w:rsid w:val="005D4C2B"/>
    <w:rsid w:val="00620951"/>
    <w:rsid w:val="006656AF"/>
    <w:rsid w:val="006C1A71"/>
    <w:rsid w:val="00707B3E"/>
    <w:rsid w:val="00761CF8"/>
    <w:rsid w:val="007A0BF3"/>
    <w:rsid w:val="0080080E"/>
    <w:rsid w:val="00815583"/>
    <w:rsid w:val="00822B39"/>
    <w:rsid w:val="008251C2"/>
    <w:rsid w:val="00837827"/>
    <w:rsid w:val="00854B7C"/>
    <w:rsid w:val="008C0B3D"/>
    <w:rsid w:val="008F0A34"/>
    <w:rsid w:val="008F3211"/>
    <w:rsid w:val="009357D7"/>
    <w:rsid w:val="00983D4D"/>
    <w:rsid w:val="0099530E"/>
    <w:rsid w:val="009A44EC"/>
    <w:rsid w:val="009A5E2A"/>
    <w:rsid w:val="009D5E53"/>
    <w:rsid w:val="009E1FF0"/>
    <w:rsid w:val="009F1DD4"/>
    <w:rsid w:val="00A00A0C"/>
    <w:rsid w:val="00A14CF8"/>
    <w:rsid w:val="00A854C7"/>
    <w:rsid w:val="00A968AF"/>
    <w:rsid w:val="00AB06C1"/>
    <w:rsid w:val="00AF3A6E"/>
    <w:rsid w:val="00BA7A3D"/>
    <w:rsid w:val="00BC7E75"/>
    <w:rsid w:val="00BE15FC"/>
    <w:rsid w:val="00C474D2"/>
    <w:rsid w:val="00C53C04"/>
    <w:rsid w:val="00C835FD"/>
    <w:rsid w:val="00CA57D4"/>
    <w:rsid w:val="00D168D0"/>
    <w:rsid w:val="00D178D3"/>
    <w:rsid w:val="00D341BB"/>
    <w:rsid w:val="00D75502"/>
    <w:rsid w:val="00D87D61"/>
    <w:rsid w:val="00D969D5"/>
    <w:rsid w:val="00DA3A28"/>
    <w:rsid w:val="00DC0091"/>
    <w:rsid w:val="00DF24F2"/>
    <w:rsid w:val="00E1441C"/>
    <w:rsid w:val="00E211E8"/>
    <w:rsid w:val="00E6705C"/>
    <w:rsid w:val="00E945DA"/>
    <w:rsid w:val="00EB7C0D"/>
    <w:rsid w:val="00ED19F0"/>
    <w:rsid w:val="00EE14B3"/>
    <w:rsid w:val="00EF6ED2"/>
    <w:rsid w:val="00F04BE1"/>
    <w:rsid w:val="00F21CA3"/>
    <w:rsid w:val="00F32001"/>
    <w:rsid w:val="00F46A98"/>
    <w:rsid w:val="00F46E55"/>
    <w:rsid w:val="00F67A7E"/>
    <w:rsid w:val="00F73775"/>
    <w:rsid w:val="00F74180"/>
    <w:rsid w:val="00FC1D20"/>
    <w:rsid w:val="00FE4089"/>
    <w:rsid w:val="00F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C1A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A71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C1A71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C1A71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C1A71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C1A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A71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C1A71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C1A71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C1A71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2272</izvorni_sadrzaj>
    <derivirana_varijabla naziv="DomainObject.Predmet.Broj_1">2272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St-2272/2016</izvorni_sadrzaj>
    <derivirana_varijabla naziv="DomainObject.Predmet.OznakaBroj_1">St-2272/2016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URBANI OGLASI d.o.o. zastupanog po punomoćniku Saša Jokić</izvorni_sadrzaj>
    <derivirana_varijabla naziv="DomainObject.Predmet.ProtustrankaFormated_1">  URBANI OGLASI d.o.o. zastupanog po punomoćniku Saša Jokić</derivirana_varijabla>
  </DomainObject.Predmet.ProtustrankaFormated>
  <DomainObject.Predmet.ProtustrankaFormatedOIB>
    <izvorni_sadrzaj>  URBANI OGLASI d.o.o., OIB 21113103412 zastupanog po punomoćniku Saša Jokić</izvorni_sadrzaj>
    <derivirana_varijabla naziv="DomainObject.Predmet.ProtustrankaFormatedOIB_1">  URBANI OGLASI d.o.o., OIB 21113103412 zastupanog po punomoćniku Saša Jokić</derivirana_varijabla>
  </DomainObject.Predmet.ProtustrankaFormatedOIB>
  <DomainObject.Predmet.ProtustrankaFormatedWithAdress>
    <izvorni_sadrzaj> URBANI OGLASI d.o.o., Kralja Držislava 3, 10000 Zagreb zastupanog po punomoćniku Saša Jokić</izvorni_sadrzaj>
    <derivirana_varijabla naziv="DomainObject.Predmet.ProtustrankaFormatedWithAdress_1"> URBANI OGLASI d.o.o., Kralja Držislava 3, 10000 Zagreb zastupanog po punomoćniku Saša Jokić</derivirana_varijabla>
  </DomainObject.Predmet.ProtustrankaFormatedWithAdress>
  <DomainObject.Predmet.ProtustrankaFormatedWithAdressOIB>
    <izvorni_sadrzaj> URBANI OGLASI d.o.o., OIB 21113103412, Kralja Držislava 3, 10000 Zagreb zastupanog po punomoćniku Saša Jokić</izvorni_sadrzaj>
    <derivirana_varijabla naziv="DomainObject.Predmet.ProtustrankaFormatedWithAdressOIB_1"> URBANI OGLASI d.o.o., OIB 21113103412, Kralja Držislava 3, 10000 Zagreb zastupanog po punomoćniku Saša Jokić</derivirana_varijabla>
  </DomainObject.Predmet.ProtustrankaFormatedWithAdressOIB>
  <DomainObject.Predmet.ProtustrankaWithAdress>
    <izvorni_sadrzaj>URBANI OGLASI d.o.o. Kralja Držislava 3, 10000 Zagreb</izvorni_sadrzaj>
    <derivirana_varijabla naziv="DomainObject.Predmet.ProtustrankaWithAdress_1">URBANI OGLASI d.o.o. Kralja Držislava 3, 10000 Zagreb</derivirana_varijabla>
  </DomainObject.Predmet.ProtustrankaWithAdress>
  <DomainObject.Predmet.ProtustrankaWithAdressOIB>
    <izvorni_sadrzaj>URBANI OGLASI d.o.o., OIB 21113103412, Kralja Držislava 3, 10000 Zagreb</izvorni_sadrzaj>
    <derivirana_varijabla naziv="DomainObject.Predmet.ProtustrankaWithAdressOIB_1">URBANI OGLASI d.o.o., OIB 21113103412, Kralja Držislava 3, 10000 Zagreb</derivirana_varijabla>
  </DomainObject.Predmet.ProtustrankaWithAdressOIB>
  <DomainObject.Predmet.ProtustrankaNazivFormated>
    <izvorni_sadrzaj>URBANI OGLASI d.o.o.</izvorni_sadrzaj>
    <derivirana_varijabla naziv="DomainObject.Predmet.ProtustrankaNazivFormated_1">URBANI OGLASI d.o.o.</derivirana_varijabla>
  </DomainObject.Predmet.ProtustrankaNazivFormated>
  <DomainObject.Predmet.ProtustrankaNazivFormatedOIB>
    <izvorni_sadrzaj>URBANI OGLASI d.o.o., OIB 21113103412</izvorni_sadrzaj>
    <derivirana_varijabla naziv="DomainObject.Predmet.ProtustrankaNazivFormatedOIB_1">URBANI OGLASI d.o.o., OIB 21113103412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URBANI OGLASI d.o.o. zastupanog po punomoćniku Saša Jokić</item>
    </izvorni_sadrzaj>
    <derivirana_varijabla naziv="DomainObject.Predmet.ProtuStrankaListFormated_1">
      <item>URBANI OGLASI d.o.o. zastupanog po punomoćniku Saša Jokić</item>
    </derivirana_varijabla>
  </DomainObject.Predmet.ProtuStrankaListFormated>
  <DomainObject.Predmet.ProtuStrankaListFormatedOIB>
    <izvorni_sadrzaj>
      <item>URBANI OGLASI d.o.o., OIB 21113103412 zastupanog po punomoćniku Saša Jokić</item>
    </izvorni_sadrzaj>
    <derivirana_varijabla naziv="DomainObject.Predmet.ProtuStrankaListFormatedOIB_1">
      <item>URBANI OGLASI d.o.o., OIB 21113103412 zastupanog po punomoćniku Saša Jokić</item>
    </derivirana_varijabla>
  </DomainObject.Predmet.ProtuStrankaListFormatedOIB>
  <DomainObject.Predmet.ProtuStrankaListFormatedWithAdress>
    <izvorni_sadrzaj>
      <item>URBANI OGLASI d.o.o., Kralja Držislava 3, 10000 Zagreb zastupanog po punomoćniku Saša Jokić</item>
    </izvorni_sadrzaj>
    <derivirana_varijabla naziv="DomainObject.Predmet.ProtuStrankaListFormatedWithAdress_1">
      <item>URBANI OGLASI d.o.o., Kralja Držislava 3, 10000 Zagreb zastupanog po punomoćniku Saša Jokić</item>
    </derivirana_varijabla>
  </DomainObject.Predmet.ProtuStrankaListFormatedWithAdress>
  <DomainObject.Predmet.ProtuStrankaListFormatedWithAdressOIB>
    <izvorni_sadrzaj>
      <item>URBANI OGLASI d.o.o., OIB 21113103412, Kralja Držislava 3, 10000 Zagreb zastupanog po punomoćniku Saša Jokić</item>
    </izvorni_sadrzaj>
    <derivirana_varijabla naziv="DomainObject.Predmet.ProtuStrankaListFormatedWithAdressOIB_1">
      <item>URBANI OGLASI d.o.o., OIB 21113103412, Kralja Držislava 3, 10000 Zagreb zastupanog po punomoćniku Saša Jokić</item>
    </derivirana_varijabla>
  </DomainObject.Predmet.ProtuStrankaListFormatedWithAdressOIB>
  <DomainObject.Predmet.ProtuStrankaListNazivFormated>
    <izvorni_sadrzaj>
      <item>URBANI OGLASI d.o.o.</item>
    </izvorni_sadrzaj>
    <derivirana_varijabla naziv="DomainObject.Predmet.ProtuStrankaListNazivFormated_1">
      <item>URBANI OGLASI d.o.o.</item>
    </derivirana_varijabla>
  </DomainObject.Predmet.ProtuStrankaListNazivFormated>
  <DomainObject.Predmet.ProtuStrankaListNazivFormatedOIB>
    <izvorni_sadrzaj>
      <item>URBANI OGLASI d.o.o., OIB 21113103412</item>
    </izvorni_sadrzaj>
    <derivirana_varijabla naziv="DomainObject.Predmet.ProtuStrankaListNazivFormatedOIB_1">
      <item>URBANI OGLASI d.o.o., OIB 21113103412</item>
    </derivirana_varijabla>
  </DomainObject.Predmet.ProtuStrankaListNazivFormatedOIB>
  <DomainObject.Predmet.OstaliListFormated>
    <izvorni_sadrzaj>
      <item>Saša Jokić punomoćnik sudionika u postupku URBANI OGLASI d.o.o.</item>
    </izvorni_sadrzaj>
    <derivirana_varijabla naziv="DomainObject.Predmet.OstaliListFormated_1">
      <item>Saša Jokić punomoćnik sudionika u postupku URBANI OGLASI d.o.o.</item>
    </derivirana_varijabla>
  </DomainObject.Predmet.OstaliListFormated>
  <DomainObject.Predmet.OstaliListFormatedOIB>
    <izvorni_sadrzaj>
      <item>Saša Jokić, OIB 50913304002 punomoćnik sudionika u postupku URBANI OGLASI d.o.o.</item>
    </izvorni_sadrzaj>
    <derivirana_varijabla naziv="DomainObject.Predmet.OstaliListFormatedOIB_1">
      <item>Saša Jokić, OIB 50913304002 punomoćnik sudionika u postupku URBANI OGLASI d.o.o.</item>
    </derivirana_varijabla>
  </DomainObject.Predmet.OstaliListFormatedOIB>
  <DomainObject.Predmet.OstaliListFormatedWithAdress>
    <izvorni_sadrzaj>
      <item>Saša Jokić, Lastovska Ulica 24, 10000 Zagreb punomoćnik sudionika u postupku URBANI OGLASI d.o.o.</item>
    </izvorni_sadrzaj>
    <derivirana_varijabla naziv="DomainObject.Predmet.OstaliListFormatedWithAdress_1">
      <item>Saša Jokić, Lastovska Ulica 24, 10000 Zagreb punomoćnik sudionika u postupku URBANI OGLASI d.o.o.</item>
    </derivirana_varijabla>
  </DomainObject.Predmet.OstaliListFormatedWithAdress>
  <DomainObject.Predmet.OstaliListFormatedWithAdressOIB>
    <izvorni_sadrzaj>
      <item>Saša Jokić, OIB 50913304002, Lastovska Ulica 24, 10000 Zagreb punomoćnik sudionika u postupku URBANI OGLASI d.o.o.</item>
    </izvorni_sadrzaj>
    <derivirana_varijabla naziv="DomainObject.Predmet.OstaliListFormatedWithAdressOIB_1">
      <item>Saša Jokić, OIB 50913304002, Lastovska Ulica 24, 10000 Zagreb punomoćnik sudionika u postupku URBANI OGLASI d.o.o.</item>
    </derivirana_varijabla>
  </DomainObject.Predmet.OstaliListFormatedWithAdressOIB>
  <DomainObject.Predmet.OstaliListNazivFormated>
    <izvorni_sadrzaj>
      <item>Saša Jokić</item>
    </izvorni_sadrzaj>
    <derivirana_varijabla naziv="DomainObject.Predmet.OstaliListNazivFormated_1">
      <item>Saša Jokić</item>
    </derivirana_varijabla>
  </DomainObject.Predmet.OstaliListNazivFormated>
  <DomainObject.Predmet.OstaliListNazivFormatedOIB>
    <izvorni_sadrzaj>
      <item>Saša Jokić, OIB 50913304002</item>
    </izvorni_sadrzaj>
    <derivirana_varijabla naziv="DomainObject.Predmet.OstaliListNazivFormatedOIB_1">
      <item>Saša Jokić, OIB 50913304002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URBANI OGLASI d.o.o.</izvorni_sadrzaj>
    <derivirana_varijabla naziv="DomainObject.Predmet.ProtustrankaIDrugi_1">URBANI OGLASI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URBANI OGLASI d.o.o., OIB 21113103412, Kralja Držislava 3, 10000 Zagreb</izvorni_sadrzaj>
    <derivirana_varijabla naziv="DomainObject.Predmet.ProtustrankaIDrugiAdressOIB_1">URBANI OGLASI d.o.o., OIB 21113103412, Kralja Držislava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URBANI OGLASI d.o.o.</item>
      <item>Saša Jokić</item>
    </izvorni_sadrzaj>
    <derivirana_varijabla naziv="DomainObject.Predmet.SudioniciListNaziv_1">
      <item>FINA Regionalni centar Zagreb</item>
      <item>URBANI OGLASI d.o.o.</item>
      <item>Saša Jokić</item>
    </derivirana_varijabla>
  </DomainObject.Predmet.SudioniciListNaziv>
  <DomainObject.Predmet.SudioniciListAdressOIB>
    <izvorni_sadrzaj>
      <item>FINA Regionalni centar Zagreb, OIB 85821130368, Trg svibanjskih žrtava 1995. 1,10000 Zagreb</item>
      <item>URBANI OGLASI d.o.o., OIB 21113103412, Kralja Držislava 3,10000 Zagreb</item>
      <item>Saša Jokić, OIB 50913304002, Lastovska Ulica 24,10000 Zagreb</item>
    </izvorni_sadrzaj>
    <derivirana_varijabla naziv="DomainObject.Predmet.SudioniciListAdressOIB_1">
      <item>FINA Regionalni centar Zagreb, OIB 85821130368, Trg svibanjskih žrtava 1995. 1,10000 Zagreb</item>
      <item>URBANI OGLASI d.o.o., OIB 21113103412, Kralja Držislava 3,10000 Zagreb</item>
      <item>Saša Jokić, OIB 50913304002, Lastovska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21113103412</item>
      <item>, OIB 50913304002</item>
    </izvorni_sadrzaj>
    <derivirana_varijabla naziv="DomainObject.Predmet.SudioniciListNazivOIB_1">
      <item>, OIB 85821130368</item>
      <item>, OIB 21113103412</item>
      <item>, OIB 50913304002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9E3286-0920-434F-B216-6A0E1DB713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3098</properties:Characters>
  <properties:Lines>75</properties:Lines>
  <properties:Paragraphs>25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2018-05-17T12:06:00Z</dcterms:created>
  <dc:creator>point</dc:creator>
  <cp:lastModifiedBy>Žana Livaja</cp:lastModifiedBy>
  <cp:lastPrinted>2017-03-08T13:10:00Z</cp:lastPrinted>
  <dcterms:modified xmlns:xsi="http://www.w3.org/2001/XMLSchema-instance" xsi:type="dcterms:W3CDTF">2018-05-17T12:29:00Z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obustava-- zbog nedostatnosti stečajne mase  - St-2272-16.docx)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