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297c6" w14:paraId="87297c6" w:rsidRDefault="00BF30CF" w:rsidP="00BF30CF" w:rsidR="00BF30CF">
      <w:pPr>
        <w:jc w:val="right"/>
        <w15:collapsed w:val="false"/>
      </w:pPr>
      <w:r>
        <w:t>Broj: 6 St-</w:t>
      </w:r>
      <w:r w:rsidR="001C58E8">
        <w:t>401</w:t>
      </w:r>
      <w:r w:rsidR="00326BD9">
        <w:t>/17-</w:t>
      </w:r>
      <w:r w:rsidR="001C58E8">
        <w:t>13</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 xml:space="preserve">U </w:t>
      </w:r>
      <w:r w:rsidR="001C58E8">
        <w:t xml:space="preserve"> </w:t>
      </w:r>
      <w:r>
        <w:t>I</w:t>
      </w:r>
      <w:r w:rsidR="001C58E8">
        <w:t xml:space="preserve"> </w:t>
      </w:r>
      <w:r>
        <w:t>M</w:t>
      </w:r>
      <w:r w:rsidR="001C58E8">
        <w:t xml:space="preserve"> </w:t>
      </w:r>
      <w:r>
        <w:t>E</w:t>
      </w:r>
      <w:r w:rsidR="001C58E8">
        <w:t xml:space="preserve"> </w:t>
      </w:r>
      <w:r>
        <w:t xml:space="preserve"> R</w:t>
      </w:r>
      <w:r w:rsidR="001C58E8">
        <w:t xml:space="preserve"> </w:t>
      </w:r>
      <w:r>
        <w:t>E</w:t>
      </w:r>
      <w:r w:rsidR="001C58E8">
        <w:t xml:space="preserve"> </w:t>
      </w:r>
      <w:r>
        <w:t>P</w:t>
      </w:r>
      <w:r w:rsidR="001C58E8">
        <w:t xml:space="preserve"> </w:t>
      </w:r>
      <w:r>
        <w:t>U</w:t>
      </w:r>
      <w:r w:rsidR="001C58E8">
        <w:t xml:space="preserve">  </w:t>
      </w:r>
      <w:r>
        <w:t>B</w:t>
      </w:r>
      <w:r w:rsidR="001C58E8">
        <w:t xml:space="preserve"> </w:t>
      </w:r>
      <w:r>
        <w:t>L</w:t>
      </w:r>
      <w:r w:rsidR="001C58E8">
        <w:t xml:space="preserve"> </w:t>
      </w:r>
      <w:r>
        <w:t>I</w:t>
      </w:r>
      <w:r w:rsidR="001C58E8">
        <w:t xml:space="preserve"> </w:t>
      </w:r>
      <w:r>
        <w:t>K</w:t>
      </w:r>
      <w:r w:rsidR="001C58E8">
        <w:t xml:space="preserve"> </w:t>
      </w:r>
      <w:r>
        <w:t>E</w:t>
      </w:r>
      <w:r w:rsidR="001C58E8">
        <w:t xml:space="preserve"> </w:t>
      </w:r>
      <w:r>
        <w:t xml:space="preserve"> H</w:t>
      </w:r>
      <w:r w:rsidR="001C58E8">
        <w:t xml:space="preserve"> </w:t>
      </w:r>
      <w:r>
        <w:t>R</w:t>
      </w:r>
      <w:r w:rsidR="001C58E8">
        <w:t xml:space="preserve"> </w:t>
      </w:r>
      <w:r>
        <w:t>V</w:t>
      </w:r>
      <w:r w:rsidR="001C58E8">
        <w:t xml:space="preserve"> </w:t>
      </w:r>
      <w:r>
        <w:t>A</w:t>
      </w:r>
      <w:r w:rsidR="001C58E8">
        <w:t xml:space="preserve"> </w:t>
      </w:r>
      <w:r>
        <w:t>T</w:t>
      </w:r>
      <w:r w:rsidR="001C58E8">
        <w:t xml:space="preserve"> </w:t>
      </w:r>
      <w:r>
        <w:t>S</w:t>
      </w:r>
      <w:r w:rsidR="001C58E8">
        <w:t xml:space="preserve"> </w:t>
      </w:r>
      <w:r>
        <w:t>K</w:t>
      </w:r>
      <w:r w:rsidR="001C58E8">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1C58E8">
        <w:t xml:space="preserve">Financijska agencija Regionalni centar Osijek, za otvaranje stečajnog  postupka nad dužnikom </w:t>
      </w:r>
      <w:r w:rsidR="001C58E8" w:rsidRPr="001C58E8">
        <w:rPr>
          <w:b/>
        </w:rPr>
        <w:t xml:space="preserve">MARIJA MIŠINEC j.d.o.o. za frizerske usluge, Osijek, </w:t>
      </w:r>
      <w:proofErr w:type="spellStart"/>
      <w:r w:rsidR="001C58E8" w:rsidRPr="001C58E8">
        <w:rPr>
          <w:b/>
        </w:rPr>
        <w:t>Bosutska</w:t>
      </w:r>
      <w:proofErr w:type="spellEnd"/>
      <w:r w:rsidR="001C58E8" w:rsidRPr="001C58E8">
        <w:rPr>
          <w:b/>
        </w:rPr>
        <w:t xml:space="preserve"> 6, OIB 31990769159, MBS 030137785</w:t>
      </w:r>
      <w:r w:rsidRPr="00D14516">
        <w:t>,</w:t>
      </w:r>
      <w:r>
        <w:t xml:space="preserve"> dana </w:t>
      </w:r>
      <w:r w:rsidR="001C58E8">
        <w:t>7. studenog</w:t>
      </w:r>
      <w:r w:rsidR="00D9130C">
        <w:t xml:space="preserve"> 2017</w:t>
      </w:r>
      <w:r w:rsidR="002859AC">
        <w:t>.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1C58E8" w:rsidRPr="001C58E8">
        <w:rPr>
          <w:b/>
        </w:rPr>
        <w:t xml:space="preserve">MARIJA MIŠINEC j.d.o.o. za frizerske usluge, Osijek, </w:t>
      </w:r>
      <w:proofErr w:type="spellStart"/>
      <w:r w:rsidR="001C58E8" w:rsidRPr="001C58E8">
        <w:rPr>
          <w:b/>
        </w:rPr>
        <w:t>Bosutska</w:t>
      </w:r>
      <w:proofErr w:type="spellEnd"/>
      <w:r w:rsidR="001C58E8" w:rsidRPr="001C58E8">
        <w:rPr>
          <w:b/>
        </w:rPr>
        <w:t xml:space="preserve"> 6, OIB 31990769159, MBS 030137785</w:t>
      </w:r>
      <w:r w:rsidR="00D9130C">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D56EA7" w:rsidRPr="00D56EA7">
        <w:rPr>
          <w:b/>
        </w:rPr>
        <w:t xml:space="preserve"> </w:t>
      </w:r>
      <w:r w:rsidR="00D56EA7" w:rsidRPr="00C74ECE">
        <w:rPr>
          <w:b/>
        </w:rPr>
        <w:t xml:space="preserve">Filip Babić dipl. oec. iz Osijeka, Trg bana Jelačića 18,  </w:t>
      </w:r>
      <w:r w:rsidR="00D56EA7" w:rsidRPr="00C74ECE">
        <w:rPr>
          <w:b/>
          <w:bCs/>
        </w:rPr>
        <w:t>OIB 57093086582</w:t>
      </w:r>
      <w:r w:rsidR="00D56EA7">
        <w:rPr>
          <w:b/>
          <w:bCs/>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1C58E8" w:rsidRPr="001C58E8">
        <w:rPr>
          <w:b/>
        </w:rPr>
        <w:t xml:space="preserve">MARIJA MIŠINEC j.d.o.o. za frizerske usluge, Osijek, </w:t>
      </w:r>
      <w:proofErr w:type="spellStart"/>
      <w:r w:rsidR="001C58E8" w:rsidRPr="001C58E8">
        <w:rPr>
          <w:b/>
        </w:rPr>
        <w:t>Bosutska</w:t>
      </w:r>
      <w:proofErr w:type="spellEnd"/>
      <w:r w:rsidR="001C58E8" w:rsidRPr="001C58E8">
        <w:rPr>
          <w:b/>
        </w:rPr>
        <w:t xml:space="preserve"> 6, OIB 31990769159, MBS 030137785</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326BD9" w:rsidP="00326BD9" w:rsidR="00326BD9"/>
    <w:p w:rsidRDefault="00326BD9" w:rsidP="00E71EB5" w:rsidR="00326BD9">
      <w:pPr>
        <w:numPr>
          <w:ilvl w:val="0"/>
          <w:numId w:val="11"/>
        </w:numPr>
        <w:jc w:val="both"/>
      </w:pPr>
      <w:r>
        <w:t>Nalaže se FINI da naloži banci prijenos zaplijenjenoga iznosa predujma na račun Trgovačkog suda u Osijeku broj HR31 2390 0011 3000 0020 0 model HR05 272-</w:t>
      </w:r>
      <w:r w:rsidR="001C58E8">
        <w:rPr>
          <w:b/>
        </w:rPr>
        <w:t>401</w:t>
      </w:r>
      <w:r>
        <w:rPr>
          <w:b/>
        </w:rPr>
        <w:t>-17</w:t>
      </w:r>
      <w:r>
        <w:t xml:space="preserve"> i obustavi daljnju pljenidbu do iznosa iz st. 1 čl. 112 Stečajnog zakona (NN 105/15) ako iznos preduj</w:t>
      </w:r>
      <w:r w:rsidR="00E71EB5">
        <w:t>ma nije zaplijenjen u cijelosti.</w:t>
      </w:r>
    </w:p>
    <w:p w:rsidRDefault="00D9130C" w:rsidP="00D9130C" w:rsidR="00D9130C"/>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1C58E8">
        <w:t>401</w:t>
      </w:r>
      <w:r w:rsidR="00326BD9">
        <w:t xml:space="preserve">/17 od </w:t>
      </w:r>
      <w:r w:rsidR="001C58E8">
        <w:t>10. srpnja</w:t>
      </w:r>
      <w:r w:rsidR="00326BD9">
        <w:t xml:space="preserve"> 2017. </w:t>
      </w:r>
      <w:r w:rsidRPr="005E551C">
        <w:t xml:space="preserve">g. pokrenut je postupak nad dužnikom </w:t>
      </w:r>
      <w:r w:rsidR="001C58E8" w:rsidRPr="001C58E8">
        <w:rPr>
          <w:b/>
        </w:rPr>
        <w:t xml:space="preserve">MARIJA MIŠINEC j.d.o.o. za frizerske usluge, Osijek, </w:t>
      </w:r>
      <w:proofErr w:type="spellStart"/>
      <w:r w:rsidR="001C58E8" w:rsidRPr="001C58E8">
        <w:rPr>
          <w:b/>
        </w:rPr>
        <w:t>Bosutska</w:t>
      </w:r>
      <w:proofErr w:type="spellEnd"/>
      <w:r w:rsidR="001C58E8" w:rsidRPr="001C58E8">
        <w:rPr>
          <w:b/>
        </w:rPr>
        <w:t xml:space="preserve"> 6, OIB 31990769159, MBS 030137785</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85332E">
        <w:lastRenderedPageBreak/>
        <w:t>Filip Babić iz Osijek</w:t>
      </w:r>
      <w:r w:rsidR="00D9130C">
        <w:t xml:space="preserve"> </w:t>
      </w:r>
      <w:r w:rsidRPr="005E551C">
        <w:t xml:space="preserve">te je za </w:t>
      </w:r>
      <w:r w:rsidR="001C58E8">
        <w:t>21. rujan 2017.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1C58E8">
        <w:t>21. rujna</w:t>
      </w:r>
      <w:r w:rsidR="00326BD9">
        <w:t xml:space="preserve"> 2017.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1C58E8" w:rsidP="001C58E8" w:rsidR="001C58E8">
      <w:pPr>
        <w:jc w:val="both"/>
      </w:pPr>
    </w:p>
    <w:p w:rsidRDefault="001C58E8" w:rsidP="001C58E8" w:rsidR="001C58E8">
      <w:pPr>
        <w:jc w:val="both"/>
      </w:pPr>
      <w:r>
        <w:t xml:space="preserve">Društvo je osnovano 03.10.2013. godine Izjavom o osnivanju i upisana u registar Trgovačkog suda u Osijeku. </w:t>
      </w:r>
    </w:p>
    <w:p w:rsidRDefault="001C58E8" w:rsidP="001C58E8" w:rsidR="001C58E8">
      <w:pPr>
        <w:jc w:val="both"/>
      </w:pPr>
    </w:p>
    <w:p w:rsidRDefault="001C58E8" w:rsidP="001C58E8" w:rsidR="001C58E8">
      <w:pPr>
        <w:jc w:val="both"/>
      </w:pPr>
      <w:r>
        <w:t xml:space="preserve">Osnivač Društva: Marija </w:t>
      </w:r>
      <w:proofErr w:type="spellStart"/>
      <w:r>
        <w:t>Mišinec</w:t>
      </w:r>
      <w:proofErr w:type="spellEnd"/>
      <w:r>
        <w:t xml:space="preserve">, Brijest, Usorska 42, OIB 14135684324.                             </w:t>
      </w:r>
    </w:p>
    <w:p w:rsidRDefault="001C58E8" w:rsidP="001C58E8" w:rsidR="001C58E8">
      <w:pPr>
        <w:jc w:val="both"/>
      </w:pPr>
      <w:r>
        <w:t xml:space="preserve">Direktor Društva: Marija </w:t>
      </w:r>
      <w:proofErr w:type="spellStart"/>
      <w:r>
        <w:t>Mišinec</w:t>
      </w:r>
      <w:proofErr w:type="spellEnd"/>
      <w:r>
        <w:t>, Brijest, Usorska 42, OIB 14135684324.</w:t>
      </w:r>
    </w:p>
    <w:p w:rsidRDefault="001C58E8" w:rsidP="001C58E8" w:rsidR="001C58E8">
      <w:pPr>
        <w:jc w:val="both"/>
      </w:pPr>
      <w:r>
        <w:t>Temeljni kapital Društva: 10,00 kuna.</w:t>
      </w:r>
    </w:p>
    <w:p w:rsidRDefault="001C58E8" w:rsidP="001C58E8" w:rsidR="001C58E8">
      <w:pPr>
        <w:jc w:val="both"/>
      </w:pPr>
      <w:r>
        <w:t>Djelatnost Društva: Pružanje frizerskih usluga.</w:t>
      </w:r>
    </w:p>
    <w:p w:rsidRDefault="001C58E8" w:rsidP="001C58E8" w:rsidR="001C58E8">
      <w:pPr>
        <w:jc w:val="both"/>
      </w:pPr>
    </w:p>
    <w:p w:rsidRDefault="001C58E8" w:rsidP="001C58E8" w:rsidR="001C58E8">
      <w:pPr>
        <w:jc w:val="both"/>
      </w:pPr>
      <w:r>
        <w:t xml:space="preserve">Društvo nakon osnivanja počelo s radom početkom 2014. godine u iznajmljenom prostoru Osijek, </w:t>
      </w:r>
      <w:proofErr w:type="spellStart"/>
      <w:r>
        <w:t>Bosutska</w:t>
      </w:r>
      <w:proofErr w:type="spellEnd"/>
      <w:r>
        <w:t xml:space="preserve"> 6, baveći se frizerskim uslugama. Poslovne knjige vođene su putem knjigovodstvenog servisa Praksa d.o.o. Osijek, Josipa Radnika 6A, koja je uredno predavala financijska izvješća za 2014. i 2015. godinu Poreznoj upravi i FINA-i u skladu sa zakonom o računovodstvu, da bi krajem 2016. godine knjigovodstveni servis otkazao vođenje knjiga za dužnika o čemu je obavijestila Upravu Dužnika i Poreznu upravu Ispostava Osijek zbog neplaćanja obveza Dužnika prema knjigovodstvenom servisu i nedostavljanja potrebne dokumentacije na vrijeme od strane direktora Društva. Nakon toga Dužnik nije vodio poslovne knjige niti je dostavljao financijska izvješća nadležnim institucijama.</w:t>
      </w:r>
    </w:p>
    <w:p w:rsidRDefault="001C58E8" w:rsidP="001C58E8" w:rsidR="001C58E8">
      <w:pPr>
        <w:jc w:val="both"/>
      </w:pPr>
    </w:p>
    <w:p w:rsidRDefault="001C58E8" w:rsidP="001C58E8" w:rsidR="001C58E8">
      <w:pPr>
        <w:jc w:val="both"/>
      </w:pPr>
      <w:r>
        <w:t>Žiro račun Dužnika je blokiran od strane Porezne uprave Ispostava Osijek od 31.12.2016. godine, čija blokada traje i danas. Stanje blokade na dan 19.07.2017. godine iznosi 87.147,86 kuna ili 247 dana neprekidno.</w:t>
      </w:r>
    </w:p>
    <w:p w:rsidRDefault="001C58E8" w:rsidP="001C58E8" w:rsidR="001C58E8">
      <w:pPr>
        <w:jc w:val="both"/>
      </w:pPr>
    </w:p>
    <w:p w:rsidRDefault="001C58E8" w:rsidP="001C58E8" w:rsidR="001C58E8">
      <w:pPr>
        <w:jc w:val="both"/>
      </w:pPr>
      <w:r>
        <w:t xml:space="preserve">Predlagatelj  FINA, RC Osijek podnijela je dana 15.03 2017. godine prijedlog Sudu za otvaranje stečajnog postupka nad Dužnikom MARIJA MIŠINEC j.d.o.o. Osijek, </w:t>
      </w:r>
      <w:proofErr w:type="spellStart"/>
      <w:r>
        <w:t>Bosutska</w:t>
      </w:r>
      <w:proofErr w:type="spellEnd"/>
      <w:r>
        <w:t xml:space="preserve"> 6, OIB 31990769159. U prijedlogu navodi da je Dužnik na dan 13.03.2017. godine u očevidniku redoslijeda osnova za plaćanje ima evidentirane neizvršene osnove za plaćanje u neprekinutom razdoblju od 120 dana u ukupnom iznosu 62.669,12 kuna, te da Dužnik ima dva zaposlena radnika.     </w:t>
      </w:r>
    </w:p>
    <w:p w:rsidRDefault="001C58E8" w:rsidP="00E71EB5" w:rsidR="001C58E8" w:rsidRPr="00E71EB5">
      <w:pPr>
        <w:jc w:val="both"/>
      </w:pPr>
      <w:r>
        <w:t xml:space="preserve"> </w:t>
      </w:r>
    </w:p>
    <w:p w:rsidRDefault="001C58E8" w:rsidP="001C58E8" w:rsidR="001C58E8">
      <w:pPr>
        <w:rPr>
          <w:b/>
        </w:rPr>
      </w:pPr>
      <w:r>
        <w:rPr>
          <w:b/>
        </w:rPr>
        <w:t>BILANCA</w:t>
      </w:r>
    </w:p>
    <w:p w:rsidRDefault="001C58E8" w:rsidP="001C58E8" w:rsidR="001C58E8"/>
    <w:tbl>
      <w:tblPr>
        <w:tblW w:type="auto" w:w="0"/>
        <w:tblInd w:type="dxa" w:w="-5"/>
        <w:tblLayout w:type="fixed"/>
        <w:tblLook w:val="04A0" w:noVBand="1" w:noHBand="0" w:lastColumn="0" w:firstColumn="1" w:lastRow="0" w:firstRow="1"/>
      </w:tblPr>
      <w:tblGrid>
        <w:gridCol w:w="7614"/>
        <w:gridCol w:w="1121"/>
        <w:gridCol w:w="1129"/>
      </w:tblGrid>
      <w:tr w:rsidTr="001C58E8" w:rsidR="001C58E8">
        <w:trPr>
          <w:trHeight w:val="227"/>
        </w:trPr>
        <w:tc>
          <w:tcPr>
            <w:tcW w:type="dxa" w:w="7614"/>
            <w:tcBorders>
              <w:top w:space="0" w:sz="4" w:color="000000" w:val="single"/>
              <w:left w:space="0" w:sz="4" w:color="000000" w:val="single"/>
              <w:bottom w:space="0" w:sz="4" w:color="000000" w:val="single"/>
              <w:right w:val="nil"/>
            </w:tcBorders>
            <w:shd w:fill="D9D9D9" w:color="auto" w:val="clear"/>
            <w:vAlign w:val="center"/>
            <w:hideMark/>
          </w:tcPr>
          <w:p w:rsidRDefault="001C58E8" w:rsidR="001C58E8">
            <w:pPr>
              <w:snapToGrid w:val="false"/>
              <w:rPr>
                <w:rFonts w:cs="Calibri" w:hAnsi="Calibri" w:ascii="Calibri"/>
                <w:b/>
                <w:bCs/>
                <w:color w:val="000000"/>
                <w:kern w:val="2"/>
                <w:sz w:val="16"/>
                <w:szCs w:val="16"/>
                <w:lang w:eastAsia="ar-SA"/>
              </w:rPr>
            </w:pPr>
            <w:r>
              <w:rPr>
                <w:rFonts w:cs="Calibri" w:hAnsi="Calibri" w:ascii="Calibri"/>
                <w:b/>
                <w:bCs/>
                <w:color w:val="000000"/>
                <w:sz w:val="16"/>
                <w:szCs w:val="16"/>
                <w:lang w:eastAsia="ar-SA"/>
              </w:rPr>
              <w:t>AKTIVA</w:t>
            </w:r>
          </w:p>
        </w:tc>
        <w:tc>
          <w:tcPr>
            <w:tcW w:type="dxa" w:w="1121"/>
            <w:tcBorders>
              <w:top w:space="0" w:sz="4" w:color="000000" w:val="single"/>
              <w:left w:space="0" w:sz="4" w:color="000000" w:val="single"/>
              <w:bottom w:space="0" w:sz="4" w:color="000000" w:val="single"/>
              <w:right w:val="nil"/>
            </w:tcBorders>
            <w:shd w:fill="D9D9D9" w:color="auto" w:val="clear"/>
            <w:vAlign w:val="center"/>
            <w:hideMark/>
          </w:tcPr>
          <w:p w:rsidRDefault="001C58E8" w:rsidR="001C58E8">
            <w:pPr>
              <w:snapToGrid w:val="false"/>
              <w:jc w:val="right"/>
              <w:rPr>
                <w:rFonts w:cs="Calibri" w:hAnsi="Calibri" w:ascii="Calibri"/>
                <w:b/>
                <w:bCs/>
                <w:color w:val="000000"/>
                <w:kern w:val="2"/>
                <w:sz w:val="16"/>
                <w:szCs w:val="16"/>
                <w:lang w:eastAsia="ar-SA"/>
              </w:rPr>
            </w:pPr>
            <w:r>
              <w:rPr>
                <w:rFonts w:cs="Calibri" w:hAnsi="Calibri" w:ascii="Calibri"/>
                <w:b/>
                <w:bCs/>
                <w:color w:val="000000"/>
                <w:sz w:val="16"/>
                <w:szCs w:val="16"/>
                <w:lang w:eastAsia="ar-SA"/>
              </w:rPr>
              <w:t>2014</w:t>
            </w:r>
          </w:p>
        </w:tc>
        <w:tc>
          <w:tcPr>
            <w:tcW w:type="dxa" w:w="1129"/>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1C58E8" w:rsidR="001C58E8">
            <w:pPr>
              <w:snapToGrid w:val="false"/>
              <w:jc w:val="right"/>
              <w:rPr>
                <w:rFonts w:cs="Calibri" w:hAnsi="Calibri" w:ascii="Calibri"/>
                <w:b/>
                <w:bCs/>
                <w:color w:val="000000"/>
                <w:kern w:val="2"/>
                <w:sz w:val="16"/>
                <w:szCs w:val="16"/>
                <w:lang w:eastAsia="ar-SA"/>
              </w:rPr>
            </w:pPr>
            <w:r>
              <w:rPr>
                <w:rFonts w:cs="Calibri" w:hAnsi="Calibri" w:ascii="Calibri"/>
                <w:b/>
                <w:bCs/>
                <w:color w:val="000000"/>
                <w:sz w:val="16"/>
                <w:szCs w:val="16"/>
                <w:lang w:eastAsia="ar-SA"/>
              </w:rPr>
              <w:t>2015</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A) POTRAŽIVANJA ZA UPISANI A NEUPLAĆENI KAPITAL</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B) DUGOTRAJNA IMOVINA</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2.167</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 NEMATERIJALNA IMOVINA</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II. MATERIJALNA IMOVINA</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2.167</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III. DUGOTRAJNA FINANCIJSKA IMOVINA</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IV. POTRAŽIVANJA</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V. ODGOĐENA POREZNA IMOVINA</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C) KRATKOTRAJNA IMOVINA</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11.399</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71.811</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 ZALIHE</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9.455</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26.865</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lastRenderedPageBreak/>
              <w:t>II. POTRAŽIVANJA</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III. KRATKOTRAJNA FINANCIJSKA IMOVINA</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41.149</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IV. NOVAC U BANCI I BLAGAJNI</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1.944</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3.797</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D) PLAĆENI TROŠKOVI BUDUĆEG RAZDOBLJA I OBRAČUNATI PRIHODI</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1C58E8" w:rsidR="001C58E8">
        <w:trPr>
          <w:trHeight w:val="227"/>
        </w:trPr>
        <w:tc>
          <w:tcPr>
            <w:tcW w:type="dxa" w:w="7614"/>
            <w:tcBorders>
              <w:top w:val="nil"/>
              <w:left w:space="0" w:sz="4" w:color="000000" w:val="single"/>
              <w:bottom w:space="0" w:sz="4" w:color="000000" w:val="single"/>
              <w:right w:val="nil"/>
            </w:tcBorders>
            <w:shd w:fill="D9D9D9" w:color="auto" w:val="clear"/>
            <w:vAlign w:val="center"/>
            <w:hideMark/>
          </w:tcPr>
          <w:p w:rsidRDefault="001C58E8" w:rsidR="001C58E8">
            <w:pPr>
              <w:snapToGrid w:val="false"/>
              <w:rPr>
                <w:rFonts w:cs="Calibri" w:hAnsi="Calibri" w:ascii="Calibri"/>
                <w:b/>
                <w:bCs/>
                <w:color w:val="000000"/>
                <w:kern w:val="2"/>
                <w:sz w:val="16"/>
                <w:szCs w:val="16"/>
                <w:lang w:eastAsia="ar-SA"/>
              </w:rPr>
            </w:pPr>
            <w:r>
              <w:rPr>
                <w:rFonts w:cs="Calibri" w:hAnsi="Calibri" w:ascii="Calibri"/>
                <w:b/>
                <w:bCs/>
                <w:color w:val="000000"/>
                <w:sz w:val="16"/>
                <w:szCs w:val="16"/>
                <w:lang w:eastAsia="ar-SA"/>
              </w:rPr>
              <w:t>E) UKUPNO AKTIVA</w:t>
            </w:r>
          </w:p>
        </w:tc>
        <w:tc>
          <w:tcPr>
            <w:tcW w:type="dxa" w:w="1121"/>
            <w:tcBorders>
              <w:top w:val="nil"/>
              <w:left w:space="0" w:sz="4" w:color="000000" w:val="single"/>
              <w:bottom w:space="0" w:sz="4" w:color="000000" w:val="single"/>
              <w:right w:val="nil"/>
            </w:tcBorders>
            <w:shd w:fill="D9D9D9" w:color="auto" w:val="clear"/>
            <w:vAlign w:val="center"/>
            <w:hideMark/>
          </w:tcPr>
          <w:p w:rsidRDefault="001C58E8" w:rsidR="001C58E8">
            <w:pPr>
              <w:snapToGrid w:val="false"/>
              <w:jc w:val="right"/>
              <w:rPr>
                <w:rFonts w:cs="Calibri" w:hAnsi="Calibri" w:ascii="Calibri"/>
                <w:b/>
                <w:bCs/>
                <w:color w:val="000000"/>
                <w:kern w:val="2"/>
                <w:sz w:val="16"/>
                <w:szCs w:val="16"/>
                <w:lang w:eastAsia="ar-SA"/>
              </w:rPr>
            </w:pPr>
            <w:r>
              <w:rPr>
                <w:rFonts w:cs="Calibri" w:hAnsi="Calibri" w:ascii="Calibri"/>
                <w:b/>
                <w:bCs/>
                <w:color w:val="000000"/>
                <w:sz w:val="16"/>
                <w:szCs w:val="16"/>
                <w:lang w:eastAsia="ar-SA"/>
              </w:rPr>
              <w:t>11.399</w:t>
            </w:r>
          </w:p>
        </w:tc>
        <w:tc>
          <w:tcPr>
            <w:tcW w:type="dxa" w:w="1129"/>
            <w:tcBorders>
              <w:top w:val="nil"/>
              <w:left w:space="0" w:sz="4" w:color="000000" w:val="single"/>
              <w:bottom w:space="0" w:sz="4" w:color="000000" w:val="single"/>
              <w:right w:space="0" w:sz="4" w:color="000000" w:val="single"/>
            </w:tcBorders>
            <w:shd w:fill="D9D9D9" w:color="auto" w:val="clear"/>
            <w:vAlign w:val="center"/>
            <w:hideMark/>
          </w:tcPr>
          <w:p w:rsidRDefault="001C58E8" w:rsidR="001C58E8">
            <w:pPr>
              <w:snapToGrid w:val="false"/>
              <w:jc w:val="right"/>
              <w:rPr>
                <w:rFonts w:cs="Calibri" w:hAnsi="Calibri" w:ascii="Calibri"/>
                <w:b/>
                <w:bCs/>
                <w:color w:val="000000"/>
                <w:kern w:val="2"/>
                <w:sz w:val="16"/>
                <w:szCs w:val="16"/>
                <w:lang w:eastAsia="ar-SA"/>
              </w:rPr>
            </w:pPr>
            <w:r>
              <w:rPr>
                <w:rFonts w:cs="Calibri" w:hAnsi="Calibri" w:ascii="Calibri"/>
                <w:b/>
                <w:bCs/>
                <w:color w:val="000000"/>
                <w:sz w:val="16"/>
                <w:szCs w:val="16"/>
                <w:lang w:eastAsia="ar-SA"/>
              </w:rPr>
              <w:t>73.978</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F) IZVANBILANČNI ZAPISI</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1C58E8" w:rsidR="001C58E8">
        <w:trPr>
          <w:trHeight w:val="227"/>
        </w:trPr>
        <w:tc>
          <w:tcPr>
            <w:tcW w:type="dxa" w:w="7614"/>
            <w:tcBorders>
              <w:top w:val="nil"/>
              <w:left w:space="0" w:sz="4" w:color="000000" w:val="single"/>
              <w:bottom w:space="0" w:sz="4" w:color="000000" w:val="single"/>
              <w:right w:val="nil"/>
            </w:tcBorders>
            <w:shd w:fill="D9D9D9" w:color="auto" w:val="clear"/>
            <w:vAlign w:val="center"/>
            <w:hideMark/>
          </w:tcPr>
          <w:p w:rsidRDefault="001C58E8" w:rsidR="001C58E8">
            <w:pPr>
              <w:snapToGrid w:val="false"/>
              <w:rPr>
                <w:rFonts w:cs="Calibri" w:hAnsi="Calibri" w:ascii="Calibri"/>
                <w:b/>
                <w:bCs/>
                <w:color w:val="000000"/>
                <w:kern w:val="2"/>
                <w:sz w:val="16"/>
                <w:szCs w:val="16"/>
                <w:lang w:eastAsia="ar-SA"/>
              </w:rPr>
            </w:pPr>
            <w:r>
              <w:rPr>
                <w:rFonts w:cs="Calibri" w:hAnsi="Calibri" w:ascii="Calibri"/>
                <w:b/>
                <w:bCs/>
                <w:color w:val="000000"/>
                <w:sz w:val="16"/>
                <w:szCs w:val="16"/>
                <w:lang w:eastAsia="ar-SA"/>
              </w:rPr>
              <w:t>PASIVA</w:t>
            </w:r>
          </w:p>
        </w:tc>
        <w:tc>
          <w:tcPr>
            <w:tcW w:type="dxa" w:w="1121"/>
            <w:tcBorders>
              <w:top w:val="nil"/>
              <w:left w:space="0" w:sz="4" w:color="000000" w:val="single"/>
              <w:bottom w:space="0" w:sz="4" w:color="000000" w:val="single"/>
              <w:right w:val="nil"/>
            </w:tcBorders>
            <w:shd w:fill="D9D9D9" w:color="auto" w:val="clear"/>
            <w:vAlign w:val="center"/>
            <w:hideMark/>
          </w:tcPr>
          <w:p w:rsidRDefault="001C58E8" w:rsidR="001C58E8">
            <w:pPr>
              <w:snapToGrid w:val="false"/>
              <w:jc w:val="right"/>
              <w:rPr>
                <w:rFonts w:cs="Calibri" w:hAnsi="Calibri" w:ascii="Calibri"/>
                <w:b/>
                <w:bCs/>
                <w:color w:val="000000"/>
                <w:kern w:val="2"/>
                <w:sz w:val="16"/>
                <w:szCs w:val="16"/>
                <w:lang w:eastAsia="ar-SA"/>
              </w:rPr>
            </w:pPr>
            <w:r>
              <w:rPr>
                <w:rFonts w:cs="Calibri" w:hAnsi="Calibri" w:ascii="Calibri"/>
                <w:b/>
                <w:bCs/>
                <w:color w:val="000000"/>
                <w:sz w:val="16"/>
                <w:szCs w:val="16"/>
                <w:lang w:eastAsia="ar-SA"/>
              </w:rPr>
              <w:t>2014</w:t>
            </w:r>
          </w:p>
        </w:tc>
        <w:tc>
          <w:tcPr>
            <w:tcW w:type="dxa" w:w="1129"/>
            <w:tcBorders>
              <w:top w:val="nil"/>
              <w:left w:space="0" w:sz="4" w:color="000000" w:val="single"/>
              <w:bottom w:space="0" w:sz="4" w:color="000000" w:val="single"/>
              <w:right w:space="0" w:sz="4" w:color="000000" w:val="single"/>
            </w:tcBorders>
            <w:shd w:fill="D9D9D9" w:color="auto" w:val="clear"/>
            <w:vAlign w:val="center"/>
            <w:hideMark/>
          </w:tcPr>
          <w:p w:rsidRDefault="001C58E8" w:rsidR="001C58E8">
            <w:pPr>
              <w:snapToGrid w:val="false"/>
              <w:jc w:val="right"/>
              <w:rPr>
                <w:rFonts w:cs="Calibri" w:hAnsi="Calibri" w:ascii="Calibri"/>
                <w:b/>
                <w:bCs/>
                <w:color w:val="000000"/>
                <w:kern w:val="2"/>
                <w:sz w:val="16"/>
                <w:szCs w:val="16"/>
                <w:lang w:eastAsia="ar-SA"/>
              </w:rPr>
            </w:pPr>
            <w:r>
              <w:rPr>
                <w:rFonts w:cs="Calibri" w:hAnsi="Calibri" w:ascii="Calibri"/>
                <w:b/>
                <w:bCs/>
                <w:color w:val="000000"/>
                <w:sz w:val="16"/>
                <w:szCs w:val="16"/>
                <w:lang w:eastAsia="ar-SA"/>
              </w:rPr>
              <w:t>2015</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A) KAPITAL I REZERVE</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-7.122</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-7.998</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 TEMELJNI (UPISANI) KAPITAL</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10</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10</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II. KAPITALNE REZERVE</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III. REZERVE IZ DOBITI</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IV. REVALORIZACIJSKE REZERVE</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V ZADRŽANA DOBIT ILI PRENESENI GUBITAK</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-1.473</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-7.133</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VI DOBIT ILI GUBITAK POSLOVNE GODINE</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-5.659</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-875</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VII MANJINSKI INTERES</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B) REZERVIRANJA</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C) DUGOROČNE OBVEZE</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D) KRATKOROČNE OBVEZE</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18.521</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81.976</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E) ODGOĐENO PLAĆANJE TROŠKOVA I PRIHOD BUDUĆEGA RAZDOBLJA</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1C58E8" w:rsidR="001C58E8">
        <w:trPr>
          <w:trHeight w:val="227"/>
        </w:trPr>
        <w:tc>
          <w:tcPr>
            <w:tcW w:type="dxa" w:w="7614"/>
            <w:tcBorders>
              <w:top w:val="nil"/>
              <w:left w:space="0" w:sz="4" w:color="000000" w:val="single"/>
              <w:bottom w:space="0" w:sz="4" w:color="000000" w:val="single"/>
              <w:right w:val="nil"/>
            </w:tcBorders>
            <w:shd w:fill="D9D9D9" w:color="auto" w:val="clear"/>
            <w:vAlign w:val="center"/>
            <w:hideMark/>
          </w:tcPr>
          <w:p w:rsidRDefault="001C58E8" w:rsidR="001C58E8">
            <w:pPr>
              <w:snapToGrid w:val="false"/>
              <w:rPr>
                <w:rFonts w:cs="Calibri" w:hAnsi="Calibri" w:ascii="Calibri"/>
                <w:b/>
                <w:bCs/>
                <w:color w:val="000000"/>
                <w:kern w:val="2"/>
                <w:sz w:val="16"/>
                <w:szCs w:val="16"/>
                <w:lang w:eastAsia="ar-SA"/>
              </w:rPr>
            </w:pPr>
            <w:r>
              <w:rPr>
                <w:rFonts w:cs="Calibri" w:hAnsi="Calibri" w:ascii="Calibri"/>
                <w:b/>
                <w:bCs/>
                <w:color w:val="000000"/>
                <w:sz w:val="16"/>
                <w:szCs w:val="16"/>
                <w:lang w:eastAsia="ar-SA"/>
              </w:rPr>
              <w:t>F) UKUPNO – PASIVA</w:t>
            </w:r>
          </w:p>
        </w:tc>
        <w:tc>
          <w:tcPr>
            <w:tcW w:type="dxa" w:w="1121"/>
            <w:tcBorders>
              <w:top w:val="nil"/>
              <w:left w:space="0" w:sz="4" w:color="000000" w:val="single"/>
              <w:bottom w:space="0" w:sz="4" w:color="000000" w:val="single"/>
              <w:right w:val="nil"/>
            </w:tcBorders>
            <w:shd w:fill="D9D9D9" w:color="auto" w:val="clear"/>
            <w:vAlign w:val="center"/>
            <w:hideMark/>
          </w:tcPr>
          <w:p w:rsidRDefault="001C58E8" w:rsidR="001C58E8">
            <w:pPr>
              <w:snapToGrid w:val="false"/>
              <w:jc w:val="right"/>
              <w:rPr>
                <w:rFonts w:cs="Calibri" w:hAnsi="Calibri" w:ascii="Calibri"/>
                <w:b/>
                <w:bCs/>
                <w:color w:val="000000"/>
                <w:kern w:val="2"/>
                <w:sz w:val="16"/>
                <w:szCs w:val="16"/>
                <w:lang w:eastAsia="ar-SA"/>
              </w:rPr>
            </w:pPr>
            <w:r>
              <w:rPr>
                <w:rFonts w:cs="Calibri" w:hAnsi="Calibri" w:ascii="Calibri"/>
                <w:b/>
                <w:bCs/>
                <w:color w:val="000000"/>
                <w:sz w:val="16"/>
                <w:szCs w:val="16"/>
                <w:lang w:eastAsia="ar-SA"/>
              </w:rPr>
              <w:t>11.399</w:t>
            </w:r>
          </w:p>
        </w:tc>
        <w:tc>
          <w:tcPr>
            <w:tcW w:type="dxa" w:w="1129"/>
            <w:tcBorders>
              <w:top w:val="nil"/>
              <w:left w:space="0" w:sz="4" w:color="000000" w:val="single"/>
              <w:bottom w:space="0" w:sz="4" w:color="000000" w:val="single"/>
              <w:right w:space="0" w:sz="4" w:color="000000" w:val="single"/>
            </w:tcBorders>
            <w:shd w:fill="D9D9D9" w:color="auto" w:val="clear"/>
            <w:vAlign w:val="center"/>
            <w:hideMark/>
          </w:tcPr>
          <w:p w:rsidRDefault="001C58E8" w:rsidR="001C58E8">
            <w:pPr>
              <w:snapToGrid w:val="false"/>
              <w:jc w:val="right"/>
              <w:rPr>
                <w:rFonts w:cs="Calibri" w:hAnsi="Calibri" w:ascii="Calibri"/>
                <w:b/>
                <w:bCs/>
                <w:color w:val="000000"/>
                <w:kern w:val="2"/>
                <w:sz w:val="16"/>
                <w:szCs w:val="16"/>
                <w:lang w:eastAsia="ar-SA"/>
              </w:rPr>
            </w:pPr>
            <w:r>
              <w:rPr>
                <w:rFonts w:cs="Calibri" w:hAnsi="Calibri" w:ascii="Calibri"/>
                <w:b/>
                <w:bCs/>
                <w:color w:val="000000"/>
                <w:sz w:val="16"/>
                <w:szCs w:val="16"/>
                <w:lang w:eastAsia="ar-SA"/>
              </w:rPr>
              <w:t>73.978</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G) IZVANBILANČNI ZAPISI</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bl>
    <w:p w:rsidRDefault="001C58E8" w:rsidP="001C58E8" w:rsidR="001C58E8" w:rsidRPr="001C58E8">
      <w:pPr>
        <w:rPr>
          <w:rFonts w:cs="Mangal" w:eastAsia="Lucida Sans Unicode"/>
          <w:kern w:val="2"/>
          <w:lang w:bidi="hi-IN" w:eastAsia="hi-IN"/>
        </w:rPr>
      </w:pPr>
      <w:r>
        <w:t xml:space="preserve">                  </w:t>
      </w:r>
    </w:p>
    <w:p w:rsidRDefault="001C58E8" w:rsidP="001C58E8" w:rsidR="001C58E8"/>
    <w:p w:rsidRDefault="001C58E8" w:rsidP="001C58E8" w:rsidR="001C58E8">
      <w:pPr>
        <w:rPr>
          <w:b/>
        </w:rPr>
      </w:pPr>
      <w:r>
        <w:rPr>
          <w:b/>
        </w:rPr>
        <w:t>RAČUN DOBITI I GUBITKA</w:t>
      </w:r>
    </w:p>
    <w:p w:rsidRDefault="001C58E8" w:rsidP="001C58E8" w:rsidR="001C58E8"/>
    <w:p w:rsidRDefault="001C58E8" w:rsidP="001C58E8" w:rsidR="001C58E8"/>
    <w:tbl>
      <w:tblPr>
        <w:tblW w:type="auto" w:w="0"/>
        <w:tblInd w:type="dxa" w:w="-5"/>
        <w:tblLayout w:type="fixed"/>
        <w:tblLook w:val="04A0" w:noVBand="1" w:noHBand="0" w:lastColumn="0" w:firstColumn="1" w:lastRow="0" w:firstRow="1"/>
      </w:tblPr>
      <w:tblGrid>
        <w:gridCol w:w="7614"/>
        <w:gridCol w:w="1121"/>
        <w:gridCol w:w="1129"/>
      </w:tblGrid>
      <w:tr w:rsidTr="001C58E8" w:rsidR="001C58E8">
        <w:trPr>
          <w:trHeight w:val="227"/>
        </w:trPr>
        <w:tc>
          <w:tcPr>
            <w:tcW w:type="dxa" w:w="7614"/>
            <w:tcBorders>
              <w:top w:space="0" w:sz="4" w:color="000000" w:val="single"/>
              <w:left w:space="0" w:sz="4" w:color="000000" w:val="single"/>
              <w:bottom w:space="0" w:sz="4" w:color="000000" w:val="single"/>
              <w:right w:val="nil"/>
            </w:tcBorders>
            <w:shd w:fill="D9D9D9" w:color="auto" w:val="clear"/>
            <w:vAlign w:val="center"/>
            <w:hideMark/>
          </w:tcPr>
          <w:p w:rsidRDefault="001C58E8" w:rsidR="001C58E8">
            <w:pPr>
              <w:snapToGrid w:val="false"/>
              <w:rPr>
                <w:rFonts w:cs="Calibri" w:hAnsi="Calibri" w:ascii="Calibri"/>
                <w:b/>
                <w:bCs/>
                <w:color w:val="000000"/>
                <w:kern w:val="2"/>
                <w:sz w:val="16"/>
                <w:szCs w:val="16"/>
                <w:lang w:eastAsia="ar-SA"/>
              </w:rPr>
            </w:pPr>
            <w:r>
              <w:rPr>
                <w:rFonts w:cs="Calibri" w:hAnsi="Calibri" w:ascii="Calibri"/>
                <w:b/>
                <w:bCs/>
                <w:color w:val="000000"/>
                <w:sz w:val="16"/>
                <w:szCs w:val="16"/>
                <w:lang w:eastAsia="ar-SA"/>
              </w:rPr>
              <w:t>Naziv pozicije</w:t>
            </w:r>
          </w:p>
        </w:tc>
        <w:tc>
          <w:tcPr>
            <w:tcW w:type="dxa" w:w="1121"/>
            <w:tcBorders>
              <w:top w:space="0" w:sz="4" w:color="000000" w:val="single"/>
              <w:left w:space="0" w:sz="4" w:color="000000" w:val="single"/>
              <w:bottom w:space="0" w:sz="4" w:color="000000" w:val="single"/>
              <w:right w:val="nil"/>
            </w:tcBorders>
            <w:shd w:fill="D9D9D9" w:color="auto" w:val="clear"/>
            <w:vAlign w:val="center"/>
            <w:hideMark/>
          </w:tcPr>
          <w:p w:rsidRDefault="001C58E8" w:rsidR="001C58E8">
            <w:pPr>
              <w:snapToGrid w:val="false"/>
              <w:jc w:val="right"/>
              <w:rPr>
                <w:rFonts w:cs="Calibri" w:hAnsi="Calibri" w:ascii="Calibri"/>
                <w:b/>
                <w:bCs/>
                <w:color w:val="000000"/>
                <w:kern w:val="2"/>
                <w:sz w:val="16"/>
                <w:szCs w:val="16"/>
                <w:lang w:eastAsia="ar-SA"/>
              </w:rPr>
            </w:pPr>
            <w:r>
              <w:rPr>
                <w:rFonts w:cs="Calibri" w:hAnsi="Calibri" w:ascii="Calibri"/>
                <w:b/>
                <w:bCs/>
                <w:color w:val="000000"/>
                <w:sz w:val="16"/>
                <w:szCs w:val="16"/>
                <w:lang w:eastAsia="ar-SA"/>
              </w:rPr>
              <w:t>2014</w:t>
            </w:r>
          </w:p>
        </w:tc>
        <w:tc>
          <w:tcPr>
            <w:tcW w:type="dxa" w:w="1129"/>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1C58E8" w:rsidR="001C58E8">
            <w:pPr>
              <w:snapToGrid w:val="false"/>
              <w:jc w:val="right"/>
              <w:rPr>
                <w:rFonts w:cs="Calibri" w:hAnsi="Calibri" w:ascii="Calibri"/>
                <w:b/>
                <w:bCs/>
                <w:color w:val="000000"/>
                <w:kern w:val="2"/>
                <w:sz w:val="16"/>
                <w:szCs w:val="16"/>
                <w:lang w:eastAsia="ar-SA"/>
              </w:rPr>
            </w:pPr>
            <w:r>
              <w:rPr>
                <w:rFonts w:cs="Calibri" w:hAnsi="Calibri" w:ascii="Calibri"/>
                <w:b/>
                <w:bCs/>
                <w:color w:val="000000"/>
                <w:sz w:val="16"/>
                <w:szCs w:val="16"/>
                <w:lang w:eastAsia="ar-SA"/>
              </w:rPr>
              <w:t>2015</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 POSLOVNI PRIHODI</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96.750</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97.215</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II. POSLOVNI RASHODI</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121.580</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98.219</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III. FINANCIJSKI PRIHODI</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2</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325</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IV. FINANCIJSKI RASHODI</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7</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196</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V UDIO U DOBITI OD PRIDRUŽENIH PODUZETNIKA</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VI UDIO U GUBITKU OD PRIDRUŽENIH PODUZETNIKA</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VII. IZVANREDNI - OSTALI PRIHODI</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19.176</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proofErr w:type="spellStart"/>
            <w:r>
              <w:rPr>
                <w:rFonts w:cs="Calibri" w:hAnsi="Calibri" w:ascii="Calibri"/>
                <w:color w:val="000000"/>
                <w:sz w:val="16"/>
                <w:szCs w:val="16"/>
                <w:lang w:eastAsia="ar-SA"/>
              </w:rPr>
              <w:t>VIII.IZVANREDNI</w:t>
            </w:r>
            <w:proofErr w:type="spellEnd"/>
            <w:r>
              <w:rPr>
                <w:rFonts w:cs="Calibri" w:hAnsi="Calibri" w:ascii="Calibri"/>
                <w:color w:val="000000"/>
                <w:sz w:val="16"/>
                <w:szCs w:val="16"/>
                <w:lang w:eastAsia="ar-SA"/>
              </w:rPr>
              <w:t xml:space="preserve"> - OSTALI RASHODI</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IX. UKUPNI PRIHODI</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115.928</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97.540</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X. UKUPNI RASHODI</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121.587</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98.415</w:t>
            </w:r>
          </w:p>
        </w:tc>
      </w:tr>
      <w:tr w:rsidTr="001C58E8" w:rsidR="001C58E8">
        <w:trPr>
          <w:trHeight w:val="227"/>
        </w:trPr>
        <w:tc>
          <w:tcPr>
            <w:tcW w:type="dxa" w:w="7614"/>
            <w:tcBorders>
              <w:top w:val="nil"/>
              <w:left w:space="0" w:sz="4" w:color="000000" w:val="single"/>
              <w:bottom w:space="0" w:sz="4" w:color="000000" w:val="single"/>
              <w:right w:val="nil"/>
            </w:tcBorders>
            <w:shd w:fill="D9D9D9" w:color="auto" w:val="clear"/>
            <w:vAlign w:val="center"/>
            <w:hideMark/>
          </w:tcPr>
          <w:p w:rsidRDefault="001C58E8" w:rsidR="001C58E8">
            <w:pPr>
              <w:snapToGrid w:val="false"/>
              <w:rPr>
                <w:rFonts w:cs="Calibri" w:hAnsi="Calibri" w:ascii="Calibri"/>
                <w:b/>
                <w:bCs/>
                <w:color w:val="000000"/>
                <w:kern w:val="2"/>
                <w:sz w:val="16"/>
                <w:szCs w:val="16"/>
                <w:lang w:eastAsia="ar-SA"/>
              </w:rPr>
            </w:pPr>
            <w:r>
              <w:rPr>
                <w:rFonts w:cs="Calibri" w:hAnsi="Calibri" w:ascii="Calibri"/>
                <w:b/>
                <w:bCs/>
                <w:color w:val="000000"/>
                <w:sz w:val="16"/>
                <w:szCs w:val="16"/>
                <w:lang w:eastAsia="ar-SA"/>
              </w:rPr>
              <w:t>XI DOBIT ILI GUBITAK PRIJE OPOREZIVANJA</w:t>
            </w:r>
          </w:p>
        </w:tc>
        <w:tc>
          <w:tcPr>
            <w:tcW w:type="dxa" w:w="1121"/>
            <w:tcBorders>
              <w:top w:val="nil"/>
              <w:left w:space="0" w:sz="4" w:color="000000" w:val="single"/>
              <w:bottom w:space="0" w:sz="4" w:color="000000" w:val="single"/>
              <w:right w:val="nil"/>
            </w:tcBorders>
            <w:shd w:fill="D9D9D9" w:color="auto" w:val="clear"/>
            <w:vAlign w:val="center"/>
            <w:hideMark/>
          </w:tcPr>
          <w:p w:rsidRDefault="001C58E8" w:rsidR="001C58E8">
            <w:pPr>
              <w:snapToGrid w:val="false"/>
              <w:jc w:val="right"/>
              <w:rPr>
                <w:rFonts w:cs="Calibri" w:hAnsi="Calibri" w:ascii="Calibri"/>
                <w:b/>
                <w:bCs/>
                <w:color w:val="000000"/>
                <w:kern w:val="2"/>
                <w:sz w:val="16"/>
                <w:szCs w:val="16"/>
                <w:lang w:eastAsia="ar-SA"/>
              </w:rPr>
            </w:pPr>
            <w:r>
              <w:rPr>
                <w:rFonts w:cs="Calibri" w:hAnsi="Calibri" w:ascii="Calibri"/>
                <w:b/>
                <w:bCs/>
                <w:color w:val="000000"/>
                <w:sz w:val="16"/>
                <w:szCs w:val="16"/>
                <w:lang w:eastAsia="ar-SA"/>
              </w:rPr>
              <w:t>-5.659</w:t>
            </w:r>
          </w:p>
        </w:tc>
        <w:tc>
          <w:tcPr>
            <w:tcW w:type="dxa" w:w="1129"/>
            <w:tcBorders>
              <w:top w:val="nil"/>
              <w:left w:space="0" w:sz="4" w:color="000000" w:val="single"/>
              <w:bottom w:space="0" w:sz="4" w:color="000000" w:val="single"/>
              <w:right w:space="0" w:sz="4" w:color="000000" w:val="single"/>
            </w:tcBorders>
            <w:shd w:fill="D9D9D9" w:color="auto" w:val="clear"/>
            <w:vAlign w:val="center"/>
            <w:hideMark/>
          </w:tcPr>
          <w:p w:rsidRDefault="001C58E8" w:rsidR="001C58E8">
            <w:pPr>
              <w:snapToGrid w:val="false"/>
              <w:jc w:val="right"/>
              <w:rPr>
                <w:rFonts w:cs="Calibri" w:hAnsi="Calibri" w:ascii="Calibri"/>
                <w:b/>
                <w:bCs/>
                <w:color w:val="000000"/>
                <w:kern w:val="2"/>
                <w:sz w:val="16"/>
                <w:szCs w:val="16"/>
                <w:lang w:eastAsia="ar-SA"/>
              </w:rPr>
            </w:pPr>
            <w:r>
              <w:rPr>
                <w:rFonts w:cs="Calibri" w:hAnsi="Calibri" w:ascii="Calibri"/>
                <w:b/>
                <w:bCs/>
                <w:color w:val="000000"/>
                <w:sz w:val="16"/>
                <w:szCs w:val="16"/>
                <w:lang w:eastAsia="ar-SA"/>
              </w:rPr>
              <w:t>-875</w:t>
            </w:r>
          </w:p>
        </w:tc>
      </w:tr>
      <w:tr w:rsidTr="001C58E8" w:rsidR="001C58E8">
        <w:trPr>
          <w:trHeight w:val="227"/>
        </w:trPr>
        <w:tc>
          <w:tcPr>
            <w:tcW w:type="dxa" w:w="7614"/>
            <w:tcBorders>
              <w:top w:val="nil"/>
              <w:left w:space="0" w:sz="4" w:color="000000" w:val="single"/>
              <w:bottom w:space="0" w:sz="4" w:color="000000" w:val="single"/>
              <w:right w:val="nil"/>
            </w:tcBorders>
            <w:vAlign w:val="center"/>
            <w:hideMark/>
          </w:tcPr>
          <w:p w:rsidRDefault="001C58E8" w:rsidR="001C58E8">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XII. POREZ NA DOBIT</w:t>
            </w:r>
          </w:p>
        </w:tc>
        <w:tc>
          <w:tcPr>
            <w:tcW w:type="dxa" w:w="1121"/>
            <w:tcBorders>
              <w:top w:val="nil"/>
              <w:left w:space="0" w:sz="4" w:color="000000" w:val="single"/>
              <w:bottom w:space="0" w:sz="4" w:color="000000" w:val="single"/>
              <w:right w:val="nil"/>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1129"/>
            <w:tcBorders>
              <w:top w:val="nil"/>
              <w:left w:space="0" w:sz="4" w:color="000000" w:val="single"/>
              <w:bottom w:space="0" w:sz="4" w:color="000000" w:val="single"/>
              <w:right w:space="0" w:sz="4" w:color="000000" w:val="single"/>
            </w:tcBorders>
            <w:vAlign w:val="center"/>
            <w:hideMark/>
          </w:tcPr>
          <w:p w:rsidRDefault="001C58E8" w:rsidR="001C58E8">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1C58E8" w:rsidR="001C58E8">
        <w:trPr>
          <w:trHeight w:val="227"/>
        </w:trPr>
        <w:tc>
          <w:tcPr>
            <w:tcW w:type="dxa" w:w="7614"/>
            <w:tcBorders>
              <w:top w:val="nil"/>
              <w:left w:space="0" w:sz="4" w:color="000000" w:val="single"/>
              <w:bottom w:space="0" w:sz="4" w:color="000000" w:val="single"/>
              <w:right w:val="nil"/>
            </w:tcBorders>
            <w:shd w:fill="D9D9D9" w:color="auto" w:val="clear"/>
            <w:vAlign w:val="center"/>
            <w:hideMark/>
          </w:tcPr>
          <w:p w:rsidRDefault="001C58E8" w:rsidR="001C58E8">
            <w:pPr>
              <w:snapToGrid w:val="false"/>
              <w:rPr>
                <w:rFonts w:cs="Calibri" w:hAnsi="Calibri" w:ascii="Calibri"/>
                <w:b/>
                <w:bCs/>
                <w:color w:val="000000"/>
                <w:kern w:val="2"/>
                <w:sz w:val="16"/>
                <w:szCs w:val="16"/>
                <w:lang w:eastAsia="ar-SA"/>
              </w:rPr>
            </w:pPr>
            <w:r>
              <w:rPr>
                <w:rFonts w:cs="Calibri" w:hAnsi="Calibri" w:ascii="Calibri"/>
                <w:b/>
                <w:bCs/>
                <w:color w:val="000000"/>
                <w:sz w:val="16"/>
                <w:szCs w:val="16"/>
                <w:lang w:eastAsia="ar-SA"/>
              </w:rPr>
              <w:t>XIII DOBIT ILI GUBITAK RAZDOBLJA</w:t>
            </w:r>
          </w:p>
        </w:tc>
        <w:tc>
          <w:tcPr>
            <w:tcW w:type="dxa" w:w="1121"/>
            <w:tcBorders>
              <w:top w:val="nil"/>
              <w:left w:space="0" w:sz="4" w:color="000000" w:val="single"/>
              <w:bottom w:space="0" w:sz="4" w:color="000000" w:val="single"/>
              <w:right w:val="nil"/>
            </w:tcBorders>
            <w:shd w:fill="D9D9D9" w:color="auto" w:val="clear"/>
            <w:vAlign w:val="center"/>
            <w:hideMark/>
          </w:tcPr>
          <w:p w:rsidRDefault="001C58E8" w:rsidR="001C58E8">
            <w:pPr>
              <w:snapToGrid w:val="false"/>
              <w:jc w:val="right"/>
              <w:rPr>
                <w:rFonts w:cs="Calibri" w:hAnsi="Calibri" w:ascii="Calibri"/>
                <w:b/>
                <w:bCs/>
                <w:color w:val="000000"/>
                <w:kern w:val="2"/>
                <w:sz w:val="16"/>
                <w:szCs w:val="16"/>
                <w:lang w:eastAsia="ar-SA"/>
              </w:rPr>
            </w:pPr>
            <w:r>
              <w:rPr>
                <w:rFonts w:cs="Calibri" w:hAnsi="Calibri" w:ascii="Calibri"/>
                <w:b/>
                <w:bCs/>
                <w:color w:val="000000"/>
                <w:sz w:val="16"/>
                <w:szCs w:val="16"/>
                <w:lang w:eastAsia="ar-SA"/>
              </w:rPr>
              <w:t>-5.659</w:t>
            </w:r>
          </w:p>
        </w:tc>
        <w:tc>
          <w:tcPr>
            <w:tcW w:type="dxa" w:w="1129"/>
            <w:tcBorders>
              <w:top w:val="nil"/>
              <w:left w:space="0" w:sz="4" w:color="000000" w:val="single"/>
              <w:bottom w:space="0" w:sz="4" w:color="000000" w:val="single"/>
              <w:right w:space="0" w:sz="4" w:color="000000" w:val="single"/>
            </w:tcBorders>
            <w:shd w:fill="D9D9D9" w:color="auto" w:val="clear"/>
            <w:vAlign w:val="center"/>
            <w:hideMark/>
          </w:tcPr>
          <w:p w:rsidRDefault="001C58E8" w:rsidR="001C58E8">
            <w:pPr>
              <w:snapToGrid w:val="false"/>
              <w:jc w:val="right"/>
              <w:rPr>
                <w:rFonts w:cs="Calibri" w:hAnsi="Calibri" w:ascii="Calibri"/>
                <w:b/>
                <w:bCs/>
                <w:color w:val="000000"/>
                <w:kern w:val="2"/>
                <w:sz w:val="16"/>
                <w:szCs w:val="16"/>
                <w:lang w:eastAsia="ar-SA"/>
              </w:rPr>
            </w:pPr>
            <w:r>
              <w:rPr>
                <w:rFonts w:cs="Calibri" w:hAnsi="Calibri" w:ascii="Calibri"/>
                <w:b/>
                <w:bCs/>
                <w:color w:val="000000"/>
                <w:sz w:val="16"/>
                <w:szCs w:val="16"/>
                <w:lang w:eastAsia="ar-SA"/>
              </w:rPr>
              <w:t>-875</w:t>
            </w:r>
          </w:p>
        </w:tc>
      </w:tr>
    </w:tbl>
    <w:p w:rsidRDefault="001C58E8" w:rsidP="001C58E8" w:rsidR="001C58E8">
      <w:pPr>
        <w:rPr>
          <w:rFonts w:cs="Mangal" w:eastAsia="Lucida Sans Unicode"/>
          <w:kern w:val="2"/>
          <w:lang w:bidi="hi-IN" w:eastAsia="hi-IN"/>
        </w:rPr>
      </w:pPr>
    </w:p>
    <w:p w:rsidRDefault="001C58E8" w:rsidP="001C58E8" w:rsidR="001C58E8">
      <w:r>
        <w:t xml:space="preserve"> </w:t>
      </w:r>
    </w:p>
    <w:p w:rsidRDefault="001C58E8" w:rsidP="001C58E8" w:rsidR="001C58E8">
      <w:pPr>
        <w:rPr>
          <w:b/>
        </w:rPr>
      </w:pPr>
      <w:r>
        <w:rPr>
          <w:b/>
        </w:rPr>
        <w:t>Kratkotrajna imovina</w:t>
      </w:r>
    </w:p>
    <w:p w:rsidRDefault="001C58E8" w:rsidP="001C58E8" w:rsidR="001C58E8"/>
    <w:tbl>
      <w:tblPr>
        <w:tblW w:type="auto" w:w="0"/>
        <w:tblInd w:type="dxa" w:w="1521"/>
        <w:tblLayout w:type="fixed"/>
        <w:tblLook w:val="04A0" w:noVBand="1" w:noHBand="0" w:lastColumn="0" w:firstColumn="1" w:lastRow="0" w:firstRow="1"/>
      </w:tblPr>
      <w:tblGrid>
        <w:gridCol w:w="850"/>
        <w:gridCol w:w="4536"/>
        <w:gridCol w:w="868"/>
        <w:gridCol w:w="880"/>
      </w:tblGrid>
      <w:tr w:rsidTr="001C58E8" w:rsidR="001C58E8">
        <w:tc>
          <w:tcPr>
            <w:tcW w:type="dxa" w:w="850"/>
            <w:tcBorders>
              <w:top w:space="0" w:sz="4" w:color="000000" w:val="single"/>
              <w:left w:space="0" w:sz="4" w:color="000000" w:val="single"/>
              <w:bottom w:space="0" w:sz="4" w:color="000000" w:val="single"/>
              <w:right w:val="nil"/>
            </w:tcBorders>
            <w:shd w:fill="D9D9D9" w:color="auto" w:val="clear"/>
            <w:vAlign w:val="center"/>
            <w:hideMark/>
          </w:tcPr>
          <w:p w:rsidRDefault="001C58E8" w:rsidR="001C58E8">
            <w:pPr>
              <w:widowControl w:val="false"/>
              <w:suppressAutoHyphens/>
              <w:snapToGrid w:val="false"/>
              <w:rPr>
                <w:rFonts w:cs="Calibri" w:eastAsia="Lucida Sans Unicode" w:hAnsi="Calibri" w:ascii="Calibri"/>
                <w:b/>
                <w:kern w:val="2"/>
                <w:sz w:val="16"/>
                <w:szCs w:val="16"/>
                <w:lang w:bidi="hi-IN" w:eastAsia="hi-IN"/>
              </w:rPr>
            </w:pPr>
            <w:r>
              <w:rPr>
                <w:rFonts w:cs="Calibri" w:hAnsi="Calibri" w:ascii="Calibri"/>
                <w:b/>
                <w:sz w:val="16"/>
                <w:szCs w:val="16"/>
              </w:rPr>
              <w:t>Red. broj</w:t>
            </w:r>
          </w:p>
        </w:tc>
        <w:tc>
          <w:tcPr>
            <w:tcW w:type="dxa" w:w="4536"/>
            <w:tcBorders>
              <w:top w:space="0" w:sz="4" w:color="000000" w:val="single"/>
              <w:left w:space="0" w:sz="4" w:color="000000" w:val="single"/>
              <w:bottom w:space="0" w:sz="4" w:color="000000" w:val="single"/>
              <w:right w:val="nil"/>
            </w:tcBorders>
            <w:shd w:fill="D9D9D9" w:color="auto" w:val="clear"/>
            <w:vAlign w:val="center"/>
            <w:hideMark/>
          </w:tcPr>
          <w:p w:rsidRDefault="001C58E8" w:rsidR="001C58E8">
            <w:pPr>
              <w:widowControl w:val="false"/>
              <w:suppressAutoHyphens/>
              <w:snapToGrid w:val="false"/>
              <w:rPr>
                <w:rFonts w:cs="Calibri" w:eastAsia="Lucida Sans Unicode" w:hAnsi="Calibri" w:ascii="Calibri"/>
                <w:b/>
                <w:kern w:val="2"/>
                <w:sz w:val="16"/>
                <w:szCs w:val="16"/>
                <w:lang w:bidi="hi-IN" w:eastAsia="hi-IN"/>
              </w:rPr>
            </w:pPr>
            <w:r>
              <w:rPr>
                <w:rFonts w:cs="Calibri" w:hAnsi="Calibri" w:ascii="Calibri"/>
                <w:b/>
                <w:sz w:val="16"/>
                <w:szCs w:val="16"/>
              </w:rPr>
              <w:t>NAZIV STAVKE</w:t>
            </w:r>
          </w:p>
        </w:tc>
        <w:tc>
          <w:tcPr>
            <w:tcW w:type="dxa" w:w="868"/>
            <w:tcBorders>
              <w:top w:space="0" w:sz="4" w:color="000000" w:val="single"/>
              <w:left w:space="0" w:sz="4" w:color="000000" w:val="single"/>
              <w:bottom w:space="0" w:sz="4" w:color="000000" w:val="single"/>
              <w:right w:val="nil"/>
            </w:tcBorders>
            <w:shd w:fill="D9D9D9" w:color="auto" w:val="clear"/>
            <w:vAlign w:val="center"/>
            <w:hideMark/>
          </w:tcPr>
          <w:p w:rsidRDefault="001C58E8" w:rsidR="001C58E8">
            <w:pPr>
              <w:widowControl w:val="false"/>
              <w:suppressAutoHyphens/>
              <w:snapToGrid w:val="false"/>
              <w:jc w:val="right"/>
              <w:rPr>
                <w:rFonts w:cs="Calibri" w:eastAsia="Lucida Sans Unicode" w:hAnsi="Calibri" w:ascii="Calibri"/>
                <w:b/>
                <w:kern w:val="2"/>
                <w:sz w:val="16"/>
                <w:szCs w:val="16"/>
                <w:lang w:bidi="hi-IN" w:eastAsia="hi-IN"/>
              </w:rPr>
            </w:pPr>
            <w:r>
              <w:rPr>
                <w:rFonts w:cs="Calibri" w:hAnsi="Calibri" w:ascii="Calibri"/>
                <w:b/>
                <w:sz w:val="16"/>
                <w:szCs w:val="16"/>
              </w:rPr>
              <w:t>2014.</w:t>
            </w:r>
          </w:p>
        </w:tc>
        <w:tc>
          <w:tcPr>
            <w:tcW w:type="dxa" w:w="880"/>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1C58E8" w:rsidR="001C58E8">
            <w:pPr>
              <w:widowControl w:val="false"/>
              <w:suppressAutoHyphens/>
              <w:snapToGrid w:val="false"/>
              <w:jc w:val="right"/>
              <w:rPr>
                <w:rFonts w:cs="Calibri" w:eastAsia="Lucida Sans Unicode" w:hAnsi="Calibri" w:ascii="Calibri"/>
                <w:b/>
                <w:kern w:val="2"/>
                <w:sz w:val="16"/>
                <w:szCs w:val="16"/>
                <w:lang w:bidi="hi-IN" w:eastAsia="hi-IN"/>
              </w:rPr>
            </w:pPr>
            <w:r>
              <w:rPr>
                <w:rFonts w:cs="Calibri" w:hAnsi="Calibri" w:ascii="Calibri"/>
                <w:b/>
                <w:sz w:val="16"/>
                <w:szCs w:val="16"/>
              </w:rPr>
              <w:t>2015.</w:t>
            </w:r>
          </w:p>
        </w:tc>
      </w:tr>
      <w:tr w:rsidTr="001C58E8" w:rsidR="001C58E8">
        <w:tc>
          <w:tcPr>
            <w:tcW w:type="dxa" w:w="850"/>
            <w:tcBorders>
              <w:top w:space="0" w:sz="4" w:color="000000" w:val="single"/>
              <w:left w:space="0" w:sz="4" w:color="000000" w:val="single"/>
              <w:bottom w:space="0" w:sz="4" w:color="000000" w:val="single"/>
              <w:right w:val="nil"/>
            </w:tcBorders>
            <w:vAlign w:val="center"/>
            <w:hideMark/>
          </w:tcPr>
          <w:p w:rsidRDefault="001C58E8" w:rsidR="001C58E8">
            <w:pPr>
              <w:widowControl w:val="false"/>
              <w:suppressAutoHyphens/>
              <w:snapToGrid w:val="false"/>
              <w:jc w:val="center"/>
              <w:rPr>
                <w:rFonts w:cs="Calibri" w:eastAsia="Lucida Sans Unicode" w:hAnsi="Calibri" w:ascii="Calibri"/>
                <w:kern w:val="2"/>
                <w:sz w:val="16"/>
                <w:szCs w:val="16"/>
                <w:lang w:bidi="hi-IN" w:eastAsia="hi-IN"/>
              </w:rPr>
            </w:pPr>
            <w:r>
              <w:rPr>
                <w:rFonts w:cs="Calibri" w:hAnsi="Calibri" w:ascii="Calibri"/>
                <w:sz w:val="16"/>
                <w:szCs w:val="16"/>
              </w:rPr>
              <w:t>1</w:t>
            </w:r>
          </w:p>
        </w:tc>
        <w:tc>
          <w:tcPr>
            <w:tcW w:type="dxa" w:w="4536"/>
            <w:tcBorders>
              <w:top w:space="0" w:sz="4" w:color="000000" w:val="single"/>
              <w:left w:space="0" w:sz="4" w:color="000000" w:val="single"/>
              <w:bottom w:space="0" w:sz="4" w:color="000000" w:val="single"/>
              <w:right w:val="nil"/>
            </w:tcBorders>
            <w:vAlign w:val="center"/>
            <w:hideMark/>
          </w:tcPr>
          <w:p w:rsidRDefault="001C58E8" w:rsidR="001C58E8">
            <w:pPr>
              <w:widowControl w:val="false"/>
              <w:suppressAutoHyphens/>
              <w:snapToGrid w:val="false"/>
              <w:rPr>
                <w:rFonts w:cs="Calibri" w:eastAsia="Lucida Sans Unicode" w:hAnsi="Calibri" w:ascii="Calibri"/>
                <w:kern w:val="2"/>
                <w:sz w:val="16"/>
                <w:szCs w:val="16"/>
                <w:lang w:bidi="hi-IN" w:eastAsia="hi-IN"/>
              </w:rPr>
            </w:pPr>
            <w:r>
              <w:rPr>
                <w:rFonts w:cs="Calibri" w:hAnsi="Calibri" w:ascii="Calibri"/>
                <w:sz w:val="16"/>
                <w:szCs w:val="16"/>
              </w:rPr>
              <w:t>Zalihe</w:t>
            </w:r>
          </w:p>
        </w:tc>
        <w:tc>
          <w:tcPr>
            <w:tcW w:type="dxa" w:w="868"/>
            <w:tcBorders>
              <w:top w:space="0" w:sz="4" w:color="000000" w:val="single"/>
              <w:left w:space="0" w:sz="4" w:color="000000" w:val="single"/>
              <w:bottom w:space="0" w:sz="4" w:color="000000" w:val="single"/>
              <w:right w:val="nil"/>
            </w:tcBorders>
            <w:vAlign w:val="center"/>
            <w:hideMark/>
          </w:tcPr>
          <w:p w:rsidRDefault="001C58E8" w:rsidR="001C58E8">
            <w:pPr>
              <w:widowControl w:val="false"/>
              <w:suppressAutoHyphens/>
              <w:snapToGrid w:val="false"/>
              <w:jc w:val="right"/>
              <w:rPr>
                <w:rFonts w:cs="Calibri" w:eastAsia="Lucida Sans Unicode" w:hAnsi="Calibri" w:ascii="Calibri"/>
                <w:kern w:val="2"/>
                <w:sz w:val="16"/>
                <w:szCs w:val="16"/>
                <w:lang w:bidi="hi-IN" w:eastAsia="hi-IN"/>
              </w:rPr>
            </w:pPr>
            <w:r>
              <w:rPr>
                <w:rFonts w:cs="Calibri" w:hAnsi="Calibri" w:ascii="Calibri"/>
                <w:sz w:val="16"/>
                <w:szCs w:val="16"/>
              </w:rPr>
              <w:t>9.455,00</w:t>
            </w:r>
          </w:p>
        </w:tc>
        <w:tc>
          <w:tcPr>
            <w:tcW w:type="dxa" w:w="880"/>
            <w:tcBorders>
              <w:top w:space="0" w:sz="4" w:color="000000" w:val="single"/>
              <w:left w:space="0" w:sz="4" w:color="000000" w:val="single"/>
              <w:bottom w:space="0" w:sz="4" w:color="000000" w:val="single"/>
              <w:right w:space="0" w:sz="4" w:color="000000" w:val="single"/>
            </w:tcBorders>
            <w:vAlign w:val="center"/>
            <w:hideMark/>
          </w:tcPr>
          <w:p w:rsidRDefault="001C58E8" w:rsidR="001C58E8">
            <w:pPr>
              <w:widowControl w:val="false"/>
              <w:suppressAutoHyphens/>
              <w:snapToGrid w:val="false"/>
              <w:jc w:val="right"/>
              <w:rPr>
                <w:rFonts w:cs="Calibri" w:eastAsia="Lucida Sans Unicode" w:hAnsi="Calibri" w:ascii="Calibri"/>
                <w:kern w:val="2"/>
                <w:sz w:val="16"/>
                <w:szCs w:val="16"/>
                <w:lang w:bidi="hi-IN" w:eastAsia="hi-IN"/>
              </w:rPr>
            </w:pPr>
            <w:r>
              <w:rPr>
                <w:rFonts w:cs="Calibri" w:hAnsi="Calibri" w:ascii="Calibri"/>
                <w:sz w:val="16"/>
                <w:szCs w:val="16"/>
              </w:rPr>
              <w:t>26.865,00</w:t>
            </w:r>
          </w:p>
        </w:tc>
      </w:tr>
      <w:tr w:rsidTr="001C58E8" w:rsidR="001C58E8">
        <w:tc>
          <w:tcPr>
            <w:tcW w:type="dxa" w:w="850"/>
            <w:tcBorders>
              <w:top w:space="0" w:sz="4" w:color="000000" w:val="single"/>
              <w:left w:space="0" w:sz="4" w:color="000000" w:val="single"/>
              <w:bottom w:space="0" w:sz="4" w:color="000000" w:val="single"/>
              <w:right w:val="nil"/>
            </w:tcBorders>
            <w:vAlign w:val="center"/>
            <w:hideMark/>
          </w:tcPr>
          <w:p w:rsidRDefault="001C58E8" w:rsidR="001C58E8">
            <w:pPr>
              <w:widowControl w:val="false"/>
              <w:suppressAutoHyphens/>
              <w:snapToGrid w:val="false"/>
              <w:jc w:val="center"/>
              <w:rPr>
                <w:rFonts w:cs="Calibri" w:eastAsia="Lucida Sans Unicode" w:hAnsi="Calibri" w:ascii="Calibri"/>
                <w:kern w:val="2"/>
                <w:sz w:val="16"/>
                <w:szCs w:val="16"/>
                <w:lang w:bidi="hi-IN" w:eastAsia="hi-IN"/>
              </w:rPr>
            </w:pPr>
            <w:r>
              <w:rPr>
                <w:rFonts w:cs="Calibri" w:hAnsi="Calibri" w:ascii="Calibri"/>
                <w:sz w:val="16"/>
                <w:szCs w:val="16"/>
              </w:rPr>
              <w:t>2</w:t>
            </w:r>
          </w:p>
        </w:tc>
        <w:tc>
          <w:tcPr>
            <w:tcW w:type="dxa" w:w="4536"/>
            <w:tcBorders>
              <w:top w:space="0" w:sz="4" w:color="000000" w:val="single"/>
              <w:left w:space="0" w:sz="4" w:color="000000" w:val="single"/>
              <w:bottom w:space="0" w:sz="4" w:color="000000" w:val="single"/>
              <w:right w:val="nil"/>
            </w:tcBorders>
            <w:vAlign w:val="center"/>
            <w:hideMark/>
          </w:tcPr>
          <w:p w:rsidRDefault="001C58E8" w:rsidR="001C58E8">
            <w:pPr>
              <w:widowControl w:val="false"/>
              <w:suppressAutoHyphens/>
              <w:snapToGrid w:val="false"/>
              <w:rPr>
                <w:rFonts w:cs="Calibri" w:eastAsia="Lucida Sans Unicode" w:hAnsi="Calibri" w:ascii="Calibri"/>
                <w:kern w:val="2"/>
                <w:sz w:val="16"/>
                <w:szCs w:val="16"/>
                <w:lang w:bidi="hi-IN" w:eastAsia="hi-IN"/>
              </w:rPr>
            </w:pPr>
            <w:r>
              <w:rPr>
                <w:rFonts w:cs="Calibri" w:hAnsi="Calibri" w:ascii="Calibri"/>
                <w:sz w:val="16"/>
                <w:szCs w:val="16"/>
              </w:rPr>
              <w:t>Novac u banci i blagajni</w:t>
            </w:r>
          </w:p>
        </w:tc>
        <w:tc>
          <w:tcPr>
            <w:tcW w:type="dxa" w:w="868"/>
            <w:tcBorders>
              <w:top w:space="0" w:sz="4" w:color="000000" w:val="single"/>
              <w:left w:space="0" w:sz="4" w:color="000000" w:val="single"/>
              <w:bottom w:space="0" w:sz="4" w:color="000000" w:val="single"/>
              <w:right w:val="nil"/>
            </w:tcBorders>
            <w:vAlign w:val="center"/>
            <w:hideMark/>
          </w:tcPr>
          <w:p w:rsidRDefault="001C58E8" w:rsidR="001C58E8">
            <w:pPr>
              <w:widowControl w:val="false"/>
              <w:suppressAutoHyphens/>
              <w:snapToGrid w:val="false"/>
              <w:jc w:val="right"/>
              <w:rPr>
                <w:rFonts w:cs="Calibri" w:eastAsia="Lucida Sans Unicode" w:hAnsi="Calibri" w:ascii="Calibri"/>
                <w:kern w:val="2"/>
                <w:sz w:val="16"/>
                <w:szCs w:val="16"/>
                <w:lang w:bidi="hi-IN" w:eastAsia="hi-IN"/>
              </w:rPr>
            </w:pPr>
            <w:r>
              <w:rPr>
                <w:rFonts w:cs="Calibri" w:hAnsi="Calibri" w:ascii="Calibri"/>
                <w:sz w:val="16"/>
                <w:szCs w:val="16"/>
              </w:rPr>
              <w:t>1.944,00</w:t>
            </w:r>
          </w:p>
        </w:tc>
        <w:tc>
          <w:tcPr>
            <w:tcW w:type="dxa" w:w="880"/>
            <w:tcBorders>
              <w:top w:space="0" w:sz="4" w:color="000000" w:val="single"/>
              <w:left w:space="0" w:sz="4" w:color="000000" w:val="single"/>
              <w:bottom w:space="0" w:sz="4" w:color="000000" w:val="single"/>
              <w:right w:space="0" w:sz="4" w:color="000000" w:val="single"/>
            </w:tcBorders>
            <w:vAlign w:val="center"/>
            <w:hideMark/>
          </w:tcPr>
          <w:p w:rsidRDefault="001C58E8" w:rsidR="001C58E8">
            <w:pPr>
              <w:widowControl w:val="false"/>
              <w:suppressAutoHyphens/>
              <w:snapToGrid w:val="false"/>
              <w:jc w:val="right"/>
              <w:rPr>
                <w:rFonts w:cs="Calibri" w:eastAsia="Lucida Sans Unicode" w:hAnsi="Calibri" w:ascii="Calibri"/>
                <w:kern w:val="2"/>
                <w:sz w:val="16"/>
                <w:szCs w:val="16"/>
                <w:lang w:bidi="hi-IN" w:eastAsia="hi-IN"/>
              </w:rPr>
            </w:pPr>
            <w:r>
              <w:rPr>
                <w:rFonts w:cs="Calibri" w:hAnsi="Calibri" w:ascii="Calibri"/>
                <w:sz w:val="16"/>
                <w:szCs w:val="16"/>
              </w:rPr>
              <w:t>3.797,00</w:t>
            </w:r>
          </w:p>
        </w:tc>
      </w:tr>
      <w:tr w:rsidTr="001C58E8" w:rsidR="001C58E8">
        <w:tc>
          <w:tcPr>
            <w:tcW w:type="dxa" w:w="850"/>
            <w:tcBorders>
              <w:top w:space="0" w:sz="4" w:color="000000" w:val="single"/>
              <w:left w:space="0" w:sz="4" w:color="000000" w:val="single"/>
              <w:bottom w:space="0" w:sz="4" w:color="000000" w:val="single"/>
              <w:right w:val="nil"/>
            </w:tcBorders>
            <w:vAlign w:val="center"/>
            <w:hideMark/>
          </w:tcPr>
          <w:p w:rsidRDefault="001C58E8" w:rsidR="001C58E8">
            <w:pPr>
              <w:widowControl w:val="false"/>
              <w:suppressAutoHyphens/>
              <w:snapToGrid w:val="false"/>
              <w:jc w:val="center"/>
              <w:rPr>
                <w:rFonts w:cs="Calibri" w:eastAsia="Lucida Sans Unicode" w:hAnsi="Calibri" w:ascii="Calibri"/>
                <w:kern w:val="2"/>
                <w:sz w:val="16"/>
                <w:szCs w:val="16"/>
                <w:lang w:bidi="hi-IN" w:eastAsia="hi-IN"/>
              </w:rPr>
            </w:pPr>
            <w:r>
              <w:rPr>
                <w:rFonts w:cs="Calibri" w:hAnsi="Calibri" w:ascii="Calibri"/>
                <w:sz w:val="16"/>
                <w:szCs w:val="16"/>
              </w:rPr>
              <w:t>3</w:t>
            </w:r>
          </w:p>
        </w:tc>
        <w:tc>
          <w:tcPr>
            <w:tcW w:type="dxa" w:w="4536"/>
            <w:tcBorders>
              <w:top w:space="0" w:sz="4" w:color="000000" w:val="single"/>
              <w:left w:space="0" w:sz="4" w:color="000000" w:val="single"/>
              <w:bottom w:space="0" w:sz="4" w:color="000000" w:val="single"/>
              <w:right w:val="nil"/>
            </w:tcBorders>
            <w:vAlign w:val="center"/>
            <w:hideMark/>
          </w:tcPr>
          <w:p w:rsidRDefault="001C58E8" w:rsidR="001C58E8">
            <w:pPr>
              <w:widowControl w:val="false"/>
              <w:suppressAutoHyphens/>
              <w:snapToGrid w:val="false"/>
              <w:rPr>
                <w:rFonts w:cs="Calibri" w:eastAsia="Lucida Sans Unicode" w:hAnsi="Calibri" w:ascii="Calibri"/>
                <w:kern w:val="2"/>
                <w:sz w:val="16"/>
                <w:szCs w:val="16"/>
                <w:lang w:bidi="hi-IN" w:eastAsia="hi-IN"/>
              </w:rPr>
            </w:pPr>
            <w:r>
              <w:rPr>
                <w:rFonts w:cs="Calibri" w:hAnsi="Calibri" w:ascii="Calibri"/>
                <w:sz w:val="16"/>
                <w:szCs w:val="16"/>
              </w:rPr>
              <w:t>Potraživanja od vlasnika</w:t>
            </w:r>
          </w:p>
        </w:tc>
        <w:tc>
          <w:tcPr>
            <w:tcW w:type="dxa" w:w="868"/>
            <w:tcBorders>
              <w:top w:space="0" w:sz="4" w:color="000000" w:val="single"/>
              <w:left w:space="0" w:sz="4" w:color="000000" w:val="single"/>
              <w:bottom w:space="0" w:sz="4" w:color="000000" w:val="single"/>
              <w:right w:val="nil"/>
            </w:tcBorders>
            <w:vAlign w:val="center"/>
            <w:hideMark/>
          </w:tcPr>
          <w:p w:rsidRDefault="001C58E8" w:rsidR="001C58E8">
            <w:pPr>
              <w:widowControl w:val="false"/>
              <w:suppressAutoHyphens/>
              <w:snapToGrid w:val="false"/>
              <w:jc w:val="right"/>
              <w:rPr>
                <w:rFonts w:cs="Calibri" w:eastAsia="Lucida Sans Unicode" w:hAnsi="Calibri" w:ascii="Calibri"/>
                <w:kern w:val="2"/>
                <w:sz w:val="16"/>
                <w:szCs w:val="16"/>
                <w:lang w:bidi="hi-IN" w:eastAsia="hi-IN"/>
              </w:rPr>
            </w:pPr>
            <w:r>
              <w:rPr>
                <w:rFonts w:cs="Calibri" w:hAnsi="Calibri" w:ascii="Calibri"/>
                <w:sz w:val="16"/>
                <w:szCs w:val="16"/>
              </w:rPr>
              <w:t>-</w:t>
            </w:r>
          </w:p>
        </w:tc>
        <w:tc>
          <w:tcPr>
            <w:tcW w:type="dxa" w:w="880"/>
            <w:tcBorders>
              <w:top w:space="0" w:sz="4" w:color="000000" w:val="single"/>
              <w:left w:space="0" w:sz="4" w:color="000000" w:val="single"/>
              <w:bottom w:space="0" w:sz="4" w:color="000000" w:val="single"/>
              <w:right w:space="0" w:sz="4" w:color="000000" w:val="single"/>
            </w:tcBorders>
            <w:vAlign w:val="center"/>
            <w:hideMark/>
          </w:tcPr>
          <w:p w:rsidRDefault="001C58E8" w:rsidR="001C58E8">
            <w:pPr>
              <w:widowControl w:val="false"/>
              <w:suppressAutoHyphens/>
              <w:snapToGrid w:val="false"/>
              <w:jc w:val="right"/>
              <w:rPr>
                <w:rFonts w:cs="Calibri" w:eastAsia="Lucida Sans Unicode" w:hAnsi="Calibri" w:ascii="Calibri"/>
                <w:kern w:val="2"/>
                <w:sz w:val="16"/>
                <w:szCs w:val="16"/>
                <w:lang w:bidi="hi-IN" w:eastAsia="hi-IN"/>
              </w:rPr>
            </w:pPr>
            <w:r>
              <w:rPr>
                <w:rFonts w:cs="Calibri" w:hAnsi="Calibri" w:ascii="Calibri"/>
                <w:sz w:val="16"/>
                <w:szCs w:val="16"/>
              </w:rPr>
              <w:t>41.149,00</w:t>
            </w:r>
          </w:p>
        </w:tc>
      </w:tr>
      <w:tr w:rsidTr="001C58E8" w:rsidR="001C58E8">
        <w:tc>
          <w:tcPr>
            <w:tcW w:type="dxa" w:w="5386"/>
            <w:gridSpan w:val="2"/>
            <w:tcBorders>
              <w:top w:space="0" w:sz="4" w:color="000000" w:val="single"/>
              <w:left w:space="0" w:sz="4" w:color="000000" w:val="single"/>
              <w:bottom w:space="0" w:sz="4" w:color="000000" w:val="single"/>
              <w:right w:val="nil"/>
            </w:tcBorders>
            <w:shd w:fill="D9D9D9" w:color="auto" w:val="clear"/>
            <w:vAlign w:val="center"/>
            <w:hideMark/>
          </w:tcPr>
          <w:p w:rsidRDefault="001C58E8" w:rsidR="001C58E8">
            <w:pPr>
              <w:widowControl w:val="false"/>
              <w:suppressAutoHyphens/>
              <w:snapToGrid w:val="false"/>
              <w:rPr>
                <w:rFonts w:cs="Calibri" w:eastAsia="Lucida Sans Unicode" w:hAnsi="Calibri" w:ascii="Calibri"/>
                <w:b/>
                <w:kern w:val="2"/>
                <w:sz w:val="16"/>
                <w:szCs w:val="16"/>
                <w:lang w:bidi="hi-IN" w:eastAsia="hi-IN"/>
              </w:rPr>
            </w:pPr>
            <w:r>
              <w:rPr>
                <w:rFonts w:cs="Calibri" w:hAnsi="Calibri" w:ascii="Calibri"/>
                <w:b/>
                <w:sz w:val="16"/>
                <w:szCs w:val="16"/>
              </w:rPr>
              <w:t>Ukupno (1-3)</w:t>
            </w:r>
          </w:p>
        </w:tc>
        <w:tc>
          <w:tcPr>
            <w:tcW w:type="dxa" w:w="868"/>
            <w:tcBorders>
              <w:top w:space="0" w:sz="4" w:color="000000" w:val="single"/>
              <w:left w:space="0" w:sz="4" w:color="000000" w:val="single"/>
              <w:bottom w:space="0" w:sz="4" w:color="000000" w:val="single"/>
              <w:right w:val="nil"/>
            </w:tcBorders>
            <w:shd w:fill="D9D9D9" w:color="auto" w:val="clear"/>
            <w:vAlign w:val="center"/>
            <w:hideMark/>
          </w:tcPr>
          <w:p w:rsidRDefault="001C58E8" w:rsidR="001C58E8">
            <w:pPr>
              <w:widowControl w:val="false"/>
              <w:suppressAutoHyphens/>
              <w:snapToGrid w:val="false"/>
              <w:jc w:val="right"/>
              <w:rPr>
                <w:rFonts w:cs="Calibri" w:eastAsia="Lucida Sans Unicode" w:hAnsi="Calibri" w:ascii="Calibri"/>
                <w:b/>
                <w:kern w:val="2"/>
                <w:sz w:val="16"/>
                <w:szCs w:val="16"/>
                <w:lang w:bidi="hi-IN" w:eastAsia="hi-IN"/>
              </w:rPr>
            </w:pPr>
            <w:r>
              <w:rPr>
                <w:rFonts w:cs="Calibri" w:hAnsi="Calibri" w:ascii="Calibri"/>
                <w:b/>
                <w:sz w:val="16"/>
                <w:szCs w:val="16"/>
              </w:rPr>
              <w:t>11.399,00</w:t>
            </w:r>
          </w:p>
        </w:tc>
        <w:tc>
          <w:tcPr>
            <w:tcW w:type="dxa" w:w="880"/>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1C58E8" w:rsidR="001C58E8">
            <w:pPr>
              <w:widowControl w:val="false"/>
              <w:suppressAutoHyphens/>
              <w:snapToGrid w:val="false"/>
              <w:jc w:val="right"/>
              <w:rPr>
                <w:rFonts w:cs="Calibri" w:eastAsia="Lucida Sans Unicode" w:hAnsi="Calibri" w:ascii="Calibri"/>
                <w:b/>
                <w:kern w:val="2"/>
                <w:sz w:val="16"/>
                <w:szCs w:val="16"/>
                <w:lang w:bidi="hi-IN" w:eastAsia="hi-IN"/>
              </w:rPr>
            </w:pPr>
            <w:r>
              <w:rPr>
                <w:rFonts w:cs="Calibri" w:hAnsi="Calibri" w:ascii="Calibri"/>
                <w:b/>
                <w:sz w:val="16"/>
                <w:szCs w:val="16"/>
              </w:rPr>
              <w:t>71.811,00</w:t>
            </w:r>
          </w:p>
        </w:tc>
      </w:tr>
    </w:tbl>
    <w:p w:rsidRDefault="001C58E8" w:rsidP="001C58E8" w:rsidR="001C58E8">
      <w:pPr>
        <w:rPr>
          <w:rFonts w:cs="Mangal" w:eastAsia="Lucida Sans Unicode"/>
          <w:kern w:val="2"/>
          <w:lang w:bidi="hi-IN" w:eastAsia="hi-IN"/>
        </w:rPr>
      </w:pPr>
    </w:p>
    <w:p w:rsidRDefault="001C58E8" w:rsidP="001C58E8" w:rsidR="001C58E8"/>
    <w:p w:rsidRDefault="001C58E8" w:rsidP="001C58E8" w:rsidR="001C58E8">
      <w:pPr>
        <w:jc w:val="both"/>
      </w:pPr>
    </w:p>
    <w:p w:rsidRDefault="001C58E8" w:rsidP="001C58E8" w:rsidR="001C58E8">
      <w:pPr>
        <w:jc w:val="both"/>
      </w:pPr>
      <w:r>
        <w:t>Dužnik sa 31.12.2015. godine u poslovnim knjigama nema iskazane dugoročne obveze.</w:t>
      </w:r>
    </w:p>
    <w:p w:rsidRDefault="001C58E8" w:rsidP="001C58E8" w:rsidR="001C58E8">
      <w:pPr>
        <w:jc w:val="both"/>
      </w:pPr>
    </w:p>
    <w:p w:rsidRDefault="001C58E8" w:rsidP="001C58E8" w:rsidR="001C58E8">
      <w:pPr>
        <w:jc w:val="both"/>
      </w:pPr>
      <w:r>
        <w:t>Dužnik na dan 31.12.2015. godine u poslovnim knjigama ima iskazane kratkoročne obveze u iznosu 81.976,00 kuna, a odnose se na obveze za neisplaćene bruto plaće, obveze za kratkoročnu pozajmicu te obveze prema dobavljačima.</w:t>
      </w:r>
    </w:p>
    <w:p w:rsidRDefault="001C58E8" w:rsidP="001C58E8" w:rsidR="001C58E8">
      <w:pPr>
        <w:jc w:val="both"/>
      </w:pPr>
      <w:r>
        <w:t xml:space="preserve"> </w:t>
      </w:r>
    </w:p>
    <w:p w:rsidRDefault="001C58E8" w:rsidP="001C58E8" w:rsidR="001C58E8">
      <w:pPr>
        <w:jc w:val="both"/>
      </w:pPr>
      <w:r>
        <w:t>Dugotrajna imovina Dužnika sa 31.12.2015. godine iznosila je 2.167,00 kuna, a odnosila se na poslovni inventar koji se nalazio u frizerskom salonu, da bi njegova sadašnja knjigovodstvena vrijednost iznosila znatno manje, odnosno inventar je u cijelosti otpisan.</w:t>
      </w:r>
    </w:p>
    <w:p w:rsidRDefault="001C58E8" w:rsidP="001C58E8" w:rsidR="001C58E8">
      <w:pPr>
        <w:jc w:val="both"/>
      </w:pPr>
    </w:p>
    <w:p w:rsidRDefault="001C58E8" w:rsidP="001C58E8" w:rsidR="001C58E8">
      <w:pPr>
        <w:jc w:val="both"/>
      </w:pPr>
      <w:r>
        <w:t>Kratkotrajna imovina Dužnika sa 31.12.2015. godine iznosila je 71.811,00 kuna, a odnosila se na zalihe robe u iznosu 26.865,00 kuna, novac u blagajni 3.797,00 kuna te kratkoročna pozajmica vlasniku 41.149,00 kuna.</w:t>
      </w:r>
    </w:p>
    <w:p w:rsidRDefault="001C58E8" w:rsidP="001C58E8" w:rsidR="001C58E8">
      <w:pPr>
        <w:jc w:val="both"/>
      </w:pPr>
    </w:p>
    <w:p w:rsidRDefault="001C58E8" w:rsidP="001C58E8" w:rsidR="001C58E8">
      <w:pPr>
        <w:jc w:val="both"/>
      </w:pPr>
      <w:r>
        <w:t>Iz prikupljenih dostupnih podataka vidljivo je da je dužnik nelikvidan i nesposoban za plaćanje, odnosno da postoje stečajni razlozi u odredbi čl. 4 stavak 3 i 6 Stečajnog zakona (NN 44/96, 29/99, 129/00, 123/03, 82/06, 116/10, 25/12, 133/12, 45/13) odnosno članka 5 i 6 stavak 2 Stečajnog zakona  (NN 71/15), što je vidljivo iz potvrde FINA-e od 19.07.2017. godine da je žiro račun dužnika neprekidno blokiran 247 dana, a iznos blokade je 87.147,86 kuna.</w:t>
      </w:r>
    </w:p>
    <w:p w:rsidRDefault="001C58E8" w:rsidP="001C58E8" w:rsidR="001C58E8">
      <w:pPr>
        <w:jc w:val="both"/>
      </w:pPr>
    </w:p>
    <w:p w:rsidRDefault="001C58E8" w:rsidP="001C58E8" w:rsidR="001C58E8">
      <w:pPr>
        <w:jc w:val="both"/>
      </w:pPr>
      <w:r>
        <w:t>Ukupna dugotrajna imovina Dužnika sa 31.12.2015. godine iznosila je 2.167,00 kuna, koja je danas otpisana, činile su je pokretnine tj. poslovni inventar, dok kratkotrajna imovina sa 31.12.2015. godine imala je knjigovodstvenu vrijednost 71.811,00 kuna, čije je stanje danas znatno manje s obzirom na to da nema zaliha robe, niti sredstava na žiro računu i u blagajni, niti postoji mogućnost za naplatu pozajmice od vlasnika Društva, budući joj je račun pod ovrhom.</w:t>
      </w:r>
    </w:p>
    <w:p w:rsidRDefault="001C58E8" w:rsidP="001C58E8" w:rsidR="001C58E8">
      <w:pPr>
        <w:jc w:val="both"/>
      </w:pPr>
    </w:p>
    <w:p w:rsidRDefault="001C58E8" w:rsidP="001C58E8" w:rsidR="001C58E8">
      <w:pPr>
        <w:jc w:val="both"/>
      </w:pPr>
      <w:r>
        <w:t xml:space="preserve">Dužnik ne raspolaže raspoloživom materijalnom imovinom iz koje proizlazi mogućnost namirenja troškova stečajnog postupka i u određenom dijelu vjerovnika, </w:t>
      </w:r>
      <w:r w:rsidR="00E71EB5">
        <w:t xml:space="preserve">da se </w:t>
      </w:r>
      <w:r>
        <w:t>postupi sukladno odredbi članka 132 stav 1 i 2 Stečajnog zakona da</w:t>
      </w:r>
      <w:r w:rsidR="00E71EB5">
        <w:t xml:space="preserve"> se </w:t>
      </w:r>
      <w:r>
        <w:t>pozov</w:t>
      </w:r>
      <w:r w:rsidR="00E71EB5">
        <w:t>u</w:t>
      </w:r>
      <w:r>
        <w:t xml:space="preserve"> osobe koje imaju pravni interes za provedbu stečajnog postupka da u roku od 15 dana uplate predujam od 24.110,00 kuna za namirenje troškova prethodnog i otvorenog stečajnog postupka i to kako slijedi: troškovi otvaranja i zatvaranja računa u iznosu 500,00 kuna, izrada pečata za otvaranje poslovnog računa, ovjere poreznih evidencija u iznosu 150,00 kuna, knjigovodstvene usluge u stečaju, izrada svih knjigovodstvenih i poreznih evidencija (500,00 kuna + PDV x12 mjeseci) u ukupnom iznosu 7.500,00 kuna, nagrada stečajnom upravitelju prema članku 7 Uredbe o kriterijima i načinu obračuna i plaćanja nagrade stečajnim upraviteljima u bruto iznosu 10.000,00 kuna, jednokratna nagrada privremenom stečajnom upravitelju za obavljene poslove u prethodnom postupku u bruto iznosu 4.000,00 kuna, arhiviranje dokumentacije u iznosu 1.500,00 kuna, naknada FINA -i za dvije objave GFI x 230,00 kuna u ukupnom iznosu 460,00 kuna. Ako osobe iz stav</w:t>
      </w:r>
      <w:r w:rsidR="00E71EB5">
        <w:t>k</w:t>
      </w:r>
      <w:r>
        <w:t xml:space="preserve">a 1 ovog članka ne predujme traženi iznos </w:t>
      </w:r>
      <w:r w:rsidR="00E71EB5">
        <w:t>da se donese r</w:t>
      </w:r>
      <w:r>
        <w:t xml:space="preserve">ješenje o otvaranju i zaključenju stečajnog postupka. </w:t>
      </w:r>
    </w:p>
    <w:p w:rsidRDefault="001C58E8" w:rsidP="001C58E8" w:rsidR="001C58E8">
      <w:pPr>
        <w:jc w:val="both"/>
        <w:rPr>
          <w:bCs/>
        </w:rPr>
      </w:pPr>
    </w:p>
    <w:p w:rsidRDefault="001C58E8" w:rsidP="001C58E8" w:rsidR="001C58E8">
      <w:pPr>
        <w:jc w:val="both"/>
        <w:rPr>
          <w:bCs/>
        </w:rPr>
      </w:pPr>
      <w:r>
        <w:rPr>
          <w:bCs/>
        </w:rPr>
        <w:tab/>
      </w:r>
      <w:r w:rsidR="00E71EB5">
        <w:rPr>
          <w:bCs/>
        </w:rPr>
        <w:t>Zakonska zastupnica</w:t>
      </w:r>
      <w:r>
        <w:rPr>
          <w:bCs/>
        </w:rPr>
        <w:t xml:space="preserve"> dužnika suglas</w:t>
      </w:r>
      <w:r w:rsidR="00E71EB5">
        <w:rPr>
          <w:bCs/>
        </w:rPr>
        <w:t>ila se s</w:t>
      </w:r>
      <w:r>
        <w:rPr>
          <w:bCs/>
        </w:rPr>
        <w:t xml:space="preserve"> izvješćem privremenog stečajnog upravitelja te s njegovim prijedlogom. Ujedno </w:t>
      </w:r>
      <w:r w:rsidR="00E71EB5">
        <w:rPr>
          <w:bCs/>
        </w:rPr>
        <w:t>navela je</w:t>
      </w:r>
      <w:r>
        <w:rPr>
          <w:bCs/>
        </w:rPr>
        <w:t xml:space="preserve"> da je tvrtka uredno poslovala dok </w:t>
      </w:r>
      <w:r>
        <w:rPr>
          <w:bCs/>
        </w:rPr>
        <w:lastRenderedPageBreak/>
        <w:t>nije došlo do problema u poslovanju te se nisu mogle isplaćivati plaće i podmirivati druge obveze prema vjerovnicima.</w:t>
      </w:r>
    </w:p>
    <w:p w:rsidRDefault="00326BD9" w:rsidP="00326BD9" w:rsidR="00326BD9">
      <w:pPr>
        <w:jc w:val="both"/>
        <w:rPr>
          <w:bCs/>
        </w:rPr>
      </w:pPr>
    </w:p>
    <w:p w:rsidRDefault="007D2041" w:rsidP="002106FF" w:rsidR="007D2041" w:rsidRPr="005E551C">
      <w:pPr>
        <w:ind w:firstLine="708"/>
        <w:jc w:val="both"/>
      </w:pPr>
      <w:r w:rsidRPr="005E551C">
        <w:t>Rješenjem ovoga suda broj St-</w:t>
      </w:r>
      <w:r w:rsidR="001C58E8">
        <w:t>401</w:t>
      </w:r>
      <w:r w:rsidR="00326BD9">
        <w:t xml:space="preserve">/17 od </w:t>
      </w:r>
      <w:r w:rsidR="001C58E8">
        <w:t>22. rujna</w:t>
      </w:r>
      <w:r w:rsidR="00326BD9">
        <w:t xml:space="preserve"> 2017. g.</w:t>
      </w:r>
      <w:r w:rsidRPr="005E551C">
        <w:t xml:space="preserve"> pozvane su osobe koje imaju pravni interes da se provede stečajni postupak nad dužnikom da u roku od 15 dana solidarno uplate na sudski depozit ovoga suda iznos od </w:t>
      </w:r>
      <w:r w:rsidR="00887D08">
        <w:t>24.110,00</w:t>
      </w:r>
      <w:r w:rsidRPr="005E551C">
        <w:t xml:space="preserve"> kn na ime predujma za pokriće troškova kako prethodnog tako i otvorenog stečajnog postupka.</w:t>
      </w:r>
    </w:p>
    <w:p w:rsidRDefault="007D2041" w:rsidP="002106FF" w:rsidR="007D2041" w:rsidRPr="005E551C">
      <w:pPr>
        <w:ind w:firstLine="708"/>
        <w:jc w:val="both"/>
      </w:pPr>
    </w:p>
    <w:p w:rsidRDefault="007D2041" w:rsidP="002106FF" w:rsidR="007D2041" w:rsidRPr="005E551C">
      <w:pPr>
        <w:ind w:firstLine="708"/>
        <w:jc w:val="both"/>
      </w:pPr>
      <w:r w:rsidRPr="005E551C">
        <w:t xml:space="preserve">Navedeno rješenje objavljeno je </w:t>
      </w:r>
      <w:r w:rsidR="00831D30">
        <w:t xml:space="preserve">na e-oglasnoj ploči Trgovačkog suda u Osijeku dana </w:t>
      </w:r>
      <w:r w:rsidR="001C58E8">
        <w:t>22. rujna</w:t>
      </w:r>
      <w:r w:rsidR="00887D08">
        <w:t xml:space="preserve"> 2017</w:t>
      </w:r>
      <w:r w:rsidR="00831D30">
        <w:t>. g.</w:t>
      </w:r>
    </w:p>
    <w:p w:rsidRDefault="007D2041" w:rsidP="002106FF" w:rsidR="007D2041" w:rsidRPr="005E551C">
      <w:pPr>
        <w:ind w:firstLine="708"/>
        <w:jc w:val="both"/>
      </w:pPr>
    </w:p>
    <w:p w:rsidRDefault="007D2041" w:rsidP="002106FF"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2106FF" w:rsidR="007D2041" w:rsidRPr="005E551C">
      <w:pPr>
        <w:jc w:val="both"/>
      </w:pPr>
    </w:p>
    <w:p w:rsidRDefault="007D2041" w:rsidP="00E71EB5" w:rsidR="001C58E8">
      <w:pPr>
        <w:pStyle w:val="Bezproreda"/>
        <w:ind w:firstLine="708"/>
        <w:jc w:val="both"/>
      </w:pPr>
      <w:r w:rsidRPr="00B654E2">
        <w:t xml:space="preserve">Sud je proveo uvid u priloženu dokumentaciju i to: </w:t>
      </w:r>
      <w:r w:rsidR="001C58E8">
        <w:t xml:space="preserve">Prijedlog FINE za otvaranje od 15.3.2017. g.,  povijesni izvadak iz sudskog registra za dužnika, Oglas TSO St-382/17 od 7.3.2017. g., Potvrda FINE o blokadi računa dužnika od 19.7.2017. g., stanje računa poreznog obveznika na dan 19.7.2017. g., Uvjerenje MUP PU Osječko-baranjska od 21.7.2017. g., Potvrda </w:t>
      </w:r>
      <w:proofErr w:type="spellStart"/>
      <w:r w:rsidR="001C58E8">
        <w:t>zk</w:t>
      </w:r>
      <w:proofErr w:type="spellEnd"/>
      <w:r w:rsidR="001C58E8">
        <w:t xml:space="preserve">. odjela Osijek od 21.7.2017. g., Očevidnik FINE o redoslijedu plaćanja sa obračunatom kamatom od 19.7.2017. g., </w:t>
      </w:r>
      <w:proofErr w:type="spellStart"/>
      <w:r w:rsidR="001C58E8">
        <w:t>prokazni</w:t>
      </w:r>
      <w:proofErr w:type="spellEnd"/>
      <w:r w:rsidR="001C58E8">
        <w:t xml:space="preserve"> popis imovine dužnika ovjerovljen kod javnog bilježnika Zlatko </w:t>
      </w:r>
      <w:proofErr w:type="spellStart"/>
      <w:r w:rsidR="001C58E8">
        <w:t>Šimašek</w:t>
      </w:r>
      <w:proofErr w:type="spellEnd"/>
      <w:r w:rsidR="001C58E8">
        <w:t xml:space="preserve"> iz Osijeka OV-2813/17 od 10.8.2017. g.</w:t>
      </w:r>
    </w:p>
    <w:p w:rsidRDefault="00C15A9A" w:rsidP="00E71EB5" w:rsidR="00C15A9A">
      <w:pPr>
        <w:ind w:right="-288"/>
        <w:jc w:val="both"/>
      </w:pPr>
    </w:p>
    <w:p w:rsidRDefault="007D2041" w:rsidP="00A17D15" w:rsidR="002106FF">
      <w:pPr>
        <w:pStyle w:val="Bezproreda"/>
        <w:ind w:firstLine="708"/>
        <w:jc w:val="both"/>
      </w:pPr>
      <w:r w:rsidRPr="00D9130C">
        <w:t xml:space="preserve">Slijedom navedenog a temeljem provedenog dokaznog postupka sud je utvrdio da su ispunjene pretpostavke za otvaranje stečajnog postupka nad dužnikom propisane čl. </w:t>
      </w:r>
      <w:r w:rsidR="00B654E2" w:rsidRPr="00D9130C">
        <w:t>5</w:t>
      </w:r>
      <w:r w:rsidRPr="00D9130C">
        <w:t xml:space="preserve"> Stečajnog zakona („Narodne novine“ broj </w:t>
      </w:r>
      <w:r w:rsidR="00B654E2" w:rsidRPr="00D9130C">
        <w:t xml:space="preserve">71/15 </w:t>
      </w:r>
      <w:r w:rsidRPr="00D9130C">
        <w:t xml:space="preserve">u daljnjem tekstu SZ) -  </w:t>
      </w:r>
      <w:r w:rsidR="00AB2B8B" w:rsidRPr="00D9130C">
        <w:t xml:space="preserve">nesposobnost za plaćanje </w:t>
      </w:r>
      <w:r w:rsidRPr="00D9130C">
        <w:t xml:space="preserve">te ujedno da dužnik ne posjeduje nikakvu imovinu a niti onu koja bi bila dovoljna za namirenje troškova stečajnog postupka valjalo je sukladno čl. </w:t>
      </w:r>
      <w:r w:rsidR="00831D30" w:rsidRPr="00D9130C">
        <w:t xml:space="preserve">132 </w:t>
      </w:r>
      <w:r w:rsidR="00B654E2" w:rsidRPr="00D9130C">
        <w:t xml:space="preserve">st. 2 </w:t>
      </w:r>
      <w:r w:rsidR="00831D30" w:rsidRPr="00D9130C">
        <w:t>Stečajnog zakona (NN br. 71/15)</w:t>
      </w:r>
      <w:r w:rsidR="00B654E2" w:rsidRPr="00D9130C">
        <w:t xml:space="preserve"> donijeti rješenje o otvaranju i zaključenju stečajnog postupa i</w:t>
      </w:r>
      <w:r w:rsidRPr="00D9130C">
        <w:t xml:space="preserve"> odlučiti kao u izreci.</w:t>
      </w:r>
    </w:p>
    <w:p w:rsidRDefault="002106FF" w:rsidP="002106FF" w:rsidR="002106FF" w:rsidRPr="00D9130C">
      <w:pPr>
        <w:pStyle w:val="Bezproreda"/>
        <w:ind w:firstLine="708"/>
        <w:jc w:val="both"/>
      </w:pPr>
    </w:p>
    <w:p w:rsidRDefault="00831D30" w:rsidP="007D2041" w:rsidR="00670C39">
      <w:pPr>
        <w:jc w:val="both"/>
      </w:pPr>
      <w:r>
        <w:tab/>
        <w:t xml:space="preserve">Za stečajnog upravitelja, automatskim odabirom, imenovan je </w:t>
      </w:r>
      <w:r w:rsidR="00A17D15">
        <w:t>Filip Babić iz Osijeka</w:t>
      </w:r>
      <w:r>
        <w:t xml:space="preserve"> s liste A stečajnih upravitelja za područje nadležnosti ovoga suda a sukladno čl. 84 st. 1 u vezi s čl. 85 st. 2 SZ.</w:t>
      </w:r>
    </w:p>
    <w:p w:rsidRDefault="002106FF" w:rsidP="007D2041" w:rsidR="002106FF">
      <w:pPr>
        <w:jc w:val="both"/>
      </w:pPr>
    </w:p>
    <w:p w:rsidRDefault="002106FF" w:rsidP="007D2041" w:rsidR="002106FF">
      <w:pPr>
        <w:jc w:val="both"/>
      </w:pPr>
    </w:p>
    <w:p w:rsidRDefault="00324E7F" w:rsidP="00D8612A" w:rsidR="00C41AEF">
      <w:pPr>
        <w:jc w:val="center"/>
      </w:pPr>
      <w:r w:rsidRPr="00D2596C">
        <w:t xml:space="preserve">U Osijeku </w:t>
      </w:r>
      <w:r w:rsidR="001C58E8">
        <w:t>7. studenog</w:t>
      </w:r>
      <w:r w:rsidR="00D9130C">
        <w:t xml:space="preserve"> 2017. g.</w:t>
      </w:r>
    </w:p>
    <w:p w:rsidRDefault="002106FF" w:rsidP="00F058D9" w:rsidR="002106FF">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887D08" w:rsidR="002106FF">
      <w:pPr>
        <w:ind w:hanging="5760" w:left="5760"/>
      </w:pPr>
      <w:r>
        <w:tab/>
      </w:r>
      <w:r>
        <w:tab/>
        <w:t>Nada Roso</w:t>
      </w:r>
      <w:r w:rsidR="00DF5F6A">
        <w:t xml:space="preserve">        </w:t>
      </w:r>
    </w:p>
    <w:p w:rsidRDefault="002106FF" w:rsidP="00984C3D" w:rsidR="002106FF">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rsidRPr="007C599D">
      <w:pPr>
        <w:jc w:val="both"/>
        <w:rPr>
          <w:b/>
        </w:rPr>
      </w:pPr>
    </w:p>
    <w:p w:rsidRDefault="00DF5F6A" w:rsidP="00DF5F6A" w:rsidR="00DF5F6A" w:rsidRPr="007D7E9A">
      <w:pPr>
        <w:jc w:val="both"/>
      </w:pPr>
      <w:r w:rsidRPr="007D7E9A">
        <w:t>DNA:</w:t>
      </w:r>
    </w:p>
    <w:p w:rsidRDefault="002C7A2B" w:rsidP="00887D08" w:rsidR="00887D08">
      <w:pPr>
        <w:pStyle w:val="Odlomakpopisa"/>
        <w:numPr>
          <w:ilvl w:val="0"/>
          <w:numId w:val="24"/>
        </w:numPr>
      </w:pPr>
      <w:proofErr w:type="spellStart"/>
      <w:r>
        <w:t>Ministarstvo</w:t>
      </w:r>
      <w:proofErr w:type="spellEnd"/>
      <w:r>
        <w:t xml:space="preserve"> </w:t>
      </w:r>
      <w:proofErr w:type="spellStart"/>
      <w:r>
        <w:t>pravosuđa</w:t>
      </w:r>
      <w:proofErr w:type="spellEnd"/>
      <w:r>
        <w:t xml:space="preserve"> – </w:t>
      </w:r>
      <w:proofErr w:type="spellStart"/>
      <w:r>
        <w:t>nakon</w:t>
      </w:r>
      <w:proofErr w:type="spellEnd"/>
      <w:r>
        <w:t xml:space="preserve"> </w:t>
      </w:r>
      <w:proofErr w:type="spellStart"/>
      <w:r>
        <w:t>pravomoćnosti</w:t>
      </w:r>
      <w:proofErr w:type="spellEnd"/>
    </w:p>
    <w:p w:rsidRDefault="00DF5F6A" w:rsidP="00887D08" w:rsidR="00163859">
      <w:pPr>
        <w:pStyle w:val="Odlomakpopisa"/>
        <w:numPr>
          <w:ilvl w:val="0"/>
          <w:numId w:val="24"/>
        </w:numPr>
      </w:pPr>
      <w:r w:rsidRPr="007D7E9A">
        <w:t xml:space="preserve"> </w:t>
      </w:r>
      <w:proofErr w:type="gramStart"/>
      <w:r w:rsidR="007D7E9A">
        <w:t>e-</w:t>
      </w:r>
      <w:proofErr w:type="spellStart"/>
      <w:r w:rsidRPr="007D7E9A">
        <w:t>ogl</w:t>
      </w:r>
      <w:proofErr w:type="spellEnd"/>
      <w:proofErr w:type="gramEnd"/>
      <w:r w:rsidRPr="007D7E9A">
        <w:t>. pl.</w:t>
      </w:r>
    </w:p>
    <w:p w:rsidRDefault="00163859" w:rsidP="00887D08" w:rsidR="00163859">
      <w:pPr>
        <w:pStyle w:val="Odlomakpopisa"/>
        <w:numPr>
          <w:ilvl w:val="0"/>
          <w:numId w:val="24"/>
        </w:numPr>
      </w:pPr>
      <w:r>
        <w:t xml:space="preserve"> </w:t>
      </w:r>
      <w:proofErr w:type="spellStart"/>
      <w:r>
        <w:t>Registar</w:t>
      </w:r>
      <w:proofErr w:type="spellEnd"/>
      <w:r w:rsidR="00887D08">
        <w:t xml:space="preserve"> TS Osijek</w:t>
      </w:r>
    </w:p>
    <w:p w:rsidRDefault="00163859" w:rsidP="00887D08" w:rsidR="00163859">
      <w:pPr>
        <w:pStyle w:val="Odlomakpopisa"/>
        <w:numPr>
          <w:ilvl w:val="0"/>
          <w:numId w:val="24"/>
        </w:numPr>
      </w:pPr>
      <w:proofErr w:type="spellStart"/>
      <w:proofErr w:type="gramStart"/>
      <w:r>
        <w:t>kal</w:t>
      </w:r>
      <w:proofErr w:type="spellEnd"/>
      <w:proofErr w:type="gramEnd"/>
      <w:r>
        <w:t xml:space="preserve">. </w:t>
      </w:r>
      <w:r w:rsidR="001C58E8">
        <w:t>7.12.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87D08" w:rsidP="00F058D9" w:rsidR="00887D08">
      <w:pPr>
        <w:jc w:val="both"/>
        <w:rPr>
          <w:sz w:val="20"/>
          <w:szCs w:val="20"/>
        </w:rPr>
      </w:pPr>
    </w:p>
    <w:p w:rsidRDefault="00887D08" w:rsidP="00F058D9" w:rsidR="00887D08">
      <w:pPr>
        <w:jc w:val="both"/>
        <w:rPr>
          <w:sz w:val="20"/>
          <w:szCs w:val="20"/>
        </w:rPr>
      </w:pPr>
    </w:p>
    <w:p w:rsidRDefault="00887D08" w:rsidP="00F058D9" w:rsidR="00887D08">
      <w:pPr>
        <w:jc w:val="both"/>
        <w:rPr>
          <w:sz w:val="20"/>
          <w:szCs w:val="20"/>
        </w:rPr>
      </w:pPr>
    </w:p>
    <w:p w:rsidRDefault="00887D08" w:rsidP="00F058D9" w:rsidR="00887D08">
      <w:pPr>
        <w:jc w:val="both"/>
        <w:rPr>
          <w:sz w:val="20"/>
          <w:szCs w:val="20"/>
        </w:rPr>
      </w:pPr>
    </w:p>
    <w:p w:rsidRDefault="00887D08" w:rsidP="00F058D9" w:rsidR="00887D08">
      <w:pPr>
        <w:jc w:val="both"/>
        <w:rPr>
          <w:sz w:val="20"/>
          <w:szCs w:val="20"/>
        </w:rPr>
      </w:pPr>
    </w:p>
    <w:p w:rsidRDefault="00887D08" w:rsidP="00F058D9" w:rsidR="00887D08">
      <w:pPr>
        <w:jc w:val="both"/>
        <w:rPr>
          <w:sz w:val="20"/>
          <w:szCs w:val="20"/>
        </w:rPr>
      </w:pPr>
    </w:p>
    <w:p w:rsidRDefault="007D7E9A" w:rsidP="00F058D9" w:rsidR="007D7E9A">
      <w:pPr>
        <w:jc w:val="both"/>
        <w:rPr>
          <w:sz w:val="20"/>
          <w:szCs w:val="20"/>
        </w:rPr>
      </w:pPr>
    </w:p>
    <w:p w:rsidRDefault="00984C3D" w:rsidP="009518C0"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0742" w:rsidR="00C10742">
      <w:r>
        <w:separator/>
      </w:r>
    </w:p>
  </w:endnote>
  <w:endnote w:id="0" w:type="continuationSeparator">
    <w:p w:rsidRDefault="00C10742" w:rsidR="00C107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0742" w:rsidR="00C10742">
      <w:r>
        <w:separator/>
      </w:r>
    </w:p>
  </w:footnote>
  <w:footnote w:id="0" w:type="continuationSeparator">
    <w:p w:rsidRDefault="00C10742" w:rsidR="00C107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518C0">
      <w:rPr>
        <w:rStyle w:val="Brojstranice"/>
        <w:noProof/>
      </w:rPr>
      <w:t>- 5 -</w:t>
    </w:r>
    <w:r>
      <w:rPr>
        <w:rStyle w:val="Brojstranice"/>
      </w:rPr>
      <w:fldChar w:fldCharType="end"/>
    </w:r>
  </w:p>
  <w:p w:rsidRDefault="001C58E8" w:rsidP="001C58E8" w:rsidR="001C58E8">
    <w:pPr>
      <w:jc w:val="right"/>
    </w:pPr>
    <w:r>
      <w:t>Broj: 6 St-401/17-13</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lvl>
  </w:abstractNum>
  <w:abstractNum w:abstractNumId="1">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2">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EC30FD"/>
    <w:multiLevelType w:val="hybridMultilevel"/>
    <w:tmpl w:val="137E10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84D183C"/>
    <w:multiLevelType w:val="hybridMultilevel"/>
    <w:tmpl w:val="42E012BA"/>
    <w:lvl w:tplc="E4B8F7DC"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418E3799"/>
    <w:multiLevelType w:val="hybridMultilevel"/>
    <w:tmpl w:val="C66258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0">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3">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3"/>
  </w:num>
  <w:num w:numId="3">
    <w:abstractNumId w:val="17"/>
  </w:num>
  <w:num w:numId="4">
    <w:abstractNumId w:val="10"/>
  </w:num>
  <w:num w:numId="5">
    <w:abstractNumId w:val="20"/>
  </w:num>
  <w:num w:numId="6">
    <w:abstractNumId w:val="23"/>
  </w:num>
  <w:num w:numId="7">
    <w:abstractNumId w:val="16"/>
  </w:num>
  <w:num w:numId="8">
    <w:abstractNumId w:val="19"/>
  </w:num>
  <w:num w:numId="9">
    <w:abstractNumId w:val="4"/>
  </w:num>
  <w:num w:numId="10">
    <w:abstractNumId w:val="2"/>
  </w:num>
  <w:num w:numId="11">
    <w:abstractNumId w:val="21"/>
  </w:num>
  <w:num w:numId="12">
    <w:abstractNumId w:val="6"/>
  </w:num>
  <w:num w:numId="13">
    <w:abstractNumId w:val="8"/>
  </w:num>
  <w:num w:numId="14">
    <w:abstractNumId w:val="18"/>
  </w:num>
  <w:num w:numId="15">
    <w:abstractNumId w:val="22"/>
  </w:num>
  <w:num w:numId="16">
    <w:abstractNumId w:val="1"/>
  </w:num>
  <w:num w:numId="17">
    <w:abstractNumId w:val="7"/>
  </w:num>
  <w:num w:numId="18">
    <w:abstractNumId w:val="13"/>
  </w:num>
  <w:num w:numId="19">
    <w:abstractNumId w:val="15"/>
  </w:num>
  <w:num w:numId="20">
    <w:abstractNumId w:val="5"/>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5E79"/>
    <w:rsid w:val="000472C0"/>
    <w:rsid w:val="0005033A"/>
    <w:rsid w:val="0005324C"/>
    <w:rsid w:val="000549DC"/>
    <w:rsid w:val="00054BF6"/>
    <w:rsid w:val="000569DB"/>
    <w:rsid w:val="000615E0"/>
    <w:rsid w:val="000714CD"/>
    <w:rsid w:val="00076B1B"/>
    <w:rsid w:val="00080341"/>
    <w:rsid w:val="00097EDD"/>
    <w:rsid w:val="000A0A06"/>
    <w:rsid w:val="000A36A9"/>
    <w:rsid w:val="000B0AC5"/>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A7B3C"/>
    <w:rsid w:val="001C39D1"/>
    <w:rsid w:val="001C58E8"/>
    <w:rsid w:val="001C68B7"/>
    <w:rsid w:val="001D04A7"/>
    <w:rsid w:val="001D771B"/>
    <w:rsid w:val="001F1BA6"/>
    <w:rsid w:val="001F7662"/>
    <w:rsid w:val="002106FF"/>
    <w:rsid w:val="00240917"/>
    <w:rsid w:val="00243617"/>
    <w:rsid w:val="002526D3"/>
    <w:rsid w:val="00271876"/>
    <w:rsid w:val="00271F61"/>
    <w:rsid w:val="002743AC"/>
    <w:rsid w:val="002859AC"/>
    <w:rsid w:val="002B215E"/>
    <w:rsid w:val="002B7A2F"/>
    <w:rsid w:val="002C25B5"/>
    <w:rsid w:val="002C5B24"/>
    <w:rsid w:val="002C7A2B"/>
    <w:rsid w:val="002D7A99"/>
    <w:rsid w:val="002E06A8"/>
    <w:rsid w:val="002E2CA7"/>
    <w:rsid w:val="002F1901"/>
    <w:rsid w:val="003136DB"/>
    <w:rsid w:val="00324E7F"/>
    <w:rsid w:val="00326BD9"/>
    <w:rsid w:val="003360FB"/>
    <w:rsid w:val="00336B94"/>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75E77"/>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38B0"/>
    <w:rsid w:val="00631AD2"/>
    <w:rsid w:val="00631B6D"/>
    <w:rsid w:val="00633ABB"/>
    <w:rsid w:val="006451E7"/>
    <w:rsid w:val="00665935"/>
    <w:rsid w:val="0066649B"/>
    <w:rsid w:val="00670C39"/>
    <w:rsid w:val="00672FCA"/>
    <w:rsid w:val="006810E9"/>
    <w:rsid w:val="0068151D"/>
    <w:rsid w:val="006A3974"/>
    <w:rsid w:val="006A3F79"/>
    <w:rsid w:val="006A6E09"/>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5758"/>
    <w:rsid w:val="007F6CE4"/>
    <w:rsid w:val="00801141"/>
    <w:rsid w:val="00816867"/>
    <w:rsid w:val="00820082"/>
    <w:rsid w:val="0082151F"/>
    <w:rsid w:val="00831D30"/>
    <w:rsid w:val="00834690"/>
    <w:rsid w:val="00837349"/>
    <w:rsid w:val="008444F3"/>
    <w:rsid w:val="008527DE"/>
    <w:rsid w:val="0085332E"/>
    <w:rsid w:val="00887D08"/>
    <w:rsid w:val="008F4139"/>
    <w:rsid w:val="00910E67"/>
    <w:rsid w:val="009149BB"/>
    <w:rsid w:val="00916F61"/>
    <w:rsid w:val="0092156A"/>
    <w:rsid w:val="00930DC2"/>
    <w:rsid w:val="00934AD2"/>
    <w:rsid w:val="00936CFF"/>
    <w:rsid w:val="009518C0"/>
    <w:rsid w:val="0096085B"/>
    <w:rsid w:val="009703E4"/>
    <w:rsid w:val="00970C9E"/>
    <w:rsid w:val="00984C3D"/>
    <w:rsid w:val="00985A43"/>
    <w:rsid w:val="009A4342"/>
    <w:rsid w:val="009C32E6"/>
    <w:rsid w:val="00A17D15"/>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D0C63"/>
    <w:rsid w:val="00BD5E44"/>
    <w:rsid w:val="00BF27D4"/>
    <w:rsid w:val="00BF30CF"/>
    <w:rsid w:val="00BF63E8"/>
    <w:rsid w:val="00C032AD"/>
    <w:rsid w:val="00C10742"/>
    <w:rsid w:val="00C1549A"/>
    <w:rsid w:val="00C15A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CD6160"/>
    <w:rsid w:val="00D032F3"/>
    <w:rsid w:val="00D04D17"/>
    <w:rsid w:val="00D2596C"/>
    <w:rsid w:val="00D31877"/>
    <w:rsid w:val="00D458C8"/>
    <w:rsid w:val="00D5134B"/>
    <w:rsid w:val="00D54CA6"/>
    <w:rsid w:val="00D56EA7"/>
    <w:rsid w:val="00D73E4D"/>
    <w:rsid w:val="00D8612A"/>
    <w:rsid w:val="00D9130C"/>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5241A"/>
    <w:rsid w:val="00E60E30"/>
    <w:rsid w:val="00E6574D"/>
    <w:rsid w:val="00E71EB5"/>
    <w:rsid w:val="00E91D99"/>
    <w:rsid w:val="00E93865"/>
    <w:rsid w:val="00E95409"/>
    <w:rsid w:val="00EA4040"/>
    <w:rsid w:val="00EB066B"/>
    <w:rsid w:val="00ED72C6"/>
    <w:rsid w:val="00EE1979"/>
    <w:rsid w:val="00EE283C"/>
    <w:rsid w:val="00EE60C5"/>
    <w:rsid w:val="00EF29B1"/>
    <w:rsid w:val="00EF330B"/>
    <w:rsid w:val="00F00605"/>
    <w:rsid w:val="00F01EE1"/>
    <w:rsid w:val="00F058D9"/>
    <w:rsid w:val="00F11DAD"/>
    <w:rsid w:val="00F15FF5"/>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Tijeloteksta21" w:type="paragraph">
    <w:name w:val="Tijelo teksta 21"/>
    <w:basedOn w:val="Normal"/>
    <w:rsid w:val="00C15A9A"/>
    <w:pPr>
      <w:suppressAutoHyphens/>
      <w:spacing w:lineRule="atLeast" w:line="100"/>
    </w:pPr>
    <w:rPr>
      <w:rFonts w:eastAsia="Lucida Sans Unicode"/>
      <w:kern w:val="1"/>
      <w:sz w:val="22"/>
      <w:lang w:eastAsia="ar-SA"/>
    </w:rPr>
  </w:style>
  <w:style w:customStyle="true" w:styleId="Sadrajitablice" w:type="paragraph">
    <w:name w:val="Sadržaji tablice"/>
    <w:basedOn w:val="Normal"/>
    <w:rsid w:val="00D9130C"/>
    <w:pPr>
      <w:widowControl w:val="false"/>
      <w:suppressLineNumbers/>
      <w:suppressAutoHyphens/>
    </w:pPr>
    <w:rPr>
      <w:rFonts w:eastAsia="Lucida Sans Unicode"/>
      <w:kern w:val="2"/>
      <w:sz w:val="22"/>
    </w:rPr>
  </w:style>
  <w:style w:styleId="Tekstrezerviranogmjesta" w:type="character">
    <w:name w:val="Placeholder Text"/>
    <w:basedOn w:val="Zadanifontodlomka"/>
    <w:uiPriority w:val="99"/>
    <w:semiHidden/>
    <w:rsid w:val="009518C0"/>
    <w:rPr>
      <w:color w:val="808080"/>
      <w:bdr w:space="0" w:sz="0" w:color="auto" w:val="none"/>
      <w:shd w:fill="CCFFFF" w:color="auto" w:val="clear"/>
    </w:rPr>
  </w:style>
  <w:style w:customStyle="true" w:styleId="eSPISCCParagraphDefaultFont" w:type="character">
    <w:name w:val="eSPIS_CC_Paragraph Default Font"/>
    <w:basedOn w:val="Zadanifontodlomka"/>
    <w:rsid w:val="009518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18C0"/>
    <w:rPr>
      <w:bdr w:space="0" w:sz="0" w:color="auto" w:val="none"/>
      <w:shd w:fill="FFFFCC" w:color="auto" w:val="clear"/>
      <w:lang w:val="hr-HR"/>
    </w:rPr>
  </w:style>
  <w:style w:customStyle="true" w:styleId="PozadinaSvijetloCrvena" w:type="character">
    <w:name w:val="Pozadina_SvijetloCrvena"/>
    <w:basedOn w:val="eSPISCCParagraphDefaultFont"/>
    <w:rsid w:val="009518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18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Tijeloteksta21" w:type="paragraph">
    <w:name w:val="Tijelo teksta 21"/>
    <w:basedOn w:val="Normal"/>
    <w:rsid w:val="00C15A9A"/>
    <w:pPr>
      <w:suppressAutoHyphens/>
      <w:spacing w:line="100" w:lineRule="atLeast"/>
    </w:pPr>
    <w:rPr>
      <w:rFonts w:eastAsia="Lucida Sans Unicode"/>
      <w:kern w:val="1"/>
      <w:sz w:val="22"/>
      <w:lang w:eastAsia="ar-SA"/>
    </w:rPr>
  </w:style>
  <w:style w:customStyle="1" w:styleId="Sadrajitablice" w:type="paragraph">
    <w:name w:val="Sadržaji tablice"/>
    <w:basedOn w:val="Normal"/>
    <w:rsid w:val="00D9130C"/>
    <w:pPr>
      <w:widowControl w:val="0"/>
      <w:suppressLineNumbers/>
      <w:suppressAutoHyphens/>
    </w:pPr>
    <w:rPr>
      <w:rFonts w:eastAsia="Lucida Sans Unicode"/>
      <w:kern w:val="2"/>
      <w:sz w:val="22"/>
    </w:rPr>
  </w:style>
  <w:style w:styleId="Tekstrezerviranogmjesta" w:type="character">
    <w:name w:val="Placeholder Text"/>
    <w:basedOn w:val="Zadanifontodlomka"/>
    <w:uiPriority w:val="99"/>
    <w:semiHidden/>
    <w:rsid w:val="009518C0"/>
    <w:rPr>
      <w:color w:val="808080"/>
      <w:bdr w:color="auto" w:space="0" w:sz="0" w:val="none"/>
      <w:shd w:color="auto" w:fill="CCFFFF" w:val="clear"/>
    </w:rPr>
  </w:style>
  <w:style w:customStyle="1" w:styleId="eSPISCCParagraphDefaultFont" w:type="character">
    <w:name w:val="eSPIS_CC_Paragraph Default Font"/>
    <w:basedOn w:val="Zadanifontodlomka"/>
    <w:rsid w:val="009518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18C0"/>
    <w:rPr>
      <w:bdr w:color="auto" w:space="0" w:sz="0" w:val="none"/>
      <w:shd w:color="auto" w:fill="FFFFCC" w:val="clear"/>
      <w:lang w:val="hr-HR"/>
    </w:rPr>
  </w:style>
  <w:style w:customStyle="1" w:styleId="PozadinaSvijetloCrvena" w:type="character">
    <w:name w:val="Pozadina_SvijetloCrvena"/>
    <w:basedOn w:val="eSPISCCParagraphDefaultFont"/>
    <w:rsid w:val="009518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18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505183">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430393306">
      <w:bodyDiv w:val="true"/>
      <w:marLeft w:val="0"/>
      <w:marRight w:val="0"/>
      <w:marTop w:val="0"/>
      <w:marBottom w:val="0"/>
      <w:divBdr>
        <w:top w:space="0" w:sz="0" w:color="auto" w:val="none"/>
        <w:left w:space="0" w:sz="0" w:color="auto" w:val="none"/>
        <w:bottom w:space="0" w:sz="0" w:color="auto" w:val="none"/>
        <w:right w:space="0" w:sz="0" w:color="auto" w:val="none"/>
      </w:divBdr>
    </w:div>
    <w:div w:id="452939733">
      <w:bodyDiv w:val="true"/>
      <w:marLeft w:val="0"/>
      <w:marRight w:val="0"/>
      <w:marTop w:val="0"/>
      <w:marBottom w:val="0"/>
      <w:divBdr>
        <w:top w:space="0" w:sz="0" w:color="auto" w:val="none"/>
        <w:left w:space="0" w:sz="0" w:color="auto" w:val="none"/>
        <w:bottom w:space="0" w:sz="0" w:color="auto" w:val="none"/>
        <w:right w:space="0" w:sz="0" w:color="auto" w:val="none"/>
      </w:divBdr>
    </w:div>
    <w:div w:id="638070269">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079903595">
      <w:bodyDiv w:val="true"/>
      <w:marLeft w:val="0"/>
      <w:marRight w:val="0"/>
      <w:marTop w:val="0"/>
      <w:marBottom w:val="0"/>
      <w:divBdr>
        <w:top w:space="0" w:sz="0" w:color="auto" w:val="none"/>
        <w:left w:space="0" w:sz="0" w:color="auto" w:val="none"/>
        <w:bottom w:space="0" w:sz="0" w:color="auto" w:val="none"/>
        <w:right w:space="0" w:sz="0" w:color="auto" w:val="none"/>
      </w:divBdr>
    </w:div>
    <w:div w:id="148350317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izvorni_sadrzaj>
    <derivirana_varijabla naziv="DomainObject.Predmet.Broj_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St-401/2017</izvorni_sadrzaj>
    <derivirana_varijabla naziv="DomainObject.Predmet.OznakaBroj_1">St-401/2017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MARIJA MIŠINEC jednostavno društvo s ograničenom odgovornošću za frizerske usluge</izvorni_sadrzaj>
    <derivirana_varijabla naziv="DomainObject.Predmet.ProtustrankaFormated_1">  MARIJA MIŠINEC jednostavno društvo s ograničenom odgovornošću za frizerske usluge</derivirana_varijabla>
  </DomainObject.Predmet.ProtustrankaFormated>
  <DomainObject.Predmet.ProtustrankaFormatedOIB>
    <izvorni_sadrzaj>  MARIJA MIŠINEC jednostavno društvo s ograničenom odgovornošću za frizerske usluge, OIB 31990769159</izvorni_sadrzaj>
    <derivirana_varijabla naziv="DomainObject.Predmet.ProtustrankaFormatedOIB_1">  MARIJA MIŠINEC jednostavno društvo s ograničenom odgovornošću za frizerske usluge, OIB 31990769159</derivirana_varijabla>
  </DomainObject.Predmet.ProtustrankaFormatedOIB>
  <DomainObject.Predmet.ProtustrankaFormatedWithAdress>
    <izvorni_sadrzaj> MARIJA MIŠINEC jednostavno društvo s ograničenom odgovornošću za frizerske usluge, Bosutska 6, 31000 Osijek</izvorni_sadrzaj>
    <derivirana_varijabla naziv="DomainObject.Predmet.ProtustrankaFormatedWithAdress_1"> MARIJA MIŠINEC jednostavno društvo s ograničenom odgovornošću za frizerske usluge, Bosutska 6, 31000 Osijek</derivirana_varijabla>
  </DomainObject.Predmet.ProtustrankaFormatedWithAdress>
  <DomainObject.Predmet.ProtustrankaFormatedWithAdressOIB>
    <izvorni_sadrzaj> MARIJA MIŠINEC jednostavno društvo s ograničenom odgovornošću za frizerske usluge, OIB 31990769159, Bosutska 6, 31000 Osijek</izvorni_sadrzaj>
    <derivirana_varijabla naziv="DomainObject.Predmet.ProtustrankaFormatedWithAdressOIB_1"> MARIJA MIŠINEC jednostavno društvo s ograničenom odgovornošću za frizerske usluge, OIB 31990769159, Bosutska 6, 31000 Osijek</derivirana_varijabla>
  </DomainObject.Predmet.ProtustrankaFormatedWithAdressOIB>
  <DomainObject.Predmet.ProtustrankaWithAdress>
    <izvorni_sadrzaj>MARIJA MIŠINEC jednostavno društvo s ograničenom odgovornošću za frizerske usluge Bosutska 6, 31000 Osijek</izvorni_sadrzaj>
    <derivirana_varijabla naziv="DomainObject.Predmet.ProtustrankaWithAdress_1">MARIJA MIŠINEC jednostavno društvo s ograničenom odgovornošću za frizerske usluge Bosutska 6, 31000 Osijek</derivirana_varijabla>
  </DomainObject.Predmet.ProtustrankaWithAdress>
  <DomainObject.Predmet.ProtustrankaWithAdressOIB>
    <izvorni_sadrzaj>MARIJA MIŠINEC jednostavno društvo s ograničenom odgovornošću za frizerske usluge, OIB 31990769159, Bosutska 6, 31000 Osijek</izvorni_sadrzaj>
    <derivirana_varijabla naziv="DomainObject.Predmet.ProtustrankaWithAdressOIB_1">MARIJA MIŠINEC jednostavno društvo s ograničenom odgovornošću za frizerske usluge, OIB 31990769159, Bosutska 6, 31000 Osijek</derivirana_varijabla>
  </DomainObject.Predmet.ProtustrankaWithAdressOIB>
  <DomainObject.Predmet.ProtustrankaNazivFormated>
    <izvorni_sadrzaj>MARIJA MIŠINEC jednostavno društvo s ograničenom odgovornošću za frizerske usluge</izvorni_sadrzaj>
    <derivirana_varijabla naziv="DomainObject.Predmet.ProtustrankaNazivFormated_1">MARIJA MIŠINEC jednostavno društvo s ograničenom odgovornošću za frizerske usluge</derivirana_varijabla>
  </DomainObject.Predmet.ProtustrankaNazivFormated>
  <DomainObject.Predmet.ProtustrankaNazivFormatedOIB>
    <izvorni_sadrzaj>MARIJA MIŠINEC jednostavno društvo s ograničenom odgovornošću za frizerske usluge, OIB 31990769159</izvorni_sadrzaj>
    <derivirana_varijabla naziv="DomainObject.Predmet.ProtustrankaNazivFormatedOIB_1">MARIJA MIŠINEC jednostavno društvo s ograničenom odgovornošću za frizerske usluge, OIB 31990769159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MARIJA MIŠINEC jednostavno društvo s ograničenom odgovornošću za frizerske usluge</item>
    </izvorni_sadrzaj>
    <derivirana_varijabla naziv="DomainObject.Predmet.ProtuStrankaListFormated_1">
      <item>MARIJA MIŠINEC jednostavno društvo s ograničenom odgovornošću za frizerske usluge</item>
    </derivirana_varijabla>
  </DomainObject.Predmet.ProtuStrankaListFormated>
  <DomainObject.Predmet.ProtuStrankaListFormatedOIB>
    <izvorni_sadrzaj>
      <item>MARIJA MIŠINEC jednostavno društvo s ograničenom odgovornošću za frizerske usluge, OIB 31990769159</item>
    </izvorni_sadrzaj>
    <derivirana_varijabla naziv="DomainObject.Predmet.ProtuStrankaListFormatedOIB_1">
      <item>MARIJA MIŠINEC jednostavno društvo s ograničenom odgovornošću za frizerske usluge, OIB 31990769159</item>
    </derivirana_varijabla>
  </DomainObject.Predmet.ProtuStrankaListFormatedOIB>
  <DomainObject.Predmet.ProtuStrankaListFormatedWithAdress>
    <izvorni_sadrzaj>
      <item>MARIJA MIŠINEC jednostavno društvo s ograničenom odgovornošću za frizerske usluge, Bosutska 6, 31000 Osijek</item>
    </izvorni_sadrzaj>
    <derivirana_varijabla naziv="DomainObject.Predmet.ProtuStrankaListFormatedWithAdress_1">
      <item>MARIJA MIŠINEC jednostavno društvo s ograničenom odgovornošću za frizerske usluge, Bosutska 6, 31000 Osijek</item>
    </derivirana_varijabla>
  </DomainObject.Predmet.ProtuStrankaListFormatedWithAdress>
  <DomainObject.Predmet.ProtuStrankaListFormatedWithAdressOIB>
    <izvorni_sadrzaj>
      <item>MARIJA MIŠINEC jednostavno društvo s ograničenom odgovornošću za frizerske usluge, OIB 31990769159, Bosutska 6, 31000 Osijek</item>
    </izvorni_sadrzaj>
    <derivirana_varijabla naziv="DomainObject.Predmet.ProtuStrankaListFormatedWithAdressOIB_1">
      <item>MARIJA MIŠINEC jednostavno društvo s ograničenom odgovornošću za frizerske usluge, OIB 31990769159, Bosutska 6, 31000 Osijek</item>
    </derivirana_varijabla>
  </DomainObject.Predmet.ProtuStrankaListFormatedWithAdressOIB>
  <DomainObject.Predmet.ProtuStrankaListNazivFormated>
    <izvorni_sadrzaj>
      <item>MARIJA MIŠINEC jednostavno društvo s ograničenom odgovornošću za frizerske usluge</item>
    </izvorni_sadrzaj>
    <derivirana_varijabla naziv="DomainObject.Predmet.ProtuStrankaListNazivFormated_1">
      <item>MARIJA MIŠINEC jednostavno društvo s ograničenom odgovornošću za frizerske usluge</item>
    </derivirana_varijabla>
  </DomainObject.Predmet.ProtuStrankaListNazivFormated>
  <DomainObject.Predmet.ProtuStrankaListNazivFormatedOIB>
    <izvorni_sadrzaj>
      <item>MARIJA MIŠINEC jednostavno društvo s ograničenom odgovornošću za frizerske usluge, OIB 31990769159</item>
    </izvorni_sadrzaj>
    <derivirana_varijabla naziv="DomainObject.Predmet.ProtuStrankaListNazivFormatedOIB_1">
      <item>MARIJA MIŠINEC jednostavno društvo s ograničenom odgovornošću za frizerske usluge, OIB 31990769159</item>
    </derivirana_varijabla>
  </DomainObject.Predmet.ProtuStrankaListNazivFormatedOIB>
  <DomainObject.Predmet.OstaliListFormated>
    <izvorni_sadrzaj>
      <item>Marija Mišinec</item>
    </izvorni_sadrzaj>
    <derivirana_varijabla naziv="DomainObject.Predmet.OstaliListFormated_1">
      <item>Marija Mišinec</item>
    </derivirana_varijabla>
  </DomainObject.Predmet.OstaliListFormated>
  <DomainObject.Predmet.OstaliListFormatedOIB>
    <izvorni_sadrzaj>
      <item>Marija Mišinec, OIB 14135684324</item>
    </izvorni_sadrzaj>
    <derivirana_varijabla naziv="DomainObject.Predmet.OstaliListFormatedOIB_1">
      <item>Marija Mišinec, OIB 14135684324</item>
    </derivirana_varijabla>
  </DomainObject.Predmet.OstaliListFormatedOIB>
  <DomainObject.Predmet.OstaliListFormatedWithAdress>
    <izvorni_sadrzaj>
      <item>Marija Mišinec, Usorska 42, 31000 Brijest</item>
    </izvorni_sadrzaj>
    <derivirana_varijabla naziv="DomainObject.Predmet.OstaliListFormatedWithAdress_1">
      <item>Marija Mišinec, Usorska 42, 31000 Brijest</item>
    </derivirana_varijabla>
  </DomainObject.Predmet.OstaliListFormatedWithAdress>
  <DomainObject.Predmet.OstaliListFormatedWithAdressOIB>
    <izvorni_sadrzaj>
      <item>Marija Mišinec, OIB 14135684324, Usorska 42, 31000 Brijest</item>
    </izvorni_sadrzaj>
    <derivirana_varijabla naziv="DomainObject.Predmet.OstaliListFormatedWithAdressOIB_1">
      <item>Marija Mišinec, OIB 14135684324, Usorska 42, 31000 Brijest</item>
    </derivirana_varijabla>
  </DomainObject.Predmet.OstaliListFormatedWithAdressOIB>
  <DomainObject.Predmet.OstaliListNazivFormated>
    <izvorni_sadrzaj>
      <item>Marija Mišinec</item>
    </izvorni_sadrzaj>
    <derivirana_varijabla naziv="DomainObject.Predmet.OstaliListNazivFormated_1">
      <item>Marija Mišinec</item>
    </derivirana_varijabla>
  </DomainObject.Predmet.OstaliListNazivFormated>
  <DomainObject.Predmet.OstaliListNazivFormatedOIB>
    <izvorni_sadrzaj>
      <item>Marija Mišinec, OIB 14135684324</item>
    </izvorni_sadrzaj>
    <derivirana_varijabla naziv="DomainObject.Predmet.OstaliListNazivFormatedOIB_1">
      <item>Marija Mišinec, OIB 14135684324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MARIJA MIŠINEC jednostavno društvo s ograničenom odgovornošću za frizerske usluge</izvorni_sadrzaj>
    <derivirana_varijabla naziv="DomainObject.Predmet.ProtustrankaIDrugi_1">MARIJA MIŠINEC jednostavno društvo s ograničenom odgovornošću za frizerske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MARIJA MIŠINEC jednostavno društvo s ograničenom odgovornošću za frizerske usluge, OIB 31990769159, Bosutska 6, 31000 Osijek</izvorni_sadrzaj>
    <derivirana_varijabla naziv="DomainObject.Predmet.ProtustrankaIDrugiAdressOIB_1">MARIJA MIŠINEC jednostavno društvo s ograničenom odgovornošću za frizerske usluge, OIB 31990769159, Bosutska 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MARIJA MIŠINEC jednostavno društvo s ograničenom odgovornošću za frizerske usluge</item>
      <item>Marija Mišinec</item>
    </izvorni_sadrzaj>
    <derivirana_varijabla naziv="DomainObject.Predmet.SudioniciListNaziv_1">
      <item>FINA RC OSIJEK</item>
      <item>MARIJA MIŠINEC jednostavno društvo s ograničenom odgovornošću za frizerske usluge</item>
      <item>Marija Mišinec</item>
    </derivirana_varijabla>
  </DomainObject.Predmet.SudioniciListNaziv>
  <DomainObject.Predmet.SudioniciListAdressOIB>
    <izvorni_sadrzaj>
      <item>FINA RC OSIJEK, OIB 85821130368</item>
      <item>MARIJA MIŠINEC jednostavno društvo s ograničenom odgovornošću za frizerske usluge, OIB 31990769159, Bosutska 6,31000 Osijek</item>
      <item>Marija Mišinec, OIB 14135684324, Usorska 42,31000 Brijest</item>
    </izvorni_sadrzaj>
    <derivirana_varijabla naziv="DomainObject.Predmet.SudioniciListAdressOIB_1">
      <item>FINA RC OSIJEK, OIB 85821130368</item>
      <item>MARIJA MIŠINEC jednostavno društvo s ograničenom odgovornošću za frizerske usluge, OIB 31990769159, Bosutska 6,31000 Osijek</item>
      <item>Marija Mišinec, OIB 14135684324, Usorska 42,31000 Brijest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31990769159</item>
      <item>, OIB 14135684324</item>
    </izvorni_sadrzaj>
    <derivirana_varijabla naziv="DomainObject.Predmet.SudioniciListNazivOIB_1">
      <item>, OIB 85821130368</item>
      <item>, OIB 31990769159</item>
      <item>, OIB 14135684324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892447-1D82-45BC-8028-61F0A3370A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1692</properties:Words>
  <properties:Characters>9306</properties:Characters>
  <properties:Lines>395</properties:Lines>
  <properties:Paragraphs>205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11057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2017-11-07T10:32:00Z</dcterms:created>
  <dc:creator>dsekulic</dc:creator>
  <cp:lastModifiedBy>Danijela Sekulić</cp:lastModifiedBy>
  <cp:lastPrinted>2017-11-07T11:37:00Z</cp:lastPrinted>
  <dcterms:modified xmlns:xsi="http://www.w3.org/2001/XMLSchema-instance" xsi:type="dcterms:W3CDTF">2017-11-07T11:38:00Z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7</vt:i4>
  </prop:property>
</prop:Properties>
</file>