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f8e5" w14:paraId="4b3f8e5" w:rsidRDefault="008E64C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E64CD" w:rsidP="008E64CD" w:rsidR="008E64CD">
      <w:pPr>
        <w:pStyle w:val="Bezproreda"/>
      </w:pPr>
    </w:p>
    <w:p w:rsidRDefault="008E64CD" w:rsidP="008E64CD" w:rsidR="008E64CD">
      <w:pPr>
        <w:pStyle w:val="Bezproreda"/>
      </w:pPr>
    </w:p>
    <w:p w:rsidRDefault="008E64CD" w:rsidP="008E64CD" w:rsidR="00AE649C">
      <w:pPr>
        <w:pStyle w:val="Bezproreda"/>
      </w:pPr>
      <w:r>
        <w:t xml:space="preserve">    Republika Hrvatska</w:t>
      </w:r>
    </w:p>
    <w:p w:rsidRDefault="008E64CD" w:rsidP="008E64CD" w:rsidR="008E64CD">
      <w:pPr>
        <w:pStyle w:val="Bezproreda"/>
      </w:pPr>
      <w:r>
        <w:t>Trgovački sud u Bjelovaru</w:t>
      </w:r>
    </w:p>
    <w:p w:rsidRDefault="008E64CD" w:rsidP="008E64CD" w:rsidR="008E64CD">
      <w:pPr>
        <w:pStyle w:val="Bezproreda"/>
      </w:pPr>
      <w:r>
        <w:t>Bjelovar, Dr. I. Lebovića 42.</w:t>
      </w:r>
    </w:p>
    <w:p w:rsidRDefault="008E64CD" w:rsidP="008E64CD" w:rsidR="008E64CD">
      <w:pPr>
        <w:pStyle w:val="Bezproreda"/>
      </w:pPr>
    </w:p>
    <w:p w:rsidRDefault="008E64CD" w:rsidP="008E64CD" w:rsidR="008E64CD">
      <w:pPr>
        <w:pStyle w:val="Bezproreda"/>
        <w:ind w:left="4956"/>
      </w:pPr>
      <w:r>
        <w:t xml:space="preserve">    Poslovni broj:  1 St-322/2018-12</w:t>
      </w:r>
    </w:p>
    <w:p w:rsidRDefault="008E64CD" w:rsidP="008E64CD" w:rsidR="008E64CD">
      <w:pPr>
        <w:pStyle w:val="Bezproreda"/>
        <w:rPr>
          <w:b/>
        </w:rPr>
      </w:pPr>
    </w:p>
    <w:p w:rsidRDefault="008E64CD" w:rsidP="008E64CD" w:rsidR="008E64CD">
      <w:pPr>
        <w:pStyle w:val="Bezproreda"/>
        <w:rPr>
          <w:b/>
        </w:rPr>
      </w:pPr>
    </w:p>
    <w:p w:rsidRDefault="008E64CD" w:rsidP="008E64CD" w:rsidR="008E64CD">
      <w:pPr>
        <w:jc w:val="center"/>
      </w:pPr>
      <w:r>
        <w:t>U   I M E    R E P U B L I K E    H R V A T S K E</w:t>
      </w:r>
    </w:p>
    <w:p w:rsidRDefault="008E64CD" w:rsidP="008E64CD" w:rsidR="008E64CD">
      <w:pPr>
        <w:jc w:val="center"/>
      </w:pPr>
      <w:r>
        <w:t>R J E Š E N J E</w:t>
      </w:r>
    </w:p>
    <w:p w:rsidRDefault="008E64CD" w:rsidP="008E64CD" w:rsidR="008E64CD">
      <w:pPr>
        <w:jc w:val="center"/>
      </w:pPr>
      <w:r>
        <w:t xml:space="preserve"> </w:t>
      </w:r>
    </w:p>
    <w:p w:rsidRDefault="008E64CD" w:rsidP="008E64CD" w:rsidR="008E64CD" w:rsidRPr="008E64CD">
      <w:pPr>
        <w:ind w:firstLine="708"/>
        <w:jc w:val="both"/>
      </w:pPr>
      <w:r>
        <w:t>Trgovački sud u Bjelovaru, OIB: 07942269267, po  sucu Branki Pleskalt, u stečajnom postupku nad dužnikom glagolITico d.o.o. za računalne djelatnosti i savjetovanje Zagreb, Ilica 336, OIB: 94217071199,</w:t>
      </w:r>
      <w:r>
        <w:rPr>
          <w:rFonts w:cs="Times New Roman" w:eastAsia="Times New Roman"/>
          <w:lang w:eastAsia="hr-HR"/>
        </w:rPr>
        <w:t xml:space="preserve"> odlučujući o dužnikovoj žalbi protiv rješenja ovog suda poslovni broj  1 St-322/2018-7 od </w:t>
      </w:r>
      <w:r>
        <w:t xml:space="preserve"> 6. srpnja  2018., 23. srpnja 2018. </w:t>
      </w:r>
    </w:p>
    <w:p w:rsidRDefault="008E64CD" w:rsidP="008E64CD" w:rsidR="008E64CD">
      <w:pPr>
        <w:overflowPunct w:val="false"/>
        <w:autoSpaceDE w:val="false"/>
        <w:autoSpaceDN w:val="false"/>
        <w:adjustRightInd w:val="false"/>
        <w:spacing w:after="0"/>
        <w:jc w:val="both"/>
        <w:outlineLvl w:val="0"/>
        <w:rPr>
          <w:rFonts w:cs="Times New Roman" w:eastAsia="Times New Roman"/>
          <w:i/>
          <w:lang w:eastAsia="hr-HR"/>
        </w:rPr>
      </w:pPr>
    </w:p>
    <w:p w:rsidRDefault="008E64CD" w:rsidP="008E64CD" w:rsidR="008E64CD">
      <w:pPr>
        <w:overflowPunct w:val="false"/>
        <w:autoSpaceDE w:val="false"/>
        <w:autoSpaceDN w:val="false"/>
        <w:adjustRightInd w:val="false"/>
        <w:spacing w:after="0"/>
        <w:jc w:val="center"/>
        <w:outlineLvl w:val="0"/>
        <w:rPr>
          <w:rFonts w:cs="Times New Roman" w:eastAsia="Times New Roman"/>
          <w:lang w:eastAsia="hr-HR"/>
        </w:rPr>
      </w:pPr>
      <w:r>
        <w:rPr>
          <w:rFonts w:cs="Times New Roman" w:eastAsia="Times New Roman"/>
          <w:lang w:eastAsia="hr-HR"/>
        </w:rPr>
        <w:t>r i j e š i o  j e</w:t>
      </w:r>
    </w:p>
    <w:p w:rsidRDefault="008E64CD" w:rsidP="008E64CD" w:rsidR="008E64CD">
      <w:pPr>
        <w:overflowPunct w:val="false"/>
        <w:autoSpaceDE w:val="false"/>
        <w:autoSpaceDN w:val="false"/>
        <w:adjustRightInd w:val="false"/>
        <w:spacing w:after="0"/>
        <w:jc w:val="center"/>
        <w:outlineLvl w:val="0"/>
        <w:rPr>
          <w:rFonts w:cs="Times New Roman" w:eastAsia="Times New Roman"/>
          <w:lang w:eastAsia="hr-HR"/>
        </w:rPr>
      </w:pPr>
    </w:p>
    <w:p w:rsidRDefault="008E64CD" w:rsidP="008E64CD" w:rsidR="008E64CD">
      <w:pPr>
        <w:overflowPunct w:val="false"/>
        <w:autoSpaceDE w:val="false"/>
        <w:autoSpaceDN w:val="false"/>
        <w:adjustRightInd w:val="false"/>
        <w:spacing w:after="0"/>
        <w:jc w:val="center"/>
        <w:outlineLvl w:val="0"/>
        <w:rPr>
          <w:rFonts w:cs="Times New Roman" w:eastAsia="Times New Roman"/>
          <w:lang w:eastAsia="hr-HR"/>
        </w:rPr>
      </w:pPr>
    </w:p>
    <w:p w:rsidRDefault="008E64CD" w:rsidP="008E64CD" w:rsidR="008E64CD">
      <w:pPr>
        <w:overflowPunct w:val="false"/>
        <w:autoSpaceDE w:val="false"/>
        <w:autoSpaceDN w:val="false"/>
        <w:adjustRightInd w:val="false"/>
        <w:spacing w:after="0"/>
        <w:ind w:firstLine="851"/>
        <w:jc w:val="both"/>
        <w:outlineLvl w:val="0"/>
        <w:rPr>
          <w:rFonts w:cs="Times New Roman" w:eastAsia="Times New Roman"/>
          <w:lang w:eastAsia="hr-HR"/>
        </w:rPr>
      </w:pPr>
      <w:r>
        <w:rPr>
          <w:rFonts w:cs="Times New Roman" w:eastAsia="Times New Roman"/>
          <w:lang w:eastAsia="hr-HR"/>
        </w:rPr>
        <w:t>Ukida se rješenje Trgovačkog suda u Bjelovaru poslovni broj 1 St-322/2018-7 od 6</w:t>
      </w:r>
      <w:r>
        <w:t>. srpnja  2018.</w:t>
      </w:r>
      <w:r>
        <w:rPr>
          <w:rFonts w:cs="Times New Roman" w:eastAsia="Times New Roman"/>
          <w:lang w:eastAsia="hr-HR"/>
        </w:rPr>
        <w:t xml:space="preserve"> i stečajni postupak se obustavlja.   </w:t>
      </w:r>
    </w:p>
    <w:p w:rsidRDefault="008E64CD" w:rsidP="008E64CD" w:rsidR="008E64CD">
      <w:pPr>
        <w:overflowPunct w:val="false"/>
        <w:autoSpaceDE w:val="false"/>
        <w:autoSpaceDN w:val="false"/>
        <w:adjustRightInd w:val="false"/>
        <w:spacing w:after="0"/>
        <w:ind w:firstLine="851"/>
        <w:jc w:val="both"/>
        <w:outlineLvl w:val="0"/>
        <w:rPr>
          <w:rFonts w:cs="Times New Roman" w:eastAsia="Times New Roman"/>
          <w:lang w:eastAsia="hr-HR"/>
        </w:rPr>
      </w:pPr>
    </w:p>
    <w:p w:rsidRDefault="008E64CD" w:rsidP="008E64CD" w:rsidR="008E64CD">
      <w:pPr>
        <w:overflowPunct w:val="false"/>
        <w:autoSpaceDE w:val="false"/>
        <w:autoSpaceDN w:val="false"/>
        <w:adjustRightInd w:val="false"/>
        <w:spacing w:after="0"/>
        <w:outlineLvl w:val="0"/>
        <w:rPr>
          <w:rFonts w:cs="Times New Roman" w:eastAsia="Times New Roman"/>
          <w:b/>
          <w:lang w:eastAsia="hr-HR"/>
        </w:rPr>
      </w:pPr>
    </w:p>
    <w:p w:rsidRDefault="008E64CD" w:rsidP="008E64CD" w:rsidR="008E64CD">
      <w:pPr>
        <w:overflowPunct w:val="false"/>
        <w:autoSpaceDE w:val="false"/>
        <w:autoSpaceDN w:val="false"/>
        <w:adjustRightInd w:val="false"/>
        <w:spacing w:after="0"/>
        <w:jc w:val="center"/>
        <w:outlineLvl w:val="0"/>
        <w:rPr>
          <w:rFonts w:cs="Times New Roman" w:eastAsia="Times New Roman"/>
          <w:lang w:eastAsia="hr-HR"/>
        </w:rPr>
      </w:pPr>
      <w:r>
        <w:rPr>
          <w:rFonts w:cs="Times New Roman" w:eastAsia="Times New Roman"/>
          <w:lang w:eastAsia="hr-HR"/>
        </w:rPr>
        <w:t>Obrazloženje</w:t>
      </w:r>
    </w:p>
    <w:p w:rsidRDefault="008E64CD" w:rsidP="008E64CD" w:rsidR="008E64CD">
      <w:pPr>
        <w:overflowPunct w:val="false"/>
        <w:autoSpaceDE w:val="false"/>
        <w:autoSpaceDN w:val="false"/>
        <w:adjustRightInd w:val="false"/>
        <w:spacing w:after="0"/>
        <w:jc w:val="center"/>
        <w:outlineLvl w:val="0"/>
        <w:rPr>
          <w:rFonts w:cs="Times New Roman" w:eastAsia="Times New Roman"/>
          <w:lang w:eastAsia="hr-HR"/>
        </w:rPr>
      </w:pPr>
    </w:p>
    <w:p w:rsidRDefault="008E64CD" w:rsidP="008E64CD" w:rsidR="008E64CD">
      <w:pPr>
        <w:overflowPunct w:val="false"/>
        <w:autoSpaceDE w:val="false"/>
        <w:autoSpaceDN w:val="false"/>
        <w:adjustRightInd w:val="false"/>
        <w:spacing w:after="0"/>
        <w:jc w:val="both"/>
        <w:rPr>
          <w:rFonts w:cs="Times New Roman" w:eastAsia="Times New Roman"/>
          <w:lang w:eastAsia="hr-HR"/>
        </w:rPr>
      </w:pPr>
    </w:p>
    <w:p w:rsidRDefault="008E64CD" w:rsidP="008E64CD" w:rsidR="008E64CD">
      <w:pPr>
        <w:jc w:val="both"/>
      </w:pPr>
      <w:r>
        <w:rPr>
          <w:rFonts w:cs="Times New Roman" w:eastAsia="Times New Roman"/>
          <w:lang w:eastAsia="hr-HR"/>
        </w:rPr>
        <w:t xml:space="preserve">             Rješenjem ovog suda poslovni broj broj 1 St-322/2018-7 od </w:t>
      </w:r>
      <w:r>
        <w:t xml:space="preserve"> 6. srpnja  2018.</w:t>
      </w:r>
      <w:r>
        <w:rPr>
          <w:rFonts w:cs="Times New Roman" w:eastAsia="Times New Roman"/>
          <w:lang w:eastAsia="hr-HR"/>
        </w:rPr>
        <w:t xml:space="preserve"> otvoren je stečajni postupak nad dužnikom</w:t>
      </w:r>
      <w:r>
        <w:t xml:space="preserve"> glagolITico d.o.o. Zagreb</w:t>
      </w:r>
      <w:r>
        <w:rPr>
          <w:rFonts w:cs="Times New Roman" w:eastAsia="Times New Roman"/>
          <w:szCs w:val="20"/>
          <w:lang w:val="en-GB"/>
        </w:rPr>
        <w:t xml:space="preserve">, (toč. 1. izreke), </w:t>
      </w:r>
      <w:r>
        <w:t xml:space="preserve">za stečajnog upravitelja imenovana je Sanja Kraljek iz Čakovca, </w:t>
      </w:r>
      <w:r>
        <w:rPr>
          <w:rFonts w:cs="Times New Roman" w:eastAsia="Times New Roman"/>
          <w:lang w:val="en-GB"/>
        </w:rPr>
        <w:t xml:space="preserve"> (toč.2. izreke) ) i </w:t>
      </w:r>
      <w:r>
        <w:rPr>
          <w:rFonts w:cs="Times New Roman" w:eastAsia="Times New Roman"/>
          <w:lang w:eastAsia="hr-HR"/>
        </w:rPr>
        <w:t xml:space="preserve"> stečajni postupak nad istim  dužnikom je zaključen  (toč. 3. izreke)</w:t>
      </w: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Protiv rješenja dužnik je podnio žalbu u kojoj navodi da je u rješenju pogrešno navedeno da dužnik ima nepodmireno dugovanje od 21. prosinca 2017. jer je na taj dan dugovanje u potpunosti podmireno. Smatra da je pogrešno navedeno postojanje dugovanja na dan 15. siječnja 2917., jer je vjerojatno trebalo pisati 2018., no niti na taj dan dugovanje nije postojalo. Ističe da navedeno proizlazi iz potvrda koje je FINA izdala. Predlaže da sud žalbu usvoji i pobijano rješenje, donošenjem kojeg bi mu mogla nastati šteta, ukine.</w:t>
      </w: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 </w:t>
      </w: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 Žalba je osnovana.</w:t>
      </w: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p>
    <w:p w:rsidRDefault="008E64CD" w:rsidP="008E64CD" w:rsidR="008E64CD">
      <w:pPr>
        <w:pStyle w:val="Bezproreda"/>
      </w:pPr>
      <w:r>
        <w:t xml:space="preserve">Iz dokaza priloženih žalbi ( potvrde FINE o blokadi računa i novčanih sredstava dužnika od 20. srpnja 2017., Očevidnika FINE o danima insolventnosti u 2017. i 2018. godini  te Specifikacije izvršenja osnove za plaćanje UP/I-415-02/2017-001/00227 od 18. kolovoza </w:t>
      </w:r>
      <w:r>
        <w:lastRenderedPageBreak/>
        <w:t>2017.) proizlazi da račun dužnika nije bio blokiran niti na dan podnošenja prijedloga za otvaranje stečajnog postupka  (21. prosinca 2017.),  niti u vrijeme donošenja pobijanog rješenja o otvaranju i zaključenju stečajnog postupka (6. srpnja 2018.), a niti na dan 20. srpnja 2018. Stoga nije postojao niti postoji stečajni razlog nesposobnosti za plaćanje.</w:t>
      </w: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je sud žalbu dužnika uvažio, ukinuo pobijano rješenje i postupak obustavio.</w:t>
      </w: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p>
    <w:p w:rsidRDefault="008E64CD" w:rsidP="008E64CD" w:rsidR="008E64CD">
      <w:pPr>
        <w:overflowPunct w:val="false"/>
        <w:autoSpaceDE w:val="false"/>
        <w:autoSpaceDN w:val="false"/>
        <w:adjustRightInd w:val="false"/>
        <w:spacing w:after="0"/>
        <w:ind w:firstLine="851"/>
        <w:jc w:val="both"/>
        <w:rPr>
          <w:rFonts w:cs="Times New Roman" w:eastAsia="Times New Roman"/>
          <w:lang w:eastAsia="hr-HR"/>
        </w:rPr>
      </w:pPr>
    </w:p>
    <w:p w:rsidRDefault="008E64CD" w:rsidP="008E64CD" w:rsidR="008E64CD">
      <w:pPr>
        <w:overflowPunct w:val="false"/>
        <w:autoSpaceDE w:val="false"/>
        <w:autoSpaceDN w:val="false"/>
        <w:adjustRightInd w:val="false"/>
        <w:spacing w:after="0"/>
        <w:ind w:firstLine="851"/>
        <w:rPr>
          <w:rFonts w:cs="Times New Roman" w:eastAsia="Times New Roman"/>
          <w:lang w:eastAsia="hr-HR"/>
        </w:rPr>
      </w:pPr>
      <w:r>
        <w:rPr>
          <w:rFonts w:cs="Times New Roman" w:eastAsia="Times New Roman"/>
          <w:lang w:eastAsia="hr-HR"/>
        </w:rPr>
        <w:t>U Bjelovaru  23. srpnja 2018.</w:t>
      </w:r>
    </w:p>
    <w:p w:rsidRDefault="008E64CD" w:rsidP="008E64CD" w:rsidR="008E64CD">
      <w:pPr>
        <w:overflowPunct w:val="false"/>
        <w:autoSpaceDE w:val="false"/>
        <w:autoSpaceDN w:val="false"/>
        <w:adjustRightInd w:val="false"/>
        <w:spacing w:after="0"/>
        <w:jc w:val="both"/>
        <w:rPr>
          <w:rFonts w:cs="Times New Roman" w:eastAsia="Times New Roman"/>
          <w:lang w:eastAsia="hr-HR"/>
        </w:rPr>
      </w:pPr>
    </w:p>
    <w:p w:rsidRDefault="008E64CD" w:rsidP="008E64CD" w:rsidR="008E64CD">
      <w:pPr>
        <w:overflowPunct w:val="false"/>
        <w:autoSpaceDE w:val="false"/>
        <w:autoSpaceDN w:val="false"/>
        <w:adjustRightInd w:val="false"/>
        <w:spacing w:after="0"/>
        <w:ind w:firstLine="708"/>
        <w:jc w:val="center"/>
        <w:rPr>
          <w:rFonts w:cs="Times New Roman" w:eastAsia="Times New Roman"/>
          <w:lang w:eastAsia="hr-HR"/>
        </w:rPr>
      </w:pPr>
      <w:r>
        <w:rPr>
          <w:rFonts w:cs="Times New Roman" w:eastAsia="Times New Roman"/>
          <w:lang w:eastAsia="hr-HR"/>
        </w:rPr>
        <w:t>S u d a c</w:t>
      </w:r>
    </w:p>
    <w:p w:rsidRDefault="008E64CD" w:rsidP="008E64CD" w:rsidR="008E64CD">
      <w:pPr>
        <w:overflowPunct w:val="false"/>
        <w:autoSpaceDE w:val="false"/>
        <w:autoSpaceDN w:val="false"/>
        <w:adjustRightInd w:val="false"/>
        <w:spacing w:after="0"/>
        <w:ind w:firstLine="708"/>
        <w:jc w:val="center"/>
        <w:rPr>
          <w:rFonts w:cs="Times New Roman" w:eastAsia="Times New Roman"/>
          <w:lang w:eastAsia="hr-HR"/>
        </w:rPr>
      </w:pPr>
      <w:r>
        <w:rPr>
          <w:rFonts w:cs="Times New Roman" w:eastAsia="Times New Roman"/>
          <w:lang w:eastAsia="hr-HR"/>
        </w:rPr>
        <w:t>Branka Pleskalt v.r.</w:t>
      </w:r>
    </w:p>
    <w:p w:rsidRDefault="008E64CD" w:rsidP="008E64CD" w:rsidR="008E64CD">
      <w:pPr>
        <w:overflowPunct w:val="false"/>
        <w:autoSpaceDE w:val="false"/>
        <w:autoSpaceDN w:val="false"/>
        <w:adjustRightInd w:val="false"/>
        <w:spacing w:after="0"/>
        <w:ind w:firstLine="708"/>
        <w:jc w:val="center"/>
        <w:rPr>
          <w:rFonts w:cs="Times New Roman" w:eastAsia="Times New Roman"/>
          <w:lang w:eastAsia="hr-HR"/>
        </w:rPr>
      </w:pPr>
    </w:p>
    <w:p w:rsidRDefault="008E64CD" w:rsidP="008E64CD" w:rsidR="008E64CD">
      <w:pPr>
        <w:overflowPunct w:val="false"/>
        <w:autoSpaceDE w:val="false"/>
        <w:autoSpaceDN w:val="false"/>
        <w:adjustRightInd w:val="false"/>
        <w:spacing w:after="0"/>
        <w:ind w:firstLine="708"/>
        <w:jc w:val="center"/>
        <w:rPr>
          <w:rFonts w:cs="Times New Roman" w:eastAsia="Times New Roman"/>
          <w:lang w:eastAsia="hr-HR"/>
        </w:rPr>
      </w:pPr>
      <w:r>
        <w:rPr>
          <w:rFonts w:cs="Times New Roman" w:eastAsia="Times New Roman"/>
          <w:lang w:eastAsia="hr-HR"/>
        </w:rPr>
        <w:t>Za točnost otpravka-ovlašteni službenik</w:t>
      </w:r>
    </w:p>
    <w:p w:rsidRDefault="008E64CD" w:rsidP="008E64CD" w:rsidR="008E64CD">
      <w:pPr>
        <w:overflowPunct w:val="false"/>
        <w:autoSpaceDE w:val="false"/>
        <w:autoSpaceDN w:val="false"/>
        <w:adjustRightInd w:val="false"/>
        <w:spacing w:after="0"/>
        <w:ind w:firstLine="708"/>
        <w:jc w:val="center"/>
        <w:rPr>
          <w:rFonts w:cs="Times New Roman" w:eastAsia="Times New Roman"/>
          <w:lang w:eastAsia="hr-HR"/>
        </w:rPr>
      </w:pPr>
      <w:r>
        <w:rPr>
          <w:rFonts w:cs="Times New Roman" w:eastAsia="Times New Roman"/>
          <w:lang w:eastAsia="hr-HR"/>
        </w:rPr>
        <w:t>Vesna Dragišić</w:t>
      </w:r>
    </w:p>
    <w:p w:rsidRDefault="008E64CD" w:rsidP="008E64CD" w:rsidR="008E64CD">
      <w:pPr>
        <w:overflowPunct w:val="false"/>
        <w:autoSpaceDE w:val="false"/>
        <w:autoSpaceDN w:val="false"/>
        <w:adjustRightInd w:val="false"/>
        <w:spacing w:after="0"/>
        <w:jc w:val="both"/>
        <w:rPr>
          <w:rFonts w:cs="Times New Roman" w:eastAsia="Times New Roman"/>
          <w:lang w:eastAsia="hr-HR"/>
        </w:rPr>
      </w:pPr>
    </w:p>
    <w:p w:rsidRDefault="008E64CD" w:rsidP="008E64CD" w:rsidR="008E64CD">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 xml:space="preserve">                                                                                                                                  </w:t>
      </w:r>
      <w:r>
        <w:rPr>
          <w:rFonts w:cs="Times New Roman" w:eastAsia="Times New Roman"/>
          <w:lang w:eastAsia="hr-HR"/>
        </w:rPr>
        <w:tab/>
      </w:r>
    </w:p>
    <w:p w:rsidRDefault="008E64CD" w:rsidP="008E64CD" w:rsidR="008E64CD">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8E64CD" w:rsidP="008E64CD" w:rsidR="008E64CD">
      <w:pPr>
        <w:overflowPunct w:val="false"/>
        <w:autoSpaceDE w:val="false"/>
        <w:autoSpaceDN w:val="false"/>
        <w:adjustRightInd w:val="false"/>
        <w:spacing w:after="0"/>
        <w:jc w:val="both"/>
        <w:rPr>
          <w:rFonts w:cs="Times New Roman" w:eastAsia="Times New Roman"/>
          <w:szCs w:val="20"/>
          <w:lang w:eastAsia="hr-HR"/>
        </w:rPr>
      </w:pPr>
    </w:p>
    <w:p w:rsidRDefault="008E64CD" w:rsidP="008E64CD" w:rsidR="008E64CD" w:rsidRPr="00B76F3C">
      <w:pPr>
        <w:pStyle w:val="Bezproreda"/>
      </w:pPr>
    </w:p>
    <w:p w:rsidRDefault="00AE649C" w:rsidP="004F27AE" w:rsidR="00AE649C" w:rsidRPr="00B76F3C">
      <w:pPr>
        <w:pStyle w:val="NormaleSPIS"/>
      </w:pPr>
    </w:p>
    <w:sectPr w:rsidSect="008E64C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4191" w:rsidP="00537B78" w:rsidR="00944191">
      <w:r>
        <w:separator/>
      </w:r>
    </w:p>
  </w:endnote>
  <w:endnote w:id="0" w:type="continuationSeparator">
    <w:p w:rsidRDefault="00944191" w:rsidP="00537B78" w:rsidR="009441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4191" w:rsidP="00537B78" w:rsidR="00944191">
      <w:r>
        <w:separator/>
      </w:r>
    </w:p>
  </w:footnote>
  <w:footnote w:id="0" w:type="continuationSeparator">
    <w:p w:rsidRDefault="00944191" w:rsidP="00537B78" w:rsidR="009441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1975562"/>
      <w:docPartObj>
        <w:docPartGallery w:val="Page Numbers (Top of Page)"/>
        <w:docPartUnique/>
      </w:docPartObj>
    </w:sdtPr>
    <w:sdtEndPr/>
    <w:sdtContent>
      <w:p w:rsidRDefault="008E64CD" w:rsidR="008E64CD">
        <w:pPr>
          <w:pStyle w:val="Zaglavlje"/>
          <w:jc w:val="center"/>
        </w:pPr>
        <w:r>
          <w:fldChar w:fldCharType="begin"/>
        </w:r>
        <w:r>
          <w:instrText>PAGE   \* MERGEFORMAT</w:instrText>
        </w:r>
        <w:r>
          <w:fldChar w:fldCharType="separate"/>
        </w:r>
        <w:r w:rsidR="00DC3C56">
          <w:t>2</w:t>
        </w:r>
        <w:r>
          <w:fldChar w:fldCharType="end"/>
        </w:r>
      </w:p>
    </w:sdtContent>
  </w:sdt>
  <w:p w:rsidRDefault="008E64CD" w:rsidR="008333A9">
    <w:pPr>
      <w:pStyle w:val="Zaglavlje"/>
    </w:pPr>
    <w:r>
      <w:t>Poslovni broj: 1 St-322/2018-12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4C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4191"/>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3C56"/>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E64C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E64C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5146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St-322/2018-12</izvorni_sadrzaj>
    <derivirana_varijabla naziv="DomainObject.Oznaka_1">St-322/2018-12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srpnja 2018.</izvorni_sadrzaj>
    <derivirana_varijabla naziv="DomainObject.Predmet.DatumRjesavanja_1">6.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St-322/2018</izvorni_sadrzaj>
    <derivirana_varijabla naziv="DomainObject.Predmet.OznakaBroj_1">St-322/2018</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glagolITico d.o.o.</izvorni_sadrzaj>
    <derivirana_varijabla naziv="DomainObject.Predmet.ProtustrankaFormated_1">  glagolITico d.o.o.</derivirana_varijabla>
  </DomainObject.Predmet.ProtustrankaFormated>
  <DomainObject.Predmet.ProtustrankaFormatedOIB>
    <izvorni_sadrzaj>  glagolITico d.o.o., OIB 94217071199</izvorni_sadrzaj>
    <derivirana_varijabla naziv="DomainObject.Predmet.ProtustrankaFormatedOIB_1">  glagolITico d.o.o., OIB 94217071199</derivirana_varijabla>
  </DomainObject.Predmet.ProtustrankaFormatedOIB>
  <DomainObject.Predmet.ProtustrankaFormatedWithAdress>
    <izvorni_sadrzaj> glagolITico d.o.o., Ilica 336, 10000 Zagreb</izvorni_sadrzaj>
    <derivirana_varijabla naziv="DomainObject.Predmet.ProtustrankaFormatedWithAdress_1"> glagolITico d.o.o., Ilica 336, 10000 Zagreb</derivirana_varijabla>
  </DomainObject.Predmet.ProtustrankaFormatedWithAdress>
  <DomainObject.Predmet.ProtustrankaFormatedWithAdressOIB>
    <izvorni_sadrzaj> glagolITico d.o.o., OIB 94217071199, Ilica 336, 10000 Zagreb</izvorni_sadrzaj>
    <derivirana_varijabla naziv="DomainObject.Predmet.ProtustrankaFormatedWithAdressOIB_1"> glagolITico d.o.o., OIB 94217071199, Ilica 336, 10000 Zagreb</derivirana_varijabla>
  </DomainObject.Predmet.ProtustrankaFormatedWithAdressOIB>
  <DomainObject.Predmet.ProtustrankaWithAdress>
    <izvorni_sadrzaj>glagolITico d.o.o. Ilica 336, 10000 Zagreb</izvorni_sadrzaj>
    <derivirana_varijabla naziv="DomainObject.Predmet.ProtustrankaWithAdress_1">glagolITico d.o.o. Ilica 336, 10000 Zagreb</derivirana_varijabla>
  </DomainObject.Predmet.ProtustrankaWithAdress>
  <DomainObject.Predmet.ProtustrankaWithAdressOIB>
    <izvorni_sadrzaj>glagolITico d.o.o., OIB 94217071199, Ilica 336, 10000 Zagreb</izvorni_sadrzaj>
    <derivirana_varijabla naziv="DomainObject.Predmet.ProtustrankaWithAdressOIB_1">glagolITico d.o.o., OIB 94217071199, Ilica 336, 10000 Zagreb</derivirana_varijabla>
  </DomainObject.Predmet.ProtustrankaWithAdressOIB>
  <DomainObject.Predmet.ProtustrankaNazivFormated>
    <izvorni_sadrzaj>glagolITico d.o.o.</izvorni_sadrzaj>
    <derivirana_varijabla naziv="DomainObject.Predmet.ProtustrankaNazivFormated_1">glagolITico d.o.o.</derivirana_varijabla>
  </DomainObject.Predmet.ProtustrankaNazivFormated>
  <DomainObject.Predmet.ProtustrankaNazivFormatedOIB>
    <izvorni_sadrzaj>glagolITico d.o.o., OIB 94217071199</izvorni_sadrzaj>
    <derivirana_varijabla naziv="DomainObject.Predmet.ProtustrankaNazivFormatedOIB_1">glagolITico d.o.o., OIB 94217071199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glagolITico d.o.o.</item>
    </izvorni_sadrzaj>
    <derivirana_varijabla naziv="DomainObject.Predmet.ProtuStrankaListFormated_1">
      <item>glagolITico d.o.o.</item>
    </derivirana_varijabla>
  </DomainObject.Predmet.ProtuStrankaListFormated>
  <DomainObject.Predmet.ProtuStrankaListFormatedOIB>
    <izvorni_sadrzaj>
      <item>glagolITico d.o.o., OIB 94217071199</item>
    </izvorni_sadrzaj>
    <derivirana_varijabla naziv="DomainObject.Predmet.ProtuStrankaListFormatedOIB_1">
      <item>glagolITico d.o.o., OIB 94217071199</item>
    </derivirana_varijabla>
  </DomainObject.Predmet.ProtuStrankaListFormatedOIB>
  <DomainObject.Predmet.ProtuStrankaListFormatedWithAdress>
    <izvorni_sadrzaj>
      <item>glagolITico d.o.o., Ilica 336, 10000 Zagreb</item>
    </izvorni_sadrzaj>
    <derivirana_varijabla naziv="DomainObject.Predmet.ProtuStrankaListFormatedWithAdress_1">
      <item>glagolITico d.o.o., Ilica 336, 10000 Zagreb</item>
    </derivirana_varijabla>
  </DomainObject.Predmet.ProtuStrankaListFormatedWithAdress>
  <DomainObject.Predmet.ProtuStrankaListFormatedWithAdressOIB>
    <izvorni_sadrzaj>
      <item>glagolITico d.o.o., OIB 94217071199, Ilica 336, 10000 Zagreb</item>
    </izvorni_sadrzaj>
    <derivirana_varijabla naziv="DomainObject.Predmet.ProtuStrankaListFormatedWithAdressOIB_1">
      <item>glagolITico d.o.o., OIB 94217071199, Ilica 336, 10000 Zagreb</item>
    </derivirana_varijabla>
  </DomainObject.Predmet.ProtuStrankaListFormatedWithAdressOIB>
  <DomainObject.Predmet.ProtuStrankaListNazivFormated>
    <izvorni_sadrzaj>
      <item>glagolITico d.o.o.</item>
    </izvorni_sadrzaj>
    <derivirana_varijabla naziv="DomainObject.Predmet.ProtuStrankaListNazivFormated_1">
      <item>glagolITico d.o.o.</item>
    </derivirana_varijabla>
  </DomainObject.Predmet.ProtuStrankaListNazivFormated>
  <DomainObject.Predmet.ProtuStrankaListNazivFormatedOIB>
    <izvorni_sadrzaj>
      <item>glagolITico d.o.o., OIB 94217071199</item>
    </izvorni_sadrzaj>
    <derivirana_varijabla naziv="DomainObject.Predmet.ProtuStrankaListNazivFormatedOIB_1">
      <item>glagolITico d.o.o., OIB 94217071199</item>
    </derivirana_varijabla>
  </DomainObject.Predmet.ProtuStrankaListNazivFormatedOIB>
  <DomainObject.Predmet.OstaliListFormated>
    <izvorni_sadrzaj>
      <item>Zoran Galijanić</item>
    </izvorni_sadrzaj>
    <derivirana_varijabla naziv="DomainObject.Predmet.OstaliListFormated_1">
      <item>Zoran Galijanić</item>
    </derivirana_varijabla>
  </DomainObject.Predmet.OstaliListFormated>
  <DomainObject.Predmet.OstaliListFormatedOIB>
    <izvorni_sadrzaj>
      <item>Zoran Galijanić, OIB 51465200736</item>
    </izvorni_sadrzaj>
    <derivirana_varijabla naziv="DomainObject.Predmet.OstaliListFormatedOIB_1">
      <item>Zoran Galijanić, OIB 51465200736</item>
    </derivirana_varijabla>
  </DomainObject.Predmet.OstaliListFormatedOIB>
  <DomainObject.Predmet.OstaliListFormatedWithAdress>
    <izvorni_sadrzaj>
      <item>Zoran Galijanić, Ilica 336., 10000 Zagreb</item>
    </izvorni_sadrzaj>
    <derivirana_varijabla naziv="DomainObject.Predmet.OstaliListFormatedWithAdress_1">
      <item>Zoran Galijanić, Ilica 336., 10000 Zagreb</item>
    </derivirana_varijabla>
  </DomainObject.Predmet.OstaliListFormatedWithAdress>
  <DomainObject.Predmet.OstaliListFormatedWithAdressOIB>
    <izvorni_sadrzaj>
      <item>Zoran Galijanić, OIB 51465200736, Ilica 336., 10000 Zagreb</item>
    </izvorni_sadrzaj>
    <derivirana_varijabla naziv="DomainObject.Predmet.OstaliListFormatedWithAdressOIB_1">
      <item>Zoran Galijanić, OIB 51465200736, Ilica 336., 10000 Zagreb</item>
    </derivirana_varijabla>
  </DomainObject.Predmet.OstaliListFormatedWithAdressOIB>
  <DomainObject.Predmet.OstaliListNazivFormated>
    <izvorni_sadrzaj>
      <item>Zoran Galijanić</item>
    </izvorni_sadrzaj>
    <derivirana_varijabla naziv="DomainObject.Predmet.OstaliListNazivFormated_1">
      <item>Zoran Galijanić</item>
    </derivirana_varijabla>
  </DomainObject.Predmet.OstaliListNazivFormated>
  <DomainObject.Predmet.OstaliListNazivFormatedOIB>
    <izvorni_sadrzaj>
      <item>Zoran Galijanić, OIB 51465200736</item>
    </izvorni_sadrzaj>
    <derivirana_varijabla naziv="DomainObject.Predmet.OstaliListNazivFormatedOIB_1">
      <item>Zoran Galijanić, OIB 51465200736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St-322/2018-12</izvorni_sadrzaj>
    <derivirana_varijabla naziv="DomainObject.PoslovniBrojDokumenta_1">St-322/2018-12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glagolITico d.o.o.</izvorni_sadrzaj>
    <derivirana_varijabla naziv="DomainObject.Predmet.ProtustrankaIDrugi_1">glagolITico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glagolITico d.o.o., OIB 94217071199, Ilica 336, 10000 Zagreb</izvorni_sadrzaj>
    <derivirana_varijabla naziv="DomainObject.Predmet.ProtustrankaIDrugiAdressOIB_1">glagolITico d.o.o., OIB 94217071199, Ilica 336,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srpnja 2018.</izvorni_sadrzaj>
    <derivirana_varijabla naziv="DomainObject.Predmet.OdlukaRjesenje.DatumDonosenjaOdluke_1">6.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St-322/2018-7</izvorni_sadrzaj>
    <derivirana_varijabla naziv="DomainObject.Predmet.OdlukaRjesenje.Oznaka_1">St-322/2018-7</derivirana_varijabla>
  </DomainObject.Predmet.OdlukaRjesenje.Oznaka>
  <DomainObject.Predmet.SudioniciListNaziv>
    <izvorni_sadrzaj>
      <item>glagolITico d.o.o.</item>
      <item>FINA Regionalni centar Zagreb</item>
      <item>Zoran Galijanić</item>
    </izvorni_sadrzaj>
    <derivirana_varijabla naziv="DomainObject.Predmet.SudioniciListNaziv_1">
      <item>glagolITico d.o.o.</item>
      <item>FINA Regionalni centar Zagreb</item>
      <item>Zoran Galijanić</item>
    </derivirana_varijabla>
  </DomainObject.Predmet.SudioniciListNaziv>
  <DomainObject.Predmet.SudioniciListAdressOIB>
    <izvorni_sadrzaj>
      <item>glagolITico d.o.o., OIB 94217071199, Ilica 336,10000 Zagreb</item>
      <item>FINA Regionalni centar Zagreb, OIB 85821130368, Trg svibanjskih žrtava  1995. 1,10000 Zagreb</item>
      <item>Zoran Galijanić, OIB 51465200736, Ilica 336.,10000 Zagreb</item>
    </izvorni_sadrzaj>
    <derivirana_varijabla naziv="DomainObject.Predmet.SudioniciListAdressOIB_1">
      <item>glagolITico d.o.o., OIB 94217071199, Ilica 336,10000 Zagreb</item>
      <item>FINA Regionalni centar Zagreb, OIB 85821130368, Trg svibanjskih žrtava  1995. 1,10000 Zagreb</item>
      <item>Zoran Galijanić, OIB 51465200736, Ilica 336.,10000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EB211B-8ED1-4579-9CAA-15E915F2B1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2251</properties:Characters>
  <properties:Lines>68</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2018-07-23T08:38:00Z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St-322/2018-12 / Odluka - Rješenje - obustava postupka (odluka_St-322_2018-12.docx)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