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44e5" w14:paraId="5e144e5" w:rsidRDefault="001D66BF" w:rsidP="001D66BF" w:rsidR="001D66BF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St-39/14-161</w:t>
      </w:r>
    </w:p>
    <w:p w:rsidRDefault="003A7B84" w:rsidP="006F055F" w:rsidR="003A7B84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>
      <w:pPr>
        <w:jc w:val="center"/>
      </w:pPr>
      <w:r w:rsidRPr="00AD346C">
        <w:t>R J E Š E N J E</w:t>
      </w:r>
    </w:p>
    <w:p w:rsidRDefault="00C34C2F" w:rsidP="00D44178" w:rsidR="00C34C2F">
      <w:pPr>
        <w:jc w:val="center"/>
      </w:pPr>
    </w:p>
    <w:p w:rsidRDefault="00C34C2F" w:rsidP="001D66BF" w:rsidR="00C34C2F">
      <w:pPr>
        <w:ind w:firstLine="708"/>
        <w:jc w:val="both"/>
      </w:pPr>
      <w:r w:rsidRPr="00C34C2F">
        <w:t>Trgovački sud u Rijeci po sutkinji Emi Brdovčak u stečajnom  postupku</w:t>
      </w:r>
      <w:r>
        <w:t xml:space="preserve"> nad stečajnim dužnikom CASINO K</w:t>
      </w:r>
      <w:r w:rsidRPr="00C34C2F">
        <w:t>RISTAL UMAG d.o.o. u stečaju Umag, Obala J.</w:t>
      </w:r>
      <w:r>
        <w:t xml:space="preserve"> B. Tita 9, OIB: 97484610509, 26. travnja</w:t>
      </w:r>
      <w:r w:rsidRPr="00C34C2F">
        <w:t xml:space="preserve"> 2018.,</w:t>
      </w:r>
    </w:p>
    <w:p w:rsidRDefault="005F4C9D" w:rsidP="005F4C9D" w:rsidR="005F4C9D">
      <w:pPr>
        <w:jc w:val="both"/>
      </w:pPr>
    </w:p>
    <w:p w:rsidRDefault="005F4C9D" w:rsidP="005F4C9D" w:rsidR="005F4C9D">
      <w:pPr>
        <w:jc w:val="center"/>
      </w:pPr>
      <w:r>
        <w:t>r i j e š i o     j e</w:t>
      </w:r>
    </w:p>
    <w:p w:rsidRDefault="005F4C9D" w:rsidP="005F4C9D" w:rsidR="005F4C9D">
      <w:pPr>
        <w:jc w:val="both"/>
      </w:pPr>
    </w:p>
    <w:p w:rsidRDefault="005F4C9D" w:rsidP="005F4C9D" w:rsidR="005F4C9D">
      <w:pPr>
        <w:jc w:val="both"/>
      </w:pPr>
      <w:r>
        <w:t>I.</w:t>
      </w:r>
      <w:r>
        <w:tab/>
        <w:t>Z a k l j u č u j e   s e   stečajni postupak nad dužnikom</w:t>
      </w:r>
      <w:r w:rsidR="00C34C2F">
        <w:t xml:space="preserve"> CASINO K</w:t>
      </w:r>
      <w:r w:rsidR="00C34C2F" w:rsidRPr="00C34C2F">
        <w:t>RISTAL UMAG d.o.o. u stečaju Umag, Obala J. B. Tita 9, OIB: 97484610509</w:t>
      </w:r>
      <w:r w:rsidR="00C34C2F">
        <w:t>, MBS: 040214497</w:t>
      </w:r>
      <w:r w:rsidR="00764CCC">
        <w:t>.</w:t>
      </w:r>
    </w:p>
    <w:p w:rsidRDefault="00764CCC" w:rsidP="005F4C9D" w:rsidR="00764CCC">
      <w:pPr>
        <w:jc w:val="both"/>
      </w:pPr>
    </w:p>
    <w:p w:rsidRDefault="005F4C9D" w:rsidP="005F4C9D" w:rsidR="005F4C9D">
      <w:pPr>
        <w:jc w:val="both"/>
      </w:pPr>
      <w:r>
        <w:t>II.</w:t>
      </w:r>
      <w:r>
        <w:tab/>
        <w:t xml:space="preserve">Ovo rješenje i osnova zaključenja stečajnog postupka javno će se objaviti. </w:t>
      </w:r>
    </w:p>
    <w:p w:rsidRDefault="005F4C9D" w:rsidP="005F4C9D" w:rsidR="005F4C9D">
      <w:pPr>
        <w:jc w:val="both"/>
      </w:pPr>
    </w:p>
    <w:p w:rsidRDefault="005F4C9D" w:rsidP="00D72847" w:rsidR="008A1AF8" w:rsidRPr="00D72847">
      <w:pPr>
        <w:jc w:val="both"/>
      </w:pPr>
      <w:r>
        <w:t>III.</w:t>
      </w:r>
      <w:r>
        <w:tab/>
        <w:t>Po pravomoćnosti rješenja o zaključenju postupka stečajni dužnik će se brisati iz sudskog registra.</w:t>
      </w:r>
    </w:p>
    <w:p w:rsidRDefault="00CC292F" w:rsidP="005F4C9D" w:rsidR="008C332C" w:rsidRPr="000E5F12">
      <w:pPr>
        <w:jc w:val="both"/>
        <w:rPr>
          <w:rFonts w:eastAsia="MS Mincho"/>
        </w:rPr>
      </w:pPr>
      <w:r w:rsidRPr="000E5F12">
        <w:rPr>
          <w:lang w:val="de-DE"/>
        </w:rPr>
        <w:tab/>
      </w:r>
    </w:p>
    <w:p w:rsidRDefault="008C332C" w:rsidR="008C33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45349" w:rsidR="0004534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F03D78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Rješenjem </w:t>
      </w:r>
      <w:r>
        <w:rPr>
          <w:rFonts w:cs="Times New Roman" w:eastAsia="MS Mincho" w:hAnsi="Times New Roman" w:ascii="Times New Roman"/>
          <w:sz w:val="24"/>
          <w:szCs w:val="24"/>
        </w:rPr>
        <w:t>ovog suda pos</w:t>
      </w:r>
      <w:r w:rsidR="002E1638">
        <w:rPr>
          <w:rFonts w:cs="Times New Roman" w:eastAsia="MS Mincho" w:hAnsi="Times New Roman" w:ascii="Times New Roman"/>
          <w:sz w:val="24"/>
          <w:szCs w:val="24"/>
        </w:rPr>
        <w:t>lovni broj St-</w:t>
      </w:r>
      <w:r w:rsidR="00C34C2F">
        <w:rPr>
          <w:rFonts w:cs="Times New Roman" w:eastAsia="MS Mincho" w:hAnsi="Times New Roman" w:ascii="Times New Roman"/>
          <w:sz w:val="24"/>
          <w:szCs w:val="24"/>
        </w:rPr>
        <w:t>39/14-8 od 1</w:t>
      </w:r>
      <w:r w:rsidR="002E1638">
        <w:rPr>
          <w:rFonts w:cs="Times New Roman" w:eastAsia="MS Mincho" w:hAnsi="Times New Roman" w:ascii="Times New Roman"/>
          <w:sz w:val="24"/>
          <w:szCs w:val="24"/>
        </w:rPr>
        <w:t>6. s</w:t>
      </w:r>
      <w:r w:rsidR="00C34C2F">
        <w:rPr>
          <w:rFonts w:cs="Times New Roman" w:eastAsia="MS Mincho" w:hAnsi="Times New Roman" w:ascii="Times New Roman"/>
          <w:sz w:val="24"/>
          <w:szCs w:val="24"/>
        </w:rPr>
        <w:t>vibnja 2014</w:t>
      </w:r>
      <w:r>
        <w:rPr>
          <w:rFonts w:cs="Times New Roman" w:eastAsia="MS Mincho" w:hAnsi="Times New Roman" w:ascii="Times New Roman"/>
          <w:sz w:val="24"/>
          <w:szCs w:val="24"/>
        </w:rPr>
        <w:t xml:space="preserve">. </w:t>
      </w:r>
      <w:r w:rsidRPr="00764CCC">
        <w:rPr>
          <w:rFonts w:cs="Times New Roman" w:eastAsia="MS Mincho" w:hAnsi="Times New Roman" w:ascii="Times New Roman"/>
          <w:sz w:val="24"/>
          <w:szCs w:val="24"/>
        </w:rPr>
        <w:t>otvoren je stečajni postupak nad uvodno označ</w:t>
      </w:r>
      <w:r>
        <w:rPr>
          <w:rFonts w:cs="Times New Roman" w:eastAsia="MS Mincho" w:hAnsi="Times New Roman" w:ascii="Times New Roman"/>
          <w:sz w:val="24"/>
          <w:szCs w:val="24"/>
        </w:rPr>
        <w:t>enim dužnikom te je za stečajnu upraviteljicu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imenovan</w:t>
      </w:r>
      <w:r>
        <w:rPr>
          <w:rFonts w:cs="Times New Roman" w:eastAsia="MS Mincho" w:hAnsi="Times New Roman" w:ascii="Times New Roman"/>
          <w:sz w:val="24"/>
          <w:szCs w:val="24"/>
        </w:rPr>
        <w:t>a</w:t>
      </w:r>
      <w:r w:rsidR="00C34C2F">
        <w:rPr>
          <w:rFonts w:cs="Times New Roman" w:eastAsia="MS Mincho" w:hAnsi="Times New Roman" w:ascii="Times New Roman"/>
          <w:sz w:val="24"/>
          <w:szCs w:val="24"/>
        </w:rPr>
        <w:t xml:space="preserve"> Milena Stojovska (sada Veljović) iz Pule</w:t>
      </w:r>
      <w:r w:rsidR="00F03D78">
        <w:rPr>
          <w:rFonts w:cs="Times New Roman" w:eastAsia="MS Mincho" w:hAnsi="Times New Roman" w:ascii="Times New Roman"/>
          <w:sz w:val="24"/>
          <w:szCs w:val="24"/>
        </w:rPr>
        <w:t>.</w:t>
      </w:r>
      <w:r w:rsidR="00411883">
        <w:rPr>
          <w:rFonts w:cs="Times New Roman" w:eastAsia="MS Mincho" w:hAnsi="Times New Roman" w:ascii="Times New Roman"/>
          <w:sz w:val="24"/>
          <w:szCs w:val="24"/>
        </w:rPr>
        <w:t xml:space="preserve"> Stečajna upraviteljica razriješena je dužnosti u ovom stečajnom postupku na vlastiti zahtjev te je rješenjem od 1. </w:t>
      </w:r>
      <w:r w:rsidR="00000CEC">
        <w:rPr>
          <w:rFonts w:cs="Times New Roman" w:eastAsia="MS Mincho" w:hAnsi="Times New Roman" w:ascii="Times New Roman"/>
          <w:sz w:val="24"/>
          <w:szCs w:val="24"/>
        </w:rPr>
        <w:t>l</w:t>
      </w:r>
      <w:r w:rsidR="00411883">
        <w:rPr>
          <w:rFonts w:cs="Times New Roman" w:eastAsia="MS Mincho" w:hAnsi="Times New Roman" w:ascii="Times New Roman"/>
          <w:sz w:val="24"/>
          <w:szCs w:val="24"/>
        </w:rPr>
        <w:t xml:space="preserve">ipnja 2015. </w:t>
      </w:r>
      <w:r w:rsidR="00000CEC">
        <w:rPr>
          <w:rFonts w:cs="Times New Roman" w:eastAsia="MS Mincho" w:hAnsi="Times New Roman" w:ascii="Times New Roman"/>
          <w:sz w:val="24"/>
          <w:szCs w:val="24"/>
        </w:rPr>
        <w:t>s</w:t>
      </w:r>
      <w:r w:rsidR="00411883">
        <w:rPr>
          <w:rFonts w:cs="Times New Roman" w:eastAsia="MS Mincho" w:hAnsi="Times New Roman" w:ascii="Times New Roman"/>
          <w:sz w:val="24"/>
          <w:szCs w:val="24"/>
        </w:rPr>
        <w:t xml:space="preserve">tečajnim upraviteljem imenovan Damir Majstorović iz Pule. </w:t>
      </w:r>
    </w:p>
    <w:p w:rsidRDefault="00764CCC" w:rsidP="00F03D78" w:rsidR="00764CCC" w:rsidRPr="00764CC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FA280F" w:rsidR="00000CE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Na ispitnom ročištu održanom </w:t>
      </w:r>
      <w:r w:rsidR="00CC7CA8">
        <w:rPr>
          <w:rFonts w:cs="Times New Roman" w:eastAsia="MS Mincho" w:hAnsi="Times New Roman" w:ascii="Times New Roman"/>
          <w:sz w:val="24"/>
          <w:szCs w:val="24"/>
        </w:rPr>
        <w:t>22. srpnja 2014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. utvrđene su tražbine vjerovnika </w:t>
      </w:r>
      <w:r w:rsidR="00CC7CA8">
        <w:rPr>
          <w:rFonts w:cs="Times New Roman" w:eastAsia="MS Mincho" w:hAnsi="Times New Roman" w:ascii="Times New Roman"/>
          <w:sz w:val="24"/>
          <w:szCs w:val="24"/>
        </w:rPr>
        <w:t xml:space="preserve">prvog 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višeg isplatnog reda u iznosu od </w:t>
      </w:r>
      <w:r w:rsidR="00CC7CA8">
        <w:rPr>
          <w:rFonts w:cs="Times New Roman" w:eastAsia="MS Mincho" w:hAnsi="Times New Roman" w:ascii="Times New Roman"/>
          <w:sz w:val="24"/>
          <w:szCs w:val="24"/>
        </w:rPr>
        <w:t xml:space="preserve">1.113.275,04 kn te tražbine vjerovnika drugog višeg isplatnog reda u ukupnom iznosu od </w:t>
      </w:r>
      <w:r w:rsidR="00000CEC">
        <w:rPr>
          <w:rFonts w:cs="Times New Roman" w:eastAsia="MS Mincho" w:hAnsi="Times New Roman" w:ascii="Times New Roman"/>
          <w:sz w:val="24"/>
          <w:szCs w:val="24"/>
        </w:rPr>
        <w:t>10.120.057,10 kn. N</w:t>
      </w:r>
      <w:r w:rsidR="00FA280F">
        <w:rPr>
          <w:rFonts w:cs="Times New Roman" w:eastAsia="MS Mincho" w:hAnsi="Times New Roman" w:ascii="Times New Roman"/>
          <w:sz w:val="24"/>
          <w:szCs w:val="24"/>
        </w:rPr>
        <w:t>a ročištu je osporena tražbina vjerovnika drugog višeg isplatnog reda u iznosu od 9</w:t>
      </w:r>
      <w:r w:rsidR="00000CEC">
        <w:rPr>
          <w:rFonts w:cs="Times New Roman" w:eastAsia="MS Mincho" w:hAnsi="Times New Roman" w:ascii="Times New Roman"/>
          <w:sz w:val="24"/>
          <w:szCs w:val="24"/>
        </w:rPr>
        <w:t>93,00 kn, dok su tražbine vjero</w:t>
      </w:r>
      <w:r w:rsidR="00FA280F">
        <w:rPr>
          <w:rFonts w:cs="Times New Roman" w:eastAsia="MS Mincho" w:hAnsi="Times New Roman" w:ascii="Times New Roman"/>
          <w:sz w:val="24"/>
          <w:szCs w:val="24"/>
        </w:rPr>
        <w:t>v</w:t>
      </w:r>
      <w:r w:rsidR="00000CEC">
        <w:rPr>
          <w:rFonts w:cs="Times New Roman" w:eastAsia="MS Mincho" w:hAnsi="Times New Roman" w:ascii="Times New Roman"/>
          <w:sz w:val="24"/>
          <w:szCs w:val="24"/>
        </w:rPr>
        <w:t>n</w:t>
      </w:r>
      <w:r w:rsidR="00FA280F">
        <w:rPr>
          <w:rFonts w:cs="Times New Roman" w:eastAsia="MS Mincho" w:hAnsi="Times New Roman" w:ascii="Times New Roman"/>
          <w:sz w:val="24"/>
          <w:szCs w:val="24"/>
        </w:rPr>
        <w:t>ika HIT d.d. Nova Gorica u iznosu od 122.709.347,61 kn i PUNTA INTERNATIONAL d.o.o. Umag u iznosu od 103.848.934,66 kn izdvojene iz tablice ispitanih tražbina s obzirom na postojanje suglasnosti vjerovnika navedenih (osporenih)</w:t>
      </w:r>
      <w:r w:rsidR="00000CEC">
        <w:rPr>
          <w:rFonts w:cs="Times New Roman" w:eastAsia="MS Mincho" w:hAnsi="Times New Roman" w:ascii="Times New Roman"/>
          <w:sz w:val="24"/>
          <w:szCs w:val="24"/>
        </w:rPr>
        <w:t xml:space="preserve"> tražbi</w:t>
      </w:r>
      <w:r w:rsidR="00FA280F">
        <w:rPr>
          <w:rFonts w:cs="Times New Roman" w:eastAsia="MS Mincho" w:hAnsi="Times New Roman" w:ascii="Times New Roman"/>
          <w:sz w:val="24"/>
          <w:szCs w:val="24"/>
        </w:rPr>
        <w:t xml:space="preserve">na i stečajne upraviteljice o mogućnosti rješenja spornih tražbina mirnim putem. </w:t>
      </w:r>
      <w:r w:rsidR="00000CEC" w:rsidRPr="00000CEC">
        <w:rPr>
          <w:rFonts w:cs="Times New Roman" w:eastAsia="MS Mincho" w:hAnsi="Times New Roman" w:ascii="Times New Roman"/>
          <w:sz w:val="24"/>
          <w:szCs w:val="24"/>
        </w:rPr>
        <w:t>Na izvještajnom ročištu od 22. srpnja 2014. utvrđeno je da imovinu stečajnog dužnika čine pokretnine</w:t>
      </w:r>
      <w:r w:rsidR="00000CEC">
        <w:rPr>
          <w:rFonts w:cs="Times New Roman" w:eastAsia="MS Mincho" w:hAnsi="Times New Roman" w:ascii="Times New Roman"/>
          <w:sz w:val="24"/>
          <w:szCs w:val="24"/>
        </w:rPr>
        <w:t xml:space="preserve"> i to aparati za igre na sreću (</w:t>
      </w:r>
      <w:r w:rsidR="00000CEC" w:rsidRPr="00000CEC">
        <w:rPr>
          <w:rFonts w:cs="Times New Roman" w:eastAsia="MS Mincho" w:hAnsi="Times New Roman" w:ascii="Times New Roman"/>
          <w:sz w:val="24"/>
          <w:szCs w:val="24"/>
        </w:rPr>
        <w:t>koji su opterećeni založn</w:t>
      </w:r>
      <w:r w:rsidR="00000CEC">
        <w:rPr>
          <w:rFonts w:cs="Times New Roman" w:eastAsia="MS Mincho" w:hAnsi="Times New Roman" w:ascii="Times New Roman"/>
          <w:sz w:val="24"/>
          <w:szCs w:val="24"/>
        </w:rPr>
        <w:t>im pravom) i igraći stolovi</w:t>
      </w:r>
      <w:r w:rsidR="00000CEC" w:rsidRPr="00000CEC">
        <w:rPr>
          <w:rFonts w:cs="Times New Roman" w:eastAsia="MS Mincho" w:hAnsi="Times New Roman" w:ascii="Times New Roman"/>
          <w:sz w:val="24"/>
          <w:szCs w:val="24"/>
        </w:rPr>
        <w:t>.</w:t>
      </w:r>
      <w:r w:rsidR="00AC4809">
        <w:rPr>
          <w:rFonts w:cs="Times New Roman" w:eastAsia="MS Mincho" w:hAnsi="Times New Roman" w:ascii="Times New Roman"/>
          <w:sz w:val="24"/>
          <w:szCs w:val="24"/>
        </w:rPr>
        <w:t xml:space="preserve"> Tijekom postupka imovina stečajnog dužnika procijenjena je na iznos od 5.598.218,00 kn.</w:t>
      </w:r>
      <w:r w:rsidR="00000CEC" w:rsidRPr="00000CEC">
        <w:rPr>
          <w:rFonts w:cs="Times New Roman" w:eastAsia="MS Mincho" w:hAnsi="Times New Roman" w:ascii="Times New Roman"/>
          <w:sz w:val="24"/>
          <w:szCs w:val="24"/>
        </w:rPr>
        <w:t xml:space="preserve"> Na izvještajnom ročištu skupština vjerovnika donijela je odluku o unovčenju imovine stečajnog dužnika od strane stečajne upraviteljice.</w:t>
      </w:r>
    </w:p>
    <w:p w:rsidRDefault="00000CEC" w:rsidP="00FA280F" w:rsidR="00000CE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52C0F" w:rsidP="00000CEC" w:rsidR="00F03D78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Na posebnom ispitnom ročištu održanom 25. </w:t>
      </w:r>
      <w:r w:rsidR="00000CE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vibnja 2015. </w:t>
      </w:r>
      <w:r w:rsidR="00000CE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>tvrđene su tražbine vjerovnika drug</w:t>
      </w:r>
      <w:r w:rsidR="00000CEC">
        <w:rPr>
          <w:rFonts w:cs="Times New Roman" w:eastAsia="MS Mincho" w:hAnsi="Times New Roman" w:ascii="Times New Roman"/>
          <w:sz w:val="24"/>
          <w:szCs w:val="24"/>
        </w:rPr>
        <w:t>og višeg isp</w:t>
      </w:r>
      <w:r>
        <w:rPr>
          <w:rFonts w:cs="Times New Roman" w:eastAsia="MS Mincho" w:hAnsi="Times New Roman" w:ascii="Times New Roman"/>
          <w:sz w:val="24"/>
          <w:szCs w:val="24"/>
        </w:rPr>
        <w:t>l</w:t>
      </w:r>
      <w:r w:rsidR="00000CEC">
        <w:rPr>
          <w:rFonts w:cs="Times New Roman" w:eastAsia="MS Mincho" w:hAnsi="Times New Roman" w:ascii="Times New Roman"/>
          <w:sz w:val="24"/>
          <w:szCs w:val="24"/>
        </w:rPr>
        <w:t xml:space="preserve">atnog reda u </w:t>
      </w:r>
      <w:r>
        <w:rPr>
          <w:rFonts w:cs="Times New Roman" w:eastAsia="MS Mincho" w:hAnsi="Times New Roman" w:ascii="Times New Roman"/>
          <w:sz w:val="24"/>
          <w:szCs w:val="24"/>
        </w:rPr>
        <w:t>iznosu od 283.873,48 kn</w:t>
      </w:r>
      <w:r w:rsidR="00EB31B7">
        <w:rPr>
          <w:rFonts w:cs="Times New Roman" w:eastAsia="MS Mincho" w:hAnsi="Times New Roman" w:ascii="Times New Roman"/>
          <w:sz w:val="24"/>
          <w:szCs w:val="24"/>
        </w:rPr>
        <w:t xml:space="preserve">, dok su osporene tražbine u daljnjem iznosu od 5.565.831,33 kn. S obzirom na to da stranke nisu postigle nagodbu u odnosu na tražbine vjerovnika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EB31B7" w:rsidRPr="00EB31B7">
        <w:rPr>
          <w:rFonts w:cs="Times New Roman" w:eastAsia="MS Mincho" w:hAnsi="Times New Roman" w:ascii="Times New Roman"/>
          <w:sz w:val="24"/>
          <w:szCs w:val="24"/>
        </w:rPr>
        <w:t xml:space="preserve">HIT d.d. Nova Gorica i PUNTA INTERNATIONAL d.o.o. </w:t>
      </w:r>
      <w:r w:rsidR="00EB31B7" w:rsidRPr="00EB31B7">
        <w:rPr>
          <w:rFonts w:cs="Times New Roman" w:eastAsia="MS Mincho" w:hAnsi="Times New Roman" w:ascii="Times New Roman"/>
          <w:sz w:val="24"/>
          <w:szCs w:val="24"/>
        </w:rPr>
        <w:lastRenderedPageBreak/>
        <w:t>Umag</w:t>
      </w:r>
      <w:r w:rsidR="00EB31B7">
        <w:rPr>
          <w:rFonts w:cs="Times New Roman" w:eastAsia="MS Mincho" w:hAnsi="Times New Roman" w:ascii="Times New Roman"/>
          <w:sz w:val="24"/>
          <w:szCs w:val="24"/>
        </w:rPr>
        <w:t xml:space="preserve">, rješenjem ovog suda od 1. </w:t>
      </w:r>
      <w:r w:rsidR="00000CEC">
        <w:rPr>
          <w:rFonts w:cs="Times New Roman" w:eastAsia="MS Mincho" w:hAnsi="Times New Roman" w:ascii="Times New Roman"/>
          <w:sz w:val="24"/>
          <w:szCs w:val="24"/>
        </w:rPr>
        <w:t>l</w:t>
      </w:r>
      <w:r w:rsidR="00EB31B7">
        <w:rPr>
          <w:rFonts w:cs="Times New Roman" w:eastAsia="MS Mincho" w:hAnsi="Times New Roman" w:ascii="Times New Roman"/>
          <w:sz w:val="24"/>
          <w:szCs w:val="24"/>
        </w:rPr>
        <w:t xml:space="preserve">ipnja 2015. </w:t>
      </w:r>
      <w:r w:rsidR="00000CEC">
        <w:rPr>
          <w:rFonts w:cs="Times New Roman" w:eastAsia="MS Mincho" w:hAnsi="Times New Roman" w:ascii="Times New Roman"/>
          <w:sz w:val="24"/>
          <w:szCs w:val="24"/>
        </w:rPr>
        <w:t>u</w:t>
      </w:r>
      <w:r w:rsidR="00EB31B7">
        <w:rPr>
          <w:rFonts w:cs="Times New Roman" w:eastAsia="MS Mincho" w:hAnsi="Times New Roman" w:ascii="Times New Roman"/>
          <w:sz w:val="24"/>
          <w:szCs w:val="24"/>
        </w:rPr>
        <w:t>pućeni su stečajni vjerovnici, odnosno stečajni upravitelj na parnicu radi utvrđenja osnovanosti tih tražbina, odnosno radi utvrđenje osnovanosti osporavanja (stečajni upravitelj).</w:t>
      </w:r>
      <w:r w:rsidR="00EB31B7" w:rsidRPr="00EB31B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00CEC" w:rsidP="00000CEC" w:rsidR="00000CE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03D78" w:rsidP="00F03D78" w:rsidR="00EB31B7">
      <w:pPr>
        <w:ind w:firstLine="708"/>
        <w:jc w:val="both"/>
        <w:rPr>
          <w:rFonts w:eastAsia="MS Mincho"/>
        </w:rPr>
      </w:pPr>
      <w:r w:rsidRPr="00F03D78">
        <w:rPr>
          <w:rFonts w:eastAsia="MS Mincho"/>
        </w:rPr>
        <w:t xml:space="preserve">Tijekom stečajnog postupka unovčena je </w:t>
      </w:r>
      <w:r w:rsidR="00EB31B7">
        <w:rPr>
          <w:rFonts w:eastAsia="MS Mincho"/>
        </w:rPr>
        <w:t>cjelokupna imovina stečajnog dužnika (njegove pokretnine)</w:t>
      </w:r>
      <w:r w:rsidR="00AC4809">
        <w:rPr>
          <w:rFonts w:eastAsia="MS Mincho"/>
        </w:rPr>
        <w:t xml:space="preserve"> za ukupan iznos od 2.676.644,48 kn, s time da je priliv sredstava u stečajnom postupku iznosio ukupno 9.637.675,62 kn (koji iznos uključuje povrat zaplijenjenih sredstava po nalogu FINE, naplaćena potraživanja, povrat PDV-a, kamate i tečajne razlike i vrijednost unovčene imovine – pokretnina, a kako proizlazi iz završnog računa stečajnog upravitelja)</w:t>
      </w:r>
      <w:r w:rsidR="00EB31B7">
        <w:rPr>
          <w:rFonts w:eastAsia="MS Mincho"/>
        </w:rPr>
        <w:t xml:space="preserve"> te su</w:t>
      </w:r>
      <w:r w:rsidR="00000CEC">
        <w:rPr>
          <w:rFonts w:eastAsia="MS Mincho"/>
        </w:rPr>
        <w:t xml:space="preserve"> </w:t>
      </w:r>
      <w:r w:rsidR="00EB31B7">
        <w:rPr>
          <w:rFonts w:eastAsia="MS Mincho"/>
        </w:rPr>
        <w:t xml:space="preserve">prvom djelomičnom diobom stečajne mase (list 507 do 512 spisa) u cijelosti namireni svi vjerovnici prvog višeg isplatnog reda. Završnom diobom namireni su stečajni vjerovnici drugog višeg isplatnog reda u visini od 3,40% njihovih tražbina. </w:t>
      </w:r>
      <w:r w:rsidR="00411883">
        <w:rPr>
          <w:rFonts w:eastAsia="MS Mincho"/>
        </w:rPr>
        <w:t>Nadalje, tijekom postupka namireni su i troškovi stečajnog postupka i ostale obveze stečajne mase u iznosu u ukupnom iznosu od</w:t>
      </w:r>
      <w:r w:rsidR="00000CEC">
        <w:rPr>
          <w:rFonts w:eastAsia="MS Mincho"/>
        </w:rPr>
        <w:t xml:space="preserve"> 2.330.403,68 kn. Parni</w:t>
      </w:r>
      <w:r w:rsidR="00411883">
        <w:rPr>
          <w:rFonts w:eastAsia="MS Mincho"/>
        </w:rPr>
        <w:t xml:space="preserve">čni postupci u kojima se stečajni dužnik pojavljivao kao stranka su okončani (pri čemu se napominje da su postupci uglavnom vođeni između stečajnog </w:t>
      </w:r>
      <w:r w:rsidR="00612BE7">
        <w:rPr>
          <w:rFonts w:eastAsia="MS Mincho"/>
        </w:rPr>
        <w:t>dužnika i trgovačkog društva Pu</w:t>
      </w:r>
      <w:r w:rsidR="00000CEC">
        <w:rPr>
          <w:rFonts w:eastAsia="MS Mincho"/>
        </w:rPr>
        <w:t>nta international d.o.o. koji nakon o</w:t>
      </w:r>
      <w:r w:rsidR="00612BE7">
        <w:rPr>
          <w:rFonts w:eastAsia="MS Mincho"/>
        </w:rPr>
        <w:t xml:space="preserve">tvaranja stečajnog postupka nad Punta international d.o.o. nisu nastavljeni). </w:t>
      </w:r>
      <w:r w:rsidR="00411883">
        <w:rPr>
          <w:rFonts w:eastAsia="MS Mincho"/>
        </w:rPr>
        <w:t xml:space="preserve"> </w:t>
      </w:r>
    </w:p>
    <w:p w:rsidRDefault="00CE2B25" w:rsidP="00612BE7" w:rsidR="00CE2B2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E2B25" w:rsidP="00764CCC" w:rsidR="00CE2B25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Dakle, n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akon unovčenja cjelokupne imovine stečajnog dužnika, rješenjem ovog suda od </w:t>
      </w:r>
      <w:r w:rsidR="00612BE7">
        <w:rPr>
          <w:rFonts w:cs="Times New Roman" w:eastAsia="MS Mincho" w:hAnsi="Times New Roman" w:ascii="Times New Roman"/>
          <w:sz w:val="24"/>
          <w:szCs w:val="24"/>
        </w:rPr>
        <w:t>12. veljače 2018. kojim je stečajnom upravitelju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dana suglasnost za završnu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 diobu stečajne mase prema podnesenom završnom diobnom popisu, sud je odredio i </w:t>
      </w:r>
      <w:r w:rsidR="00612BE7">
        <w:rPr>
          <w:rFonts w:cs="Times New Roman" w:eastAsia="MS Mincho" w:hAnsi="Times New Roman" w:ascii="Times New Roman"/>
          <w:sz w:val="24"/>
          <w:szCs w:val="24"/>
        </w:rPr>
        <w:t>završno ročište vjerovnika za 6. travnja 2018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. radi rasprave o završnom računu stečajnoga upravitelja i radi podnošenja prigovora na završni popis. </w:t>
      </w:r>
    </w:p>
    <w:p w:rsidRDefault="00CE2B25" w:rsidP="00764CCC" w:rsidR="00CE2B25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Zbroj tražbina i raspoloživi iznos iz stečajne mase koji će se raspodijeliti vjerovnicima prema završnoj diobi kao i poziv vjerovnicima na završno ročište javno je objavljen na web stran</w:t>
      </w:r>
      <w:r w:rsidR="00612BE7">
        <w:rPr>
          <w:rFonts w:cs="Times New Roman" w:eastAsia="MS Mincho" w:hAnsi="Times New Roman" w:ascii="Times New Roman"/>
          <w:sz w:val="24"/>
          <w:szCs w:val="24"/>
        </w:rPr>
        <w:t>ici e-oglasna ploča suda dana 12. veljače 2018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. te je istog dana javno objavljen i završni račun </w:t>
      </w:r>
      <w:r w:rsidR="00CE2B25">
        <w:rPr>
          <w:rFonts w:cs="Times New Roman" w:eastAsia="MS Mincho" w:hAnsi="Times New Roman" w:ascii="Times New Roman"/>
          <w:sz w:val="24"/>
          <w:szCs w:val="24"/>
        </w:rPr>
        <w:t>(završno izvje</w:t>
      </w:r>
      <w:r w:rsidR="00612BE7">
        <w:rPr>
          <w:rFonts w:cs="Times New Roman" w:eastAsia="MS Mincho" w:hAnsi="Times New Roman" w:ascii="Times New Roman"/>
          <w:sz w:val="24"/>
          <w:szCs w:val="24"/>
        </w:rPr>
        <w:t>šće) stečajnog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u</w:t>
      </w:r>
      <w:r w:rsidR="00612BE7">
        <w:rPr>
          <w:rFonts w:cs="Times New Roman" w:eastAsia="MS Mincho" w:hAnsi="Times New Roman" w:ascii="Times New Roman"/>
          <w:sz w:val="24"/>
          <w:szCs w:val="24"/>
        </w:rPr>
        <w:t>pravitelja</w:t>
      </w:r>
      <w:r w:rsidRPr="00764CCC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2E1638" w:rsidP="00764CCC" w:rsidR="002E1638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612BE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Sud je</w:t>
      </w:r>
      <w:r w:rsidR="00612BE7">
        <w:rPr>
          <w:rFonts w:cs="Times New Roman" w:eastAsia="MS Mincho" w:hAnsi="Times New Roman" w:ascii="Times New Roman"/>
          <w:sz w:val="24"/>
          <w:szCs w:val="24"/>
        </w:rPr>
        <w:t xml:space="preserve"> ispitao završni račun stečajnog upravitelja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te je na završnom ročištu završni račun raspravljen. </w:t>
      </w:r>
      <w:r w:rsidR="00612BE7">
        <w:rPr>
          <w:rFonts w:cs="Times New Roman" w:eastAsia="MS Mincho" w:hAnsi="Times New Roman" w:ascii="Times New Roman"/>
          <w:sz w:val="24"/>
          <w:szCs w:val="24"/>
        </w:rPr>
        <w:t xml:space="preserve">Na završnom ročištu stečajni upravitelj je naveo kako će pristupiti završnoj diobi po okončanju ročišta. 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12BE7" w:rsidP="00764CCC" w:rsidR="00612BE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12BE7" w:rsidP="00612BE7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Na završno ročište pristupio je vjerovnik HIT </w:t>
      </w:r>
      <w:r w:rsidRPr="00612BE7">
        <w:rPr>
          <w:rFonts w:cs="Times New Roman" w:eastAsia="MS Mincho" w:hAnsi="Times New Roman" w:ascii="Times New Roman"/>
          <w:sz w:val="24"/>
          <w:szCs w:val="24"/>
        </w:rPr>
        <w:t>d.d. Nova Gorica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koji nije imao prigovora na završni popis te je u cijelosti prihvatio izvješće stečajnog upravitelja kao i završni račun. Ostali vjerovnici, 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iako uredno pozvani, nisu pristupili završnom ročištu, niti su podnijeli prigovor na završni popis. </w:t>
      </w:r>
    </w:p>
    <w:p w:rsidRDefault="00764CCC" w:rsidP="00CE2B25" w:rsidR="00764CCC" w:rsidRPr="00764CC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Kako je odredbom čl. 196. st. 1. SZ-a propisano da će stečajni sudac odmah nakon okončanja završne diobe donijeti rješenje o zaključenju stečajnoga postupka te kako je uvidom u spis utvrđeno da je unovčena cjelokupna imovina stečajnog dužnika, primjenom navedene odredbe koja se u ovom slučaju primjenjuje na temelju odredbe čl. 441. st. 1. Stečajnog zakona („Narodne novine“ broj 71/15; dalje: SZ/15), riješeno je kao u točki I. izreke rješenja.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Odluka iz točke II. izreke rješenja donesena je sukladno čl. 196. st. 2. SZ-a i čl. 12. u vezi sa čl. 441. st. 2. SZ/15.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lastRenderedPageBreak/>
        <w:t>Sukladno odredbi čl. 196. st. 3. SZ određeno je da će se rješenje o zaključenju postupka po pravomoćnosti dostaviti sudskom registru radi brisanja te je zato odlučeno kao pod točkom III. izreke ovog rješenja.</w:t>
      </w:r>
    </w:p>
    <w:p w:rsidRDefault="00764CCC" w:rsidP="00045349" w:rsid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878C7" w:rsidP="000446C6" w:rsidR="00CD47C2" w:rsidRPr="000E5F12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>
        <w:rPr>
          <w:rFonts w:eastAsia="MS Mincho"/>
        </w:rPr>
        <w:t>U Rijeci</w:t>
      </w:r>
      <w:r w:rsidR="00C35FB0">
        <w:rPr>
          <w:rFonts w:eastAsia="MS Mincho"/>
        </w:rPr>
        <w:t xml:space="preserve"> </w:t>
      </w:r>
      <w:r w:rsidR="00612BE7">
        <w:rPr>
          <w:lang w:val="de-DE"/>
        </w:rPr>
        <w:t>26</w:t>
      </w:r>
      <w:r w:rsidR="00FE1B5C">
        <w:rPr>
          <w:lang w:val="de-DE"/>
        </w:rPr>
        <w:t xml:space="preserve">. </w:t>
      </w:r>
      <w:r w:rsidR="00AC4809" w:rsidRPr="001D66BF">
        <w:t>t</w:t>
      </w:r>
      <w:r w:rsidR="00612BE7" w:rsidRPr="001D66BF">
        <w:t>ravnja</w:t>
      </w:r>
      <w:r w:rsidR="00AC4809">
        <w:rPr>
          <w:lang w:val="de-DE"/>
        </w:rPr>
        <w:t xml:space="preserve"> </w:t>
      </w:r>
      <w:r w:rsidR="00612BE7">
        <w:t>2018</w:t>
      </w:r>
      <w:r w:rsidR="007571DC" w:rsidRPr="000E5F12">
        <w:t>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1D66BF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 xml:space="preserve">           </w:t>
      </w:r>
      <w:r w:rsidR="009D420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  <w:r w:rsidR="001D66BF">
        <w:rPr>
          <w:rFonts w:cs="Times New Roman" w:eastAsia="MS Mincho" w:hAnsi="Times New Roman" w:ascii="Times New Roman"/>
          <w:sz w:val="24"/>
          <w:szCs w:val="24"/>
        </w:rPr>
        <w:tab/>
      </w:r>
      <w:r w:rsidR="001D66BF">
        <w:rPr>
          <w:rFonts w:cs="Times New Roman" w:eastAsia="MS Mincho" w:hAnsi="Times New Roman" w:ascii="Times New Roman"/>
          <w:sz w:val="24"/>
          <w:szCs w:val="24"/>
        </w:rPr>
        <w:tab/>
      </w:r>
      <w:r w:rsidR="001D66BF">
        <w:rPr>
          <w:rFonts w:cs="Times New Roman" w:eastAsia="MS Mincho" w:hAnsi="Times New Roman" w:ascii="Times New Roman"/>
          <w:sz w:val="24"/>
          <w:szCs w:val="24"/>
        </w:rPr>
        <w:tab/>
      </w:r>
      <w:r w:rsidR="001D66BF">
        <w:rPr>
          <w:rFonts w:cs="Times New Roman" w:eastAsia="MS Mincho" w:hAnsi="Times New Roman" w:ascii="Times New Roman"/>
          <w:sz w:val="24"/>
          <w:szCs w:val="24"/>
        </w:rPr>
        <w:tab/>
      </w:r>
      <w:r w:rsidR="009D4202">
        <w:rPr>
          <w:rFonts w:cs="Times New Roman" w:eastAsia="MS Mincho" w:hAnsi="Times New Roman" w:ascii="Times New Roman"/>
          <w:sz w:val="24"/>
          <w:szCs w:val="24"/>
        </w:rPr>
        <w:t>S</w:t>
      </w:r>
      <w:r w:rsidR="00042791">
        <w:rPr>
          <w:rFonts w:cs="Times New Roman" w:eastAsia="MS Mincho" w:hAnsi="Times New Roman" w:ascii="Times New Roman"/>
          <w:sz w:val="24"/>
          <w:szCs w:val="24"/>
        </w:rPr>
        <w:t>utkinja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P="001D66BF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="001D66BF">
        <w:rPr>
          <w:rFonts w:cs="Times New Roman" w:eastAsia="MS Mincho" w:hAnsi="Times New Roman" w:ascii="Times New Roman"/>
          <w:sz w:val="24"/>
          <w:szCs w:val="24"/>
        </w:rPr>
        <w:tab/>
      </w:r>
      <w:r w:rsidR="001D66BF">
        <w:rPr>
          <w:rFonts w:cs="Times New Roman" w:eastAsia="MS Mincho" w:hAnsi="Times New Roman" w:ascii="Times New Roman"/>
          <w:sz w:val="24"/>
          <w:szCs w:val="24"/>
        </w:rPr>
        <w:tab/>
      </w:r>
      <w:r w:rsidR="001D66BF">
        <w:rPr>
          <w:rFonts w:cs="Times New Roman" w:eastAsia="MS Mincho" w:hAnsi="Times New Roman" w:ascii="Times New Roman"/>
          <w:sz w:val="24"/>
          <w:szCs w:val="24"/>
        </w:rPr>
        <w:tab/>
        <w:t xml:space="preserve">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66BF" w:rsidR="001D66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66BF" w:rsidR="001D66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66BF" w:rsidR="001D66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  <w:r w:rsidR="0004279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1D66BF" w:rsidR="00B567FA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sectPr w:rsidSect="001D66BF" w:rsidR="004A6D65" w:rsidRPr="000E5F12">
      <w:headerReference w:type="default" r:id="rId9"/>
      <w:foot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E3F" w:rsidR="00C96E3F">
      <w:r>
        <w:separator/>
      </w:r>
    </w:p>
  </w:endnote>
  <w:endnote w:id="0" w:type="continuationSeparator">
    <w:p w:rsidRDefault="00C96E3F" w:rsidR="00C96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039485"/>
      <w:docPartObj>
        <w:docPartGallery w:val="Page Numbers (Bottom of Page)"/>
        <w:docPartUnique/>
      </w:docPartObj>
    </w:sdtPr>
    <w:sdtEndPr/>
    <w:sdtContent>
      <w:p w:rsidRDefault="001D66BF" w:rsidR="001D66B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E4A">
          <w:rPr>
            <w:noProof/>
          </w:rPr>
          <w:t>3</w:t>
        </w:r>
        <w:r>
          <w:fldChar w:fldCharType="end"/>
        </w:r>
      </w:p>
    </w:sdtContent>
  </w:sdt>
  <w:p w:rsidRDefault="001D66BF" w:rsidR="001D66B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5179761"/>
      <w:docPartObj>
        <w:docPartGallery w:val="Page Numbers (Bottom of Page)"/>
        <w:docPartUnique/>
      </w:docPartObj>
    </w:sdtPr>
    <w:sdtEndPr/>
    <w:sdtContent>
      <w:p w:rsidRDefault="001D66BF" w:rsidR="001D66B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E4A">
          <w:rPr>
            <w:noProof/>
          </w:rPr>
          <w:t>1</w:t>
        </w:r>
        <w:r>
          <w:fldChar w:fldCharType="end"/>
        </w:r>
      </w:p>
    </w:sdtContent>
  </w:sdt>
  <w:p w:rsidRDefault="001D66BF" w:rsidR="001D66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E3F" w:rsidR="00C96E3F">
      <w:r>
        <w:separator/>
      </w:r>
    </w:p>
  </w:footnote>
  <w:footnote w:id="0" w:type="continuationSeparator">
    <w:p w:rsidRDefault="00C96E3F" w:rsidR="00C96E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6BF" w:rsidP="001D66BF" w:rsidR="001D66BF">
    <w:pPr>
      <w:pStyle w:val="Zaglavlje"/>
      <w:jc w:val="right"/>
    </w:pPr>
    <w:r>
      <w:tab/>
    </w:r>
    <w:r>
      <w:tab/>
      <w:t>8 St-39/14-161</w:t>
    </w: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9A1" w:rsidP="00A45EAD" w:rsidR="009B29A1" w:rsidRPr="009B29A1">
    <w:pPr>
      <w:ind w:firstLine="708"/>
      <w:rPr>
        <w:sz w:val="20"/>
        <w:szCs w:val="20"/>
      </w:rPr>
    </w:pPr>
    <w:r w:rsidRPr="009B29A1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B29A1" w:rsidP="00210E4E" w:rsidR="009B29A1" w:rsidRPr="009B29A1">
    <w:pPr>
      <w:rPr>
        <w:sz w:val="20"/>
        <w:szCs w:val="20"/>
      </w:rPr>
    </w:pPr>
    <w:r w:rsidRPr="009B29A1">
      <w:rPr>
        <w:rFonts w:eastAsia="MS Mincho"/>
        <w:sz w:val="20"/>
        <w:szCs w:val="20"/>
      </w:rPr>
      <w:t>REPUBLIKA HRVATSKA</w:t>
    </w:r>
  </w:p>
  <w:p w:rsidRDefault="009B29A1" w:rsidP="00210E4E" w:rsidR="009B29A1" w:rsidRPr="009B29A1">
    <w:pPr>
      <w:rPr>
        <w:sz w:val="20"/>
        <w:szCs w:val="20"/>
      </w:rPr>
    </w:pPr>
    <w:r w:rsidRPr="009B29A1">
      <w:rPr>
        <w:rFonts w:eastAsia="MS Mincho"/>
        <w:sz w:val="20"/>
        <w:szCs w:val="20"/>
      </w:rPr>
      <w:t>TRGOVAČKI SUD U RIJECI</w:t>
    </w:r>
  </w:p>
  <w:p w:rsidRDefault="009B29A1" w:rsidP="00A45EAD" w:rsidR="009B29A1" w:rsidRPr="009B29A1">
    <w:pPr>
      <w:rPr>
        <w:rFonts w:eastAsia="MS Mincho"/>
        <w:sz w:val="20"/>
        <w:szCs w:val="20"/>
      </w:rPr>
    </w:pPr>
    <w:r w:rsidRPr="009B29A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00CEC"/>
    <w:rsid w:val="00031478"/>
    <w:rsid w:val="000355AE"/>
    <w:rsid w:val="00042791"/>
    <w:rsid w:val="000446C6"/>
    <w:rsid w:val="00045349"/>
    <w:rsid w:val="00056998"/>
    <w:rsid w:val="0005708C"/>
    <w:rsid w:val="00066A64"/>
    <w:rsid w:val="00097531"/>
    <w:rsid w:val="00097B47"/>
    <w:rsid w:val="000B6893"/>
    <w:rsid w:val="000C526E"/>
    <w:rsid w:val="000D79F8"/>
    <w:rsid w:val="000E5F12"/>
    <w:rsid w:val="000F2969"/>
    <w:rsid w:val="000F59CA"/>
    <w:rsid w:val="00103C00"/>
    <w:rsid w:val="001072B7"/>
    <w:rsid w:val="00124614"/>
    <w:rsid w:val="001350A8"/>
    <w:rsid w:val="001353CB"/>
    <w:rsid w:val="00145ECD"/>
    <w:rsid w:val="001540C7"/>
    <w:rsid w:val="00175A92"/>
    <w:rsid w:val="00190A0E"/>
    <w:rsid w:val="001B17CD"/>
    <w:rsid w:val="001B38A4"/>
    <w:rsid w:val="001C1CCF"/>
    <w:rsid w:val="001C46FE"/>
    <w:rsid w:val="001D66BF"/>
    <w:rsid w:val="001E0168"/>
    <w:rsid w:val="00215281"/>
    <w:rsid w:val="00216C25"/>
    <w:rsid w:val="00225BE3"/>
    <w:rsid w:val="00232081"/>
    <w:rsid w:val="002578C2"/>
    <w:rsid w:val="00281EE6"/>
    <w:rsid w:val="00290C38"/>
    <w:rsid w:val="002D558C"/>
    <w:rsid w:val="002D6891"/>
    <w:rsid w:val="002E1638"/>
    <w:rsid w:val="002F2996"/>
    <w:rsid w:val="002F436C"/>
    <w:rsid w:val="002F7872"/>
    <w:rsid w:val="00305D5C"/>
    <w:rsid w:val="00333678"/>
    <w:rsid w:val="0033562F"/>
    <w:rsid w:val="003453A0"/>
    <w:rsid w:val="00352C0F"/>
    <w:rsid w:val="00363640"/>
    <w:rsid w:val="0038203A"/>
    <w:rsid w:val="00391E41"/>
    <w:rsid w:val="00396627"/>
    <w:rsid w:val="003A7B84"/>
    <w:rsid w:val="003C27F0"/>
    <w:rsid w:val="00411883"/>
    <w:rsid w:val="00414C05"/>
    <w:rsid w:val="00416609"/>
    <w:rsid w:val="0043064E"/>
    <w:rsid w:val="00441869"/>
    <w:rsid w:val="004431E6"/>
    <w:rsid w:val="00452DE9"/>
    <w:rsid w:val="00463D96"/>
    <w:rsid w:val="00475574"/>
    <w:rsid w:val="004A6D65"/>
    <w:rsid w:val="004D2350"/>
    <w:rsid w:val="004E4D4F"/>
    <w:rsid w:val="004F1E03"/>
    <w:rsid w:val="004F4DF5"/>
    <w:rsid w:val="00502386"/>
    <w:rsid w:val="005060F2"/>
    <w:rsid w:val="00521765"/>
    <w:rsid w:val="00566E0D"/>
    <w:rsid w:val="005736A0"/>
    <w:rsid w:val="00575372"/>
    <w:rsid w:val="00595B7A"/>
    <w:rsid w:val="005A05B5"/>
    <w:rsid w:val="005D19BE"/>
    <w:rsid w:val="005D4508"/>
    <w:rsid w:val="005F4C9D"/>
    <w:rsid w:val="00612BE7"/>
    <w:rsid w:val="00640D81"/>
    <w:rsid w:val="00645DEA"/>
    <w:rsid w:val="00681AAE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4CCC"/>
    <w:rsid w:val="00767AB8"/>
    <w:rsid w:val="00793ED0"/>
    <w:rsid w:val="007A05A0"/>
    <w:rsid w:val="007A251B"/>
    <w:rsid w:val="007A3DED"/>
    <w:rsid w:val="007A75DD"/>
    <w:rsid w:val="007B0D2D"/>
    <w:rsid w:val="007E4F01"/>
    <w:rsid w:val="007F17C9"/>
    <w:rsid w:val="00803C44"/>
    <w:rsid w:val="00807785"/>
    <w:rsid w:val="0081411A"/>
    <w:rsid w:val="008236A0"/>
    <w:rsid w:val="0082408A"/>
    <w:rsid w:val="0082666D"/>
    <w:rsid w:val="00857A91"/>
    <w:rsid w:val="008619EA"/>
    <w:rsid w:val="00881EB1"/>
    <w:rsid w:val="008A1AF8"/>
    <w:rsid w:val="008A613E"/>
    <w:rsid w:val="008B3D5A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23D04"/>
    <w:rsid w:val="00953DD6"/>
    <w:rsid w:val="009565EA"/>
    <w:rsid w:val="0097510C"/>
    <w:rsid w:val="0099348F"/>
    <w:rsid w:val="0099665C"/>
    <w:rsid w:val="009A46E7"/>
    <w:rsid w:val="009B29A1"/>
    <w:rsid w:val="009D4202"/>
    <w:rsid w:val="009D459F"/>
    <w:rsid w:val="00A0317B"/>
    <w:rsid w:val="00A145E8"/>
    <w:rsid w:val="00A55E6B"/>
    <w:rsid w:val="00A65B0B"/>
    <w:rsid w:val="00AB3FDE"/>
    <w:rsid w:val="00AC4809"/>
    <w:rsid w:val="00AD6767"/>
    <w:rsid w:val="00AD7DF0"/>
    <w:rsid w:val="00AE19AE"/>
    <w:rsid w:val="00AE616E"/>
    <w:rsid w:val="00B32A38"/>
    <w:rsid w:val="00B42656"/>
    <w:rsid w:val="00B428E2"/>
    <w:rsid w:val="00B44D61"/>
    <w:rsid w:val="00B567FA"/>
    <w:rsid w:val="00B65239"/>
    <w:rsid w:val="00B73AFB"/>
    <w:rsid w:val="00B75377"/>
    <w:rsid w:val="00B96694"/>
    <w:rsid w:val="00BB4EB9"/>
    <w:rsid w:val="00BB7D32"/>
    <w:rsid w:val="00BD19FD"/>
    <w:rsid w:val="00C017F8"/>
    <w:rsid w:val="00C07EC5"/>
    <w:rsid w:val="00C30B01"/>
    <w:rsid w:val="00C34C2F"/>
    <w:rsid w:val="00C35FB0"/>
    <w:rsid w:val="00C64F54"/>
    <w:rsid w:val="00C66F60"/>
    <w:rsid w:val="00C736EC"/>
    <w:rsid w:val="00C77261"/>
    <w:rsid w:val="00C83818"/>
    <w:rsid w:val="00C878C7"/>
    <w:rsid w:val="00C95433"/>
    <w:rsid w:val="00C96E3F"/>
    <w:rsid w:val="00CC208C"/>
    <w:rsid w:val="00CC292F"/>
    <w:rsid w:val="00CC3F31"/>
    <w:rsid w:val="00CC46A2"/>
    <w:rsid w:val="00CC5E43"/>
    <w:rsid w:val="00CC6816"/>
    <w:rsid w:val="00CC7CA8"/>
    <w:rsid w:val="00CD47C2"/>
    <w:rsid w:val="00CE2B25"/>
    <w:rsid w:val="00CE47F1"/>
    <w:rsid w:val="00D067B1"/>
    <w:rsid w:val="00D45CF8"/>
    <w:rsid w:val="00D54DF0"/>
    <w:rsid w:val="00D67F86"/>
    <w:rsid w:val="00D72847"/>
    <w:rsid w:val="00DE3032"/>
    <w:rsid w:val="00DF0C7D"/>
    <w:rsid w:val="00E03ECB"/>
    <w:rsid w:val="00E11033"/>
    <w:rsid w:val="00E2198B"/>
    <w:rsid w:val="00E50E4A"/>
    <w:rsid w:val="00E53DC4"/>
    <w:rsid w:val="00E7021F"/>
    <w:rsid w:val="00E93633"/>
    <w:rsid w:val="00EB31B7"/>
    <w:rsid w:val="00EC5079"/>
    <w:rsid w:val="00ED179A"/>
    <w:rsid w:val="00EE2DED"/>
    <w:rsid w:val="00EE40BA"/>
    <w:rsid w:val="00EF7643"/>
    <w:rsid w:val="00F03D78"/>
    <w:rsid w:val="00F15CB5"/>
    <w:rsid w:val="00F16341"/>
    <w:rsid w:val="00F25C90"/>
    <w:rsid w:val="00F361A4"/>
    <w:rsid w:val="00F4423B"/>
    <w:rsid w:val="00F45517"/>
    <w:rsid w:val="00F579E8"/>
    <w:rsid w:val="00F62252"/>
    <w:rsid w:val="00FA0033"/>
    <w:rsid w:val="00FA280F"/>
    <w:rsid w:val="00FC16B1"/>
    <w:rsid w:val="00FC2F84"/>
    <w:rsid w:val="00FD3035"/>
    <w:rsid w:val="00FE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1D66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0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1D66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0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947</properties:Words>
  <properties:Characters>5201</properties:Characters>
  <properties:Lines>115</properties:Lines>
  <properties:Paragraphs>25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2018-04-30T09:41:00Z</dcterms:created>
  <dc:creator>radni</dc:creator>
  <cp:lastModifiedBy>Renata Valić</cp:lastModifiedBy>
  <cp:lastPrinted>2018-05-03T10:58:00Z</cp:lastPrinted>
  <dcterms:modified xmlns:xsi="http://www.w3.org/2001/XMLSchema-instance" xsi:type="dcterms:W3CDTF">2018-05-03T11:14:00Z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(39-14 zaključenje stečaja - Casino Crystal.docx)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