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3d679" w14:paraId="8e3d679"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AE7DA7" w:rsidR="00AE7DA7" w:rsidRPr="00AE7DA7">
      <w:pPr>
        <w:jc w:val="right"/>
        <w:rPr>
          <w:rFonts w:cs="Times New Roman" w:eastAsia="Times New Roman"/>
          <w:lang w:eastAsia="hr-HR"/>
        </w:rPr>
      </w:pPr>
      <w:r>
        <w:tab/>
      </w:r>
      <w:r w:rsidR="00AE7DA7" w:rsidRPr="00AE7DA7">
        <w:rPr>
          <w:rFonts w:cs="Times New Roman" w:eastAsia="Times New Roman"/>
          <w:lang w:eastAsia="hr-HR"/>
        </w:rPr>
        <w:tab/>
      </w:r>
      <w:r w:rsidR="00AE7DA7" w:rsidRPr="00AE7DA7">
        <w:rPr>
          <w:rFonts w:cs="Times New Roman" w:eastAsia="Times New Roman"/>
          <w:lang w:eastAsia="hr-HR"/>
        </w:rPr>
        <w:tab/>
        <w:t>1 St – 424/16-18</w:t>
      </w:r>
    </w:p>
    <w:p w:rsidRDefault="00AE7DA7" w:rsidP="00AE7DA7" w:rsidR="00AE7DA7" w:rsidRPr="00AE7DA7">
      <w:pPr>
        <w:spacing w:after="0"/>
        <w:rPr>
          <w:rFonts w:cs="Times New Roman" w:eastAsia="Times New Roman"/>
          <w:lang w:eastAsia="hr-HR"/>
        </w:rPr>
      </w:pPr>
      <w:r w:rsidRPr="00AE7DA7">
        <w:rPr>
          <w:rFonts w:cs="Times New Roman" w:eastAsia="Times New Roman"/>
          <w:lang w:eastAsia="hr-HR"/>
        </w:rPr>
        <w:t>REPUBLIKA HRVATSKA</w:t>
      </w:r>
    </w:p>
    <w:p w:rsidRDefault="00AE7DA7" w:rsidP="00AE7DA7" w:rsidR="00AE7DA7" w:rsidRPr="00AE7DA7">
      <w:pPr>
        <w:spacing w:after="0"/>
        <w:rPr>
          <w:rFonts w:cs="Times New Roman" w:eastAsia="Times New Roman"/>
          <w:lang w:eastAsia="hr-HR"/>
        </w:rPr>
      </w:pPr>
      <w:r w:rsidRPr="00AE7DA7">
        <w:rPr>
          <w:rFonts w:cs="Times New Roman" w:eastAsia="Times New Roman"/>
          <w:lang w:eastAsia="hr-HR"/>
        </w:rPr>
        <w:t>TRGOVAČKI SUD U ZADRU</w:t>
      </w:r>
    </w:p>
    <w:p w:rsidRDefault="00AE7DA7" w:rsidP="00AE7DA7" w:rsidR="00AE7DA7" w:rsidRPr="00AE7DA7">
      <w:pPr>
        <w:spacing w:after="0"/>
        <w:rPr>
          <w:rFonts w:cs="Times New Roman" w:eastAsia="Times New Roman"/>
          <w:lang w:eastAsia="hr-HR"/>
        </w:rPr>
      </w:pPr>
    </w:p>
    <w:p w:rsidRDefault="00AE7DA7" w:rsidP="00AE7DA7" w:rsidR="00AE7DA7" w:rsidRPr="00AE7DA7">
      <w:pPr>
        <w:spacing w:after="0"/>
        <w:rPr>
          <w:rFonts w:cs="Times New Roman" w:eastAsia="Times New Roman"/>
          <w:lang w:eastAsia="hr-HR"/>
        </w:rPr>
      </w:pPr>
    </w:p>
    <w:p w:rsidRDefault="00AE7DA7" w:rsidP="00AE7DA7" w:rsidR="00AE7DA7" w:rsidRPr="00AE7DA7">
      <w:pPr>
        <w:spacing w:after="0"/>
        <w:jc w:val="center"/>
        <w:rPr>
          <w:rFonts w:cs="Times New Roman" w:eastAsia="Times New Roman"/>
          <w:lang w:eastAsia="hr-HR"/>
        </w:rPr>
      </w:pPr>
      <w:r w:rsidRPr="00AE7DA7">
        <w:rPr>
          <w:rFonts w:cs="Times New Roman" w:eastAsia="Times New Roman"/>
          <w:lang w:eastAsia="hr-HR"/>
        </w:rPr>
        <w:t xml:space="preserve">R E P U B L I K A  H R V A T S KA </w:t>
      </w:r>
    </w:p>
    <w:p w:rsidRDefault="00AE7DA7" w:rsidP="00AE7DA7" w:rsidR="00AE7DA7" w:rsidRPr="00AE7DA7">
      <w:pPr>
        <w:spacing w:after="0"/>
        <w:rPr>
          <w:rFonts w:cs="Times New Roman" w:eastAsia="Times New Roman"/>
          <w:lang w:eastAsia="hr-HR"/>
        </w:rPr>
      </w:pPr>
    </w:p>
    <w:p w:rsidRDefault="00AE7DA7" w:rsidP="00AE7DA7" w:rsidR="00AE7DA7" w:rsidRPr="00AE7DA7">
      <w:pPr>
        <w:spacing w:after="0"/>
        <w:jc w:val="center"/>
        <w:rPr>
          <w:rFonts w:cs="Times New Roman" w:eastAsia="Times New Roman"/>
          <w:lang w:eastAsia="hr-HR"/>
        </w:rPr>
      </w:pPr>
      <w:r w:rsidRPr="00AE7DA7">
        <w:rPr>
          <w:rFonts w:cs="Times New Roman" w:eastAsia="Times New Roman"/>
          <w:lang w:eastAsia="hr-HR"/>
        </w:rPr>
        <w:t>R J E Š E N J E</w:t>
      </w:r>
    </w:p>
    <w:p w:rsidRDefault="00AE7DA7" w:rsidP="00AE7DA7" w:rsidR="00AE7DA7" w:rsidRPr="00AE7DA7">
      <w:pPr>
        <w:spacing w:after="0"/>
        <w:jc w:val="center"/>
        <w:rPr>
          <w:rFonts w:cs="Times New Roman" w:eastAsia="Times New Roman"/>
          <w:lang w:eastAsia="hr-HR"/>
        </w:rPr>
      </w:pPr>
    </w:p>
    <w:p w:rsidRDefault="00AE7DA7" w:rsidP="00AE7DA7" w:rsidR="00AE7DA7" w:rsidRPr="00AE7DA7">
      <w:pPr>
        <w:spacing w:after="0"/>
        <w:rPr>
          <w:rFonts w:cs="Times New Roman" w:eastAsia="Times New Roman"/>
          <w:lang w:eastAsia="hr-HR"/>
        </w:rPr>
      </w:pPr>
    </w:p>
    <w:p w:rsidRDefault="00AE7DA7" w:rsidP="00AE7DA7" w:rsidR="00AE7DA7" w:rsidRPr="00AE7DA7">
      <w:pPr>
        <w:spacing w:after="0"/>
        <w:ind w:firstLine="708"/>
        <w:jc w:val="both"/>
        <w:rPr>
          <w:rFonts w:cs="Times New Roman" w:eastAsia="Times New Roman"/>
          <w:lang w:eastAsia="hr-HR"/>
        </w:rPr>
      </w:pPr>
      <w:r w:rsidRPr="00AE7DA7">
        <w:rPr>
          <w:rFonts w:cs="Times New Roman" w:eastAsia="Times New Roman"/>
          <w:lang w:eastAsia="hr-HR"/>
        </w:rPr>
        <w:t xml:space="preserve">Trgovački sud u Zadru (OIB:39670464653) po sucu tog suda Ardeni </w:t>
      </w:r>
      <w:proofErr w:type="spellStart"/>
      <w:r w:rsidRPr="00AE7DA7">
        <w:rPr>
          <w:rFonts w:cs="Times New Roman" w:eastAsia="Times New Roman"/>
          <w:lang w:eastAsia="hr-HR"/>
        </w:rPr>
        <w:t>Bajlo</w:t>
      </w:r>
      <w:proofErr w:type="spellEnd"/>
      <w:r w:rsidRPr="00AE7DA7">
        <w:rPr>
          <w:rFonts w:cs="Times New Roman" w:eastAsia="Times New Roman"/>
          <w:lang w:eastAsia="hr-HR"/>
        </w:rPr>
        <w:t xml:space="preserve"> u stečajnom postupku nad stečajnim dužnikom KARUTULA MURTER j.d.o.o., Murter, Hrvatskih vladara 22, OIB: 69971045468 koga zastupa stečajni upravitelj Edvin Šimunov, dana 16. siječnja 2017.</w:t>
      </w:r>
    </w:p>
    <w:p w:rsidRDefault="00AE7DA7" w:rsidP="00AE7DA7" w:rsidR="00AE7DA7" w:rsidRPr="00AE7DA7">
      <w:pPr>
        <w:spacing w:after="0"/>
        <w:jc w:val="both"/>
        <w:rPr>
          <w:rFonts w:cs="Times New Roman" w:eastAsia="Times New Roman"/>
          <w:lang w:eastAsia="hr-HR"/>
        </w:rPr>
      </w:pPr>
    </w:p>
    <w:p w:rsidRDefault="00AE7DA7" w:rsidP="00AE7DA7" w:rsidR="00AE7DA7" w:rsidRPr="00AE7DA7">
      <w:pPr>
        <w:spacing w:after="0"/>
        <w:jc w:val="center"/>
        <w:rPr>
          <w:rFonts w:cs="Times New Roman" w:eastAsia="Times New Roman"/>
          <w:lang w:eastAsia="hr-HR"/>
        </w:rPr>
      </w:pPr>
      <w:r w:rsidRPr="00AE7DA7">
        <w:rPr>
          <w:rFonts w:cs="Times New Roman" w:eastAsia="Times New Roman"/>
          <w:lang w:eastAsia="hr-HR"/>
        </w:rPr>
        <w:t>r i j e š i o  j e</w:t>
      </w:r>
    </w:p>
    <w:p w:rsidRDefault="00AE7DA7" w:rsidP="00AE7DA7" w:rsidR="00AE7DA7" w:rsidRPr="00AE7DA7">
      <w:pPr>
        <w:spacing w:after="0"/>
        <w:jc w:val="both"/>
        <w:rPr>
          <w:rFonts w:cs="Times New Roman" w:eastAsia="Times New Roman"/>
          <w:b/>
          <w:lang w:eastAsia="hr-HR"/>
        </w:rPr>
      </w:pPr>
    </w:p>
    <w:p w:rsidRDefault="00AE7DA7" w:rsidP="00AE7DA7" w:rsidR="00AE7DA7" w:rsidRPr="00AE7DA7">
      <w:pPr>
        <w:numPr>
          <w:ilvl w:val="0"/>
          <w:numId w:val="47"/>
        </w:numPr>
        <w:spacing w:after="0"/>
        <w:ind w:hanging="713" w:left="1418"/>
        <w:jc w:val="both"/>
        <w:rPr>
          <w:rFonts w:cs="Times New Roman" w:eastAsia="Times New Roman"/>
          <w:lang w:eastAsia="hr-HR"/>
        </w:rPr>
      </w:pPr>
      <w:r w:rsidRPr="00AE7DA7">
        <w:rPr>
          <w:rFonts w:cs="Times New Roman" w:eastAsia="Times New Roman"/>
          <w:lang w:eastAsia="hr-HR"/>
        </w:rPr>
        <w:t>Određuje se nagrada za rad privremenom stečajnom upravitelju Edvinu Šimunov u ukupnom iznosu od 3.000,00 kuna.</w:t>
      </w:r>
    </w:p>
    <w:p w:rsidRDefault="00AE7DA7" w:rsidP="00AE7DA7" w:rsidR="00AE7DA7" w:rsidRPr="00AE7DA7">
      <w:pPr>
        <w:spacing w:after="0"/>
        <w:jc w:val="both"/>
        <w:rPr>
          <w:rFonts w:cs="Times New Roman" w:eastAsia="Times New Roman"/>
          <w:lang w:eastAsia="hr-HR"/>
        </w:rPr>
      </w:pPr>
    </w:p>
    <w:p w:rsidRDefault="00AE7DA7" w:rsidP="00AE7DA7" w:rsidR="00AE7DA7" w:rsidRPr="00AE7DA7">
      <w:pPr>
        <w:spacing w:after="0"/>
        <w:ind w:left="705"/>
        <w:jc w:val="both"/>
        <w:rPr>
          <w:rFonts w:cs="Times New Roman" w:eastAsia="Times New Roman"/>
          <w:lang w:eastAsia="hr-HR"/>
        </w:rPr>
      </w:pPr>
      <w:r w:rsidRPr="00AE7DA7">
        <w:rPr>
          <w:rFonts w:cs="Times New Roman" w:eastAsia="Times New Roman"/>
          <w:lang w:eastAsia="hr-HR"/>
        </w:rPr>
        <w:t xml:space="preserve">II.       Nalaže se računovodstvu ovog suda da isplatu iznosa iz točke I. ovog rješenja izvrši iz Fonda zajedničkih pristojbi. </w:t>
      </w:r>
    </w:p>
    <w:p w:rsidRDefault="00AE7DA7" w:rsidP="00AE7DA7" w:rsidR="00AE7DA7" w:rsidRPr="00AE7DA7">
      <w:pPr>
        <w:spacing w:after="0"/>
        <w:jc w:val="both"/>
        <w:rPr>
          <w:rFonts w:cs="Times New Roman" w:eastAsia="Times New Roman"/>
          <w:lang w:eastAsia="hr-HR"/>
        </w:rPr>
      </w:pPr>
    </w:p>
    <w:p w:rsidRDefault="00AE7DA7" w:rsidP="00AE7DA7" w:rsidR="00AE7DA7" w:rsidRPr="00AE7DA7">
      <w:pPr>
        <w:spacing w:after="0"/>
        <w:ind w:hanging="705" w:left="705"/>
        <w:jc w:val="center"/>
        <w:rPr>
          <w:rFonts w:cs="Times New Roman" w:eastAsia="Times New Roman"/>
          <w:lang w:eastAsia="hr-HR"/>
        </w:rPr>
      </w:pPr>
      <w:r w:rsidRPr="00AE7DA7">
        <w:rPr>
          <w:rFonts w:cs="Times New Roman" w:eastAsia="Times New Roman"/>
          <w:lang w:eastAsia="hr-HR"/>
        </w:rPr>
        <w:t>Obrazloženje</w:t>
      </w:r>
    </w:p>
    <w:p w:rsidRDefault="00AE7DA7" w:rsidP="00AE7DA7" w:rsidR="00AE7DA7" w:rsidRPr="00AE7DA7">
      <w:pPr>
        <w:spacing w:after="0"/>
        <w:ind w:firstLine="705"/>
        <w:jc w:val="both"/>
        <w:rPr>
          <w:rFonts w:cs="Times New Roman" w:eastAsia="Times New Roman"/>
          <w:lang w:eastAsia="hr-HR"/>
        </w:rPr>
      </w:pPr>
    </w:p>
    <w:p w:rsidRDefault="00AE7DA7" w:rsidP="00AE7DA7" w:rsidR="00AE7DA7" w:rsidRPr="00AE7DA7">
      <w:pPr>
        <w:spacing w:after="0"/>
        <w:ind w:firstLine="705"/>
        <w:jc w:val="both"/>
        <w:rPr>
          <w:rFonts w:cs="Times New Roman" w:eastAsia="Times New Roman"/>
          <w:lang w:eastAsia="hr-HR"/>
        </w:rPr>
      </w:pPr>
      <w:r w:rsidRPr="00AE7DA7">
        <w:rPr>
          <w:rFonts w:cs="Times New Roman" w:eastAsia="Times New Roman"/>
          <w:lang w:eastAsia="hr-HR"/>
        </w:rPr>
        <w:t>Rješenjem ovog suda od 18. travnja 2016. godine imenovan je privremeni stečajni upravitelj koji je dana 12. svibnja 2016. godine dostavio izvješće, čime su se stekli uvjeti iz članka 7. Uredbe o kriterijima i načinu obračuna plaćanja nagrada stečajnim upraviteljima.</w:t>
      </w:r>
    </w:p>
    <w:p w:rsidRDefault="00AE7DA7" w:rsidP="00AE7DA7" w:rsidR="00AE7DA7" w:rsidRPr="00AE7DA7">
      <w:pPr>
        <w:spacing w:after="0"/>
        <w:ind w:firstLine="705"/>
        <w:jc w:val="both"/>
        <w:rPr>
          <w:rFonts w:cs="Times New Roman" w:eastAsia="Times New Roman"/>
          <w:lang w:eastAsia="hr-HR"/>
        </w:rPr>
      </w:pPr>
      <w:r w:rsidRPr="00AE7DA7">
        <w:rPr>
          <w:rFonts w:cs="Times New Roman" w:eastAsia="Times New Roman"/>
          <w:lang w:eastAsia="hr-HR"/>
        </w:rPr>
        <w:t>Visina nagrade određena je s obzirom na činjenicu da stečajni dužnik nema imovinu koju je valjalo popisati, nema zaposlene niti vodi sudske sporove o kojima je valjalo pribaviti podatke.</w:t>
      </w:r>
    </w:p>
    <w:p w:rsidRDefault="00AE7DA7" w:rsidP="00AE7DA7" w:rsidR="00AE7DA7" w:rsidRPr="00AE7DA7">
      <w:pPr>
        <w:spacing w:after="0"/>
        <w:ind w:firstLine="705"/>
        <w:jc w:val="both"/>
        <w:rPr>
          <w:rFonts w:cs="Times New Roman" w:eastAsia="Times New Roman"/>
          <w:lang w:eastAsia="hr-HR"/>
        </w:rPr>
      </w:pPr>
      <w:r w:rsidRPr="00AE7DA7">
        <w:rPr>
          <w:rFonts w:cs="Times New Roman" w:eastAsia="Times New Roman"/>
          <w:lang w:eastAsia="hr-HR"/>
        </w:rPr>
        <w:t>Stoga je odlučeno kao u izreci.</w:t>
      </w:r>
    </w:p>
    <w:p w:rsidRDefault="00AE7DA7" w:rsidP="00AE7DA7" w:rsidR="00AE7DA7" w:rsidRPr="00AE7DA7">
      <w:pPr>
        <w:spacing w:after="0"/>
        <w:ind w:hanging="705" w:left="705"/>
        <w:jc w:val="center"/>
        <w:rPr>
          <w:rFonts w:cs="Times New Roman" w:eastAsia="Times New Roman"/>
          <w:lang w:eastAsia="hr-HR"/>
        </w:rPr>
      </w:pPr>
    </w:p>
    <w:p w:rsidRDefault="00AE7DA7" w:rsidP="00AE7DA7" w:rsidR="00AE7DA7" w:rsidRPr="00AE7DA7">
      <w:pPr>
        <w:spacing w:after="0"/>
        <w:ind w:hanging="705" w:left="705"/>
        <w:jc w:val="center"/>
        <w:rPr>
          <w:rFonts w:cs="Times New Roman" w:eastAsia="Times New Roman"/>
          <w:lang w:eastAsia="hr-HR"/>
        </w:rPr>
      </w:pPr>
      <w:r w:rsidRPr="00AE7DA7">
        <w:rPr>
          <w:rFonts w:cs="Times New Roman" w:eastAsia="Times New Roman"/>
          <w:lang w:eastAsia="hr-HR"/>
        </w:rPr>
        <w:t>U Zadru, dana 16. siječnja 2017.</w:t>
      </w:r>
    </w:p>
    <w:p w:rsidRDefault="00AE7DA7" w:rsidP="00AE7DA7" w:rsidR="00AE7DA7" w:rsidRPr="00AE7DA7">
      <w:pPr>
        <w:spacing w:after="0"/>
        <w:ind w:hanging="705" w:left="705"/>
        <w:jc w:val="right"/>
        <w:rPr>
          <w:rFonts w:cs="Times New Roman" w:eastAsia="Times New Roman"/>
          <w:b/>
          <w:lang w:eastAsia="hr-HR"/>
        </w:rPr>
      </w:pPr>
    </w:p>
    <w:p w:rsidRDefault="00AE7DA7" w:rsidP="00AE7DA7" w:rsidR="00AE7DA7" w:rsidRPr="00AE7DA7">
      <w:pPr>
        <w:spacing w:after="0"/>
        <w:rPr>
          <w:rFonts w:cs="Times New Roman" w:eastAsia="Times New Roman"/>
          <w:lang w:eastAsia="hr-HR"/>
        </w:rPr>
      </w:pPr>
    </w:p>
    <w:p w:rsidRDefault="00AE7DA7" w:rsidP="00AE7DA7" w:rsidR="00AE7DA7" w:rsidRPr="00AE7DA7">
      <w:pPr>
        <w:spacing w:after="0"/>
        <w:jc w:val="right"/>
        <w:rPr>
          <w:rFonts w:cs="Times New Roman" w:eastAsia="Times New Roman"/>
          <w:lang w:eastAsia="hr-HR"/>
        </w:rPr>
      </w:pPr>
      <w:r w:rsidRPr="00AE7DA7">
        <w:rPr>
          <w:rFonts w:cs="Times New Roman" w:eastAsia="Times New Roman"/>
          <w:lang w:eastAsia="hr-HR"/>
        </w:rPr>
        <w:t>Sudac:</w:t>
      </w:r>
    </w:p>
    <w:p w:rsidRDefault="00AE7DA7" w:rsidP="00AE7DA7" w:rsidR="00AE7DA7" w:rsidRPr="00AE7DA7">
      <w:pPr>
        <w:spacing w:after="0"/>
        <w:jc w:val="right"/>
        <w:rPr>
          <w:rFonts w:cs="Times New Roman" w:eastAsia="Times New Roman"/>
          <w:lang w:eastAsia="hr-HR"/>
        </w:rPr>
      </w:pPr>
      <w:r w:rsidRPr="00AE7DA7">
        <w:rPr>
          <w:rFonts w:cs="Times New Roman" w:eastAsia="Times New Roman"/>
          <w:lang w:eastAsia="hr-HR"/>
        </w:rPr>
        <w:tab/>
      </w:r>
      <w:r w:rsidRPr="00AE7DA7">
        <w:rPr>
          <w:rFonts w:cs="Times New Roman" w:eastAsia="Times New Roman"/>
          <w:lang w:eastAsia="hr-HR"/>
        </w:rPr>
        <w:tab/>
      </w:r>
      <w:r w:rsidRPr="00AE7DA7">
        <w:rPr>
          <w:rFonts w:cs="Times New Roman" w:eastAsia="Times New Roman"/>
          <w:lang w:eastAsia="hr-HR"/>
        </w:rPr>
        <w:tab/>
      </w:r>
      <w:r w:rsidRPr="00AE7DA7">
        <w:rPr>
          <w:rFonts w:cs="Times New Roman" w:eastAsia="Times New Roman"/>
          <w:lang w:eastAsia="hr-HR"/>
        </w:rPr>
        <w:tab/>
      </w:r>
      <w:r w:rsidRPr="00AE7DA7">
        <w:rPr>
          <w:rFonts w:cs="Times New Roman" w:eastAsia="Times New Roman"/>
          <w:lang w:eastAsia="hr-HR"/>
        </w:rPr>
        <w:tab/>
      </w:r>
      <w:r w:rsidRPr="00AE7DA7">
        <w:rPr>
          <w:rFonts w:cs="Times New Roman" w:eastAsia="Times New Roman"/>
          <w:lang w:eastAsia="hr-HR"/>
        </w:rPr>
        <w:tab/>
      </w:r>
      <w:r w:rsidRPr="00AE7DA7">
        <w:rPr>
          <w:rFonts w:cs="Times New Roman" w:eastAsia="Times New Roman"/>
          <w:lang w:eastAsia="hr-HR"/>
        </w:rPr>
        <w:tab/>
      </w:r>
      <w:r w:rsidRPr="00AE7DA7">
        <w:rPr>
          <w:rFonts w:cs="Times New Roman" w:eastAsia="Times New Roman"/>
          <w:lang w:eastAsia="hr-HR"/>
        </w:rPr>
        <w:tab/>
        <w:t xml:space="preserve">Ardena </w:t>
      </w:r>
      <w:proofErr w:type="spellStart"/>
      <w:r w:rsidRPr="00AE7DA7">
        <w:rPr>
          <w:rFonts w:cs="Times New Roman" w:eastAsia="Times New Roman"/>
          <w:lang w:eastAsia="hr-HR"/>
        </w:rPr>
        <w:t>Bajlo</w:t>
      </w:r>
      <w:proofErr w:type="spellEnd"/>
    </w:p>
    <w:p w:rsidRDefault="00AE7DA7" w:rsidP="00AE7DA7" w:rsidR="00AE7DA7" w:rsidRPr="00AE7DA7">
      <w:pPr>
        <w:spacing w:after="0"/>
        <w:rPr>
          <w:rFonts w:cs="Times New Roman" w:eastAsia="Times New Roman"/>
          <w:lang w:eastAsia="hr-HR"/>
        </w:rPr>
      </w:pPr>
    </w:p>
    <w:p w:rsidRDefault="00AE7DA7" w:rsidP="00AE7DA7" w:rsidR="00AE7DA7" w:rsidRPr="00AE7DA7">
      <w:pPr>
        <w:spacing w:after="0"/>
        <w:rPr>
          <w:rFonts w:cs="Times New Roman" w:eastAsia="Times New Roman"/>
          <w:lang w:eastAsia="hr-HR"/>
        </w:rPr>
      </w:pPr>
    </w:p>
    <w:p w:rsidRDefault="00AE7DA7" w:rsidP="00AE7DA7" w:rsidR="00AE7DA7" w:rsidRPr="00AE7DA7">
      <w:pPr>
        <w:spacing w:after="0"/>
        <w:rPr>
          <w:rFonts w:cs="Times New Roman" w:eastAsia="Times New Roman"/>
          <w:lang w:eastAsia="hr-HR"/>
        </w:rPr>
      </w:pPr>
    </w:p>
    <w:p w:rsidRDefault="00AE7DA7" w:rsidP="00AE7DA7" w:rsidR="00AE7DA7" w:rsidRPr="00AE7DA7">
      <w:pPr>
        <w:spacing w:after="0"/>
        <w:rPr>
          <w:rFonts w:cs="Times New Roman" w:eastAsia="Times New Roman"/>
          <w:lang w:eastAsia="hr-HR"/>
        </w:rPr>
      </w:pPr>
      <w:r w:rsidRPr="00AE7DA7">
        <w:rPr>
          <w:rFonts w:cs="Times New Roman" w:eastAsia="Times New Roman"/>
          <w:lang w:eastAsia="hr-HR"/>
        </w:rPr>
        <w:t xml:space="preserve">POUKA O PRAVNOM LIJEKU : </w:t>
      </w:r>
    </w:p>
    <w:p w:rsidRDefault="00AE7DA7" w:rsidP="00AE7DA7" w:rsidR="00AE7DA7" w:rsidRPr="00AE7DA7">
      <w:pPr>
        <w:spacing w:after="0"/>
        <w:rPr>
          <w:rFonts w:cs="Times New Roman" w:eastAsia="Times New Roman"/>
          <w:lang w:eastAsia="hr-HR"/>
        </w:rPr>
      </w:pPr>
      <w:r w:rsidRPr="00AE7DA7">
        <w:rPr>
          <w:rFonts w:cs="Times New Roman" w:eastAsia="Times New Roman"/>
          <w:lang w:eastAsia="hr-HR"/>
        </w:rPr>
        <w:t xml:space="preserve">Protiv ovog rješenja dopuštena je žalba u roku od 8 dana od dostave istog. Žalba se podnosi ovom sudu u 3 primjerka. </w:t>
      </w:r>
    </w:p>
    <w:p w:rsidRDefault="00AE7DA7" w:rsidP="00AE7DA7" w:rsidR="00AE7DA7" w:rsidRPr="00AE7DA7">
      <w:pPr>
        <w:spacing w:after="0"/>
        <w:rPr>
          <w:rFonts w:cs="Times New Roman" w:eastAsia="Times New Roman"/>
          <w:lang w:eastAsia="hr-HR"/>
        </w:rPr>
      </w:pPr>
      <w:r w:rsidRPr="00AE7DA7">
        <w:rPr>
          <w:rFonts w:cs="Times New Roman" w:eastAsia="Times New Roman"/>
          <w:lang w:eastAsia="hr-HR"/>
        </w:rPr>
        <w:lastRenderedPageBreak/>
        <w:t xml:space="preserve">                    </w:t>
      </w:r>
    </w:p>
    <w:p w:rsidRDefault="00AE7DA7" w:rsidP="00AE7DA7" w:rsidR="00AE7DA7" w:rsidRPr="00AE7DA7">
      <w:pPr>
        <w:spacing w:after="0"/>
        <w:rPr>
          <w:rFonts w:cs="Times New Roman" w:eastAsia="Times New Roman"/>
          <w:lang w:eastAsia="hr-HR"/>
        </w:rPr>
      </w:pPr>
      <w:r w:rsidRPr="00AE7DA7">
        <w:rPr>
          <w:rFonts w:cs="Times New Roman" w:eastAsia="Times New Roman"/>
          <w:lang w:eastAsia="hr-HR"/>
        </w:rPr>
        <w:t xml:space="preserve">   Dostaviti:</w:t>
      </w:r>
    </w:p>
    <w:p w:rsidRDefault="00AE7DA7" w:rsidP="00AE7DA7" w:rsidR="00AE7DA7" w:rsidRPr="00AE7DA7">
      <w:pPr>
        <w:numPr>
          <w:ilvl w:val="0"/>
          <w:numId w:val="48"/>
        </w:numPr>
        <w:spacing w:after="0"/>
        <w:rPr>
          <w:rFonts w:cs="Times New Roman" w:eastAsia="Times New Roman"/>
          <w:lang w:eastAsia="hr-HR"/>
        </w:rPr>
      </w:pPr>
      <w:r w:rsidRPr="00AE7DA7">
        <w:rPr>
          <w:rFonts w:cs="Times New Roman" w:eastAsia="Times New Roman"/>
          <w:lang w:eastAsia="hr-HR"/>
        </w:rPr>
        <w:t>stečajnom upravitelju</w:t>
      </w:r>
    </w:p>
    <w:p w:rsidRDefault="00AE7DA7" w:rsidP="00AE7DA7" w:rsidR="00AE7DA7" w:rsidRPr="00AE7DA7">
      <w:pPr>
        <w:numPr>
          <w:ilvl w:val="0"/>
          <w:numId w:val="48"/>
        </w:numPr>
        <w:spacing w:after="0"/>
        <w:rPr>
          <w:rFonts w:cs="Times New Roman" w:eastAsia="Times New Roman"/>
          <w:lang w:eastAsia="hr-HR"/>
        </w:rPr>
      </w:pPr>
      <w:r w:rsidRPr="00AE7DA7">
        <w:rPr>
          <w:rFonts w:cs="Times New Roman" w:eastAsia="Times New Roman"/>
          <w:lang w:eastAsia="hr-HR"/>
        </w:rPr>
        <w:t>e-oglasna ploča</w:t>
      </w:r>
    </w:p>
    <w:p w:rsidRDefault="00AE7DA7" w:rsidP="00AE7DA7" w:rsidR="00AE649C" w:rsidRPr="00B76F3C">
      <w:pPr>
        <w:pStyle w:val="SudSjedite"/>
      </w:pPr>
      <w:r w:rsidRPr="00AE7DA7">
        <w:rPr>
          <w:noProof w:val="false"/>
        </w:rPr>
        <w:t xml:space="preserve">u spis                                                                                                                           </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946666F"/>
    <w:multiLevelType w:val="hybridMultilevel"/>
    <w:tmpl w:val="B80E7346"/>
    <w:lvl w:tplc="897E3F24" w:ilvl="0">
      <w:start w:val="1"/>
      <w:numFmt w:val="upperRoman"/>
      <w:lvlText w:val="%1."/>
      <w:lvlJc w:val="left"/>
      <w:pPr>
        <w:ind w:hanging="990" w:left="169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4"/>
  </w:num>
  <w:num w:numId="43">
    <w:abstractNumId w:val="12"/>
  </w:num>
  <w:num w:numId="44">
    <w:abstractNumId w:val="41"/>
  </w:num>
  <w:num w:numId="45">
    <w:abstractNumId w:val="16"/>
  </w:num>
  <w:num w:numId="46">
    <w:abstractNumId w:val="16"/>
    <w:lvlOverride w:ilvl="0">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E7DA7"/>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0786696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St-424/2016-17</izvorni_sadrzaj>
    <derivirana_varijabla naziv="DomainObject.Oznaka_1">St-424/2016-17</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izvorni_sadrzaj>
    <derivirana_varijabla naziv="DomainObject.Predmet.Broj_1">424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siječnja 2017.</izvorni_sadrzaj>
    <derivirana_varijabla naziv="DomainObject.Predmet.DatumRjesavanja_1">16.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St-424/2016</izvorni_sadrzaj>
    <derivirana_varijabla naziv="DomainObject.Predmet.OznakaBroj_1">St-424/2016</derivirana_varijabla>
  </DomainObject.Predmet.OznakaBroj>
  <DomainObject.Predmet.OznakaBrojOptuznogAkta>
    <izvorni_sadrzaj/>
    <derivirana_varijabla naziv="DomainObject.Predmet.OznakaBrojOptuznogAkta_1"/>
  </DomainObject.Predmet.OznakaBrojOptuznogAkta>
  <DomainObject.Predmet.PredmetRijesio.Ime>
    <izvorni_sadrzaj>Ardena</izvorni_sadrzaj>
    <derivirana_varijabla naziv="DomainObject.Predmet.PredmetRijesio.Ime_1">Ardena</derivirana_varijabla>
  </DomainObject.Predmet.PredmetRijesio.Ime>
  <DomainObject.Predmet.PredmetRijesio.Oib>
    <izvorni_sadrzaj>65323790942</izvorni_sadrzaj>
    <derivirana_varijabla naziv="DomainObject.Predmet.PredmetRijesio.Oib_1">65323790942</derivirana_varijabla>
  </DomainObject.Predmet.PredmetRijesio.Oib>
  <DomainObject.Predmet.PredmetRijesio.Prezime>
    <izvorni_sadrzaj>Bajlo</izvorni_sadrzaj>
    <derivirana_varijabla naziv="DomainObject.Predmet.PredmetRijesio.Prezime_1">Bajlo</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KARUTULA MURTER  j.d.o.o. za trgovinu i usluge</izvorni_sadrzaj>
    <derivirana_varijabla naziv="DomainObject.Predmet.ProtustrankaFormated_1">  KARUTULA MURTER  j.d.o.o. za trgovinu i usluge</derivirana_varijabla>
  </DomainObject.Predmet.ProtustrankaFormated>
  <DomainObject.Predmet.ProtustrankaFormatedOIB>
    <izvorni_sadrzaj>  KARUTULA MURTER  j.d.o.o. za trgovinu i usluge, OIB 69971045468</izvorni_sadrzaj>
    <derivirana_varijabla naziv="DomainObject.Predmet.ProtustrankaFormatedOIB_1">  KARUTULA MURTER  j.d.o.o. za trgovinu i usluge, OIB 69971045468</derivirana_varijabla>
  </DomainObject.Predmet.ProtustrankaFormatedOIB>
  <DomainObject.Predmet.ProtustrankaFormatedWithAdress>
    <izvorni_sadrzaj> KARUTULA MURTER  j.d.o.o. za trgovinu i usluge, Hrvatskih vladara 22, 22243 Murter</izvorni_sadrzaj>
    <derivirana_varijabla naziv="DomainObject.Predmet.ProtustrankaFormatedWithAdress_1"> KARUTULA MURTER  j.d.o.o. za trgovinu i usluge, Hrvatskih vladara 22, 22243 Murter</derivirana_varijabla>
  </DomainObject.Predmet.ProtustrankaFormatedWithAdress>
  <DomainObject.Predmet.ProtustrankaFormatedWithAdressOIB>
    <izvorni_sadrzaj> KARUTULA MURTER  j.d.o.o. za trgovinu i usluge, OIB 69971045468, Hrvatskih vladara 22, 22243 Murter</izvorni_sadrzaj>
    <derivirana_varijabla naziv="DomainObject.Predmet.ProtustrankaFormatedWithAdressOIB_1"> KARUTULA MURTER  j.d.o.o. za trgovinu i usluge, OIB 69971045468, Hrvatskih vladara 22, 22243 Murter</derivirana_varijabla>
  </DomainObject.Predmet.ProtustrankaFormatedWithAdressOIB>
  <DomainObject.Predmet.ProtustrankaWithAdress>
    <izvorni_sadrzaj>KARUTULA MURTER  j.d.o.o. za trgovinu i usluge Hrvatskih vladara 22, 22243 Murter</izvorni_sadrzaj>
    <derivirana_varijabla naziv="DomainObject.Predmet.ProtustrankaWithAdress_1">KARUTULA MURTER  j.d.o.o. za trgovinu i usluge Hrvatskih vladara 22, 22243 Murter</derivirana_varijabla>
  </DomainObject.Predmet.ProtustrankaWithAdress>
  <DomainObject.Predmet.ProtustrankaWithAdressOIB>
    <izvorni_sadrzaj>KARUTULA MURTER  j.d.o.o. za trgovinu i usluge, OIB 69971045468, Hrvatskih vladara 22, 22243 Murter</izvorni_sadrzaj>
    <derivirana_varijabla naziv="DomainObject.Predmet.ProtustrankaWithAdressOIB_1">KARUTULA MURTER  j.d.o.o. za trgovinu i usluge, OIB 69971045468, Hrvatskih vladara 22, 22243 Murter</derivirana_varijabla>
  </DomainObject.Predmet.ProtustrankaWithAdressOIB>
  <DomainObject.Predmet.ProtustrankaNazivFormated>
    <izvorni_sadrzaj>KARUTULA MURTER  j.d.o.o. za trgovinu i usluge</izvorni_sadrzaj>
    <derivirana_varijabla naziv="DomainObject.Predmet.ProtustrankaNazivFormated_1">KARUTULA MURTER  j.d.o.o. za trgovinu i usluge</derivirana_varijabla>
  </DomainObject.Predmet.ProtustrankaNazivFormated>
  <DomainObject.Predmet.ProtustrankaNazivFormatedOIB>
    <izvorni_sadrzaj>KARUTULA MURTER  j.d.o.o. za trgovinu i usluge, OIB 69971045468</izvorni_sadrzaj>
    <derivirana_varijabla naziv="DomainObject.Predmet.ProtustrankaNazivFormatedOIB_1">KARUTULA MURTER  j.d.o.o. za trgovinu i usluge, OIB 69971045468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KARUTULA MURTER  j.d.o.o. za trgovinu i usluge</item>
    </izvorni_sadrzaj>
    <derivirana_varijabla naziv="DomainObject.Predmet.ProtuStrankaListFormated_1">
      <item>KARUTULA MURTER  j.d.o.o. za trgovinu i usluge</item>
    </derivirana_varijabla>
  </DomainObject.Predmet.ProtuStrankaListFormated>
  <DomainObject.Predmet.ProtuStrankaListFormatedOIB>
    <izvorni_sadrzaj>
      <item>KARUTULA MURTER  j.d.o.o. za trgovinu i usluge, OIB 69971045468</item>
    </izvorni_sadrzaj>
    <derivirana_varijabla naziv="DomainObject.Predmet.ProtuStrankaListFormatedOIB_1">
      <item>KARUTULA MURTER  j.d.o.o. za trgovinu i usluge, OIB 69971045468</item>
    </derivirana_varijabla>
  </DomainObject.Predmet.ProtuStrankaListFormatedOIB>
  <DomainObject.Predmet.ProtuStrankaListFormatedWithAdress>
    <izvorni_sadrzaj>
      <item>KARUTULA MURTER  j.d.o.o. za trgovinu i usluge, Hrvatskih vladara 22, 22243 Murter</item>
    </izvorni_sadrzaj>
    <derivirana_varijabla naziv="DomainObject.Predmet.ProtuStrankaListFormatedWithAdress_1">
      <item>KARUTULA MURTER  j.d.o.o. za trgovinu i usluge, Hrvatskih vladara 22, 22243 Murter</item>
    </derivirana_varijabla>
  </DomainObject.Predmet.ProtuStrankaListFormatedWithAdress>
  <DomainObject.Predmet.ProtuStrankaListFormatedWithAdressOIB>
    <izvorni_sadrzaj>
      <item>KARUTULA MURTER  j.d.o.o. za trgovinu i usluge, OIB 69971045468, Hrvatskih vladara 22, 22243 Murter</item>
    </izvorni_sadrzaj>
    <derivirana_varijabla naziv="DomainObject.Predmet.ProtuStrankaListFormatedWithAdressOIB_1">
      <item>KARUTULA MURTER  j.d.o.o. za trgovinu i usluge, OIB 69971045468, Hrvatskih vladara 22, 22243 Murter</item>
    </derivirana_varijabla>
  </DomainObject.Predmet.ProtuStrankaListFormatedWithAdressOIB>
  <DomainObject.Predmet.ProtuStrankaListNazivFormated>
    <izvorni_sadrzaj>
      <item>KARUTULA MURTER  j.d.o.o. za trgovinu i usluge</item>
    </izvorni_sadrzaj>
    <derivirana_varijabla naziv="DomainObject.Predmet.ProtuStrankaListNazivFormated_1">
      <item>KARUTULA MURTER  j.d.o.o. za trgovinu i usluge</item>
    </derivirana_varijabla>
  </DomainObject.Predmet.ProtuStrankaListNazivFormated>
  <DomainObject.Predmet.ProtuStrankaListNazivFormatedOIB>
    <izvorni_sadrzaj>
      <item>KARUTULA MURTER  j.d.o.o. za trgovinu i usluge, OIB 69971045468</item>
    </izvorni_sadrzaj>
    <derivirana_varijabla naziv="DomainObject.Predmet.ProtuStrankaListNazivFormatedOIB_1">
      <item>KARUTULA MURTER  j.d.o.o. za trgovinu i usluge, OIB 69971045468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St-424/2016-17</izvorni_sadrzaj>
    <derivirana_varijabla naziv="DomainObject.PoslovniBrojDokumenta_1">St-424/2016-17</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KARUTULA MURTER  j.d.o.o. za trgovinu i usluge</izvorni_sadrzaj>
    <derivirana_varijabla naziv="DomainObject.Predmet.ProtustrankaIDrugi_1">KARUTULA MURTER  j.d.o.o. za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KARUTULA MURTER  j.d.o.o. za trgovinu i usluge, OIB 69971045468, Hrvatskih vladara 22, 22243 Murter</izvorni_sadrzaj>
    <derivirana_varijabla naziv="DomainObject.Predmet.ProtustrankaIDrugiAdressOIB_1">KARUTULA MURTER  j.d.o.o. za trgovinu i usluge, OIB 69971045468, Hrvatskih vladara 22, 22243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siječnja 2017.</izvorni_sadrzaj>
    <derivirana_varijabla naziv="DomainObject.Predmet.OdlukaRjesenje.DatumDonosenjaOdluke_1">16. siječnja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St-424/2016-16</izvorni_sadrzaj>
    <derivirana_varijabla naziv="DomainObject.Predmet.OdlukaRjesenje.Oznaka_1">St-424/2016-16</derivirana_varijabla>
  </DomainObject.Predmet.OdlukaRjesenje.Oznaka>
  <DomainObject.Predmet.SudioniciListNaziv>
    <izvorni_sadrzaj>
      <item>FINA - Podružnica Šibenik</item>
      <item>KARUTULA MURTER  j.d.o.o. za trgovinu i usluge</item>
    </izvorni_sadrzaj>
    <derivirana_varijabla naziv="DomainObject.Predmet.SudioniciListNaziv_1">
      <item>FINA - Podružnica Šibenik</item>
      <item>KARUTULA MURTER  j.d.o.o. za trgovinu i usluge</item>
    </derivirana_varijabla>
  </DomainObject.Predmet.SudioniciListNaziv>
  <DomainObject.Predmet.SudioniciListAdressOIB>
    <izvorni_sadrzaj>
      <item>FINA - Podružnica Šibenik, OIB 85821130368, Perivoj L. Marune 1,22000 Šibenik</item>
      <item>KARUTULA MURTER  j.d.o.o. za trgovinu i usluge, OIB 69971045468, Hrvatskih vladara 22,22243 Murter</item>
    </izvorni_sadrzaj>
    <derivirana_varijabla naziv="DomainObject.Predmet.SudioniciListAdressOIB_1">
      <item>FINA - Podružnica Šibenik, OIB 85821130368, Perivoj L. Marune 1,22000 Šibenik</item>
      <item>KARUTULA MURTER  j.d.o.o. za trgovinu i usluge, OIB 69971045468, Hrvatskih vladara 22,22243 Murter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F7A191-F126-403F-AB55-F93EB2E951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235</properties:Words>
  <properties:Characters>1137</properties:Characters>
  <properties:Lines>54</properties:Lines>
  <properties:Paragraphs>22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2017-01-16T11:57:00Z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St-424/2016-17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