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bcb5" w14:paraId="1b8bcb5" w:rsidRDefault="00A47F96" w:rsidP="00A47F96" w:rsidR="00A47F96">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w:t>
      </w:r>
      <w:r w:rsidR="00715C29">
        <w:rPr>
          <w:rFonts w:cs="Times New Roman" w:eastAsia="Times New Roman" w:hAnsi="Times New Roman" w:ascii="Times New Roman"/>
          <w:sz w:val="24"/>
          <w:szCs w:val="24"/>
          <w:lang w:eastAsia="hr-HR"/>
        </w:rPr>
        <w:t>466</w:t>
      </w:r>
      <w:r w:rsidR="00E52DE3">
        <w:rPr>
          <w:rFonts w:cs="Times New Roman" w:eastAsia="Times New Roman" w:hAnsi="Times New Roman" w:ascii="Times New Roman"/>
          <w:sz w:val="24"/>
          <w:szCs w:val="24"/>
          <w:lang w:eastAsia="hr-HR"/>
        </w:rPr>
        <w:t>/2017-8</w:t>
      </w:r>
    </w:p>
    <w:p w:rsidRDefault="00A47F96" w:rsidP="00A47F96" w:rsidR="00A47F96">
      <w:pPr>
        <w:spacing w:lineRule="auto" w:line="240" w:after="0"/>
        <w:ind w:firstLine="708"/>
        <w:rPr>
          <w:rFonts w:cs="Times New Roman" w:eastAsia="Times New Roman" w:hAnsi="Times New Roman" w:ascii="Times New Roman"/>
          <w:sz w:val="24"/>
          <w:szCs w:val="24"/>
          <w:lang w:eastAsia="hr-HR"/>
        </w:rPr>
      </w:pPr>
    </w:p>
    <w:p w:rsidRDefault="00192F76" w:rsidP="00A47F96" w:rsidR="00192F76">
      <w:pPr>
        <w:spacing w:lineRule="auto" w:line="240" w:after="0"/>
        <w:ind w:firstLine="708"/>
        <w:rPr>
          <w:rFonts w:cs="Times New Roman" w:eastAsia="Times New Roman" w:hAnsi="Times New Roman" w:ascii="Times New Roman"/>
          <w:sz w:val="24"/>
          <w:szCs w:val="24"/>
          <w:lang w:eastAsia="hr-HR"/>
        </w:rPr>
      </w:pPr>
    </w:p>
    <w:p w:rsidRDefault="00192F76" w:rsidP="00A47F96" w:rsidR="00192F76">
      <w:pPr>
        <w:spacing w:lineRule="auto" w:line="240" w:after="0"/>
        <w:ind w:firstLine="708"/>
        <w:rPr>
          <w:rFonts w:cs="Times New Roman" w:eastAsia="Times New Roman" w:hAnsi="Times New Roman" w:ascii="Times New Roman"/>
          <w:sz w:val="24"/>
          <w:szCs w:val="24"/>
          <w:lang w:eastAsia="hr-HR"/>
        </w:rPr>
      </w:pPr>
    </w:p>
    <w:p w:rsidRDefault="00A47F96" w:rsidP="00A47F96" w:rsidR="00A47F9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A47F96" w:rsidP="00A47F96" w:rsidR="00A47F9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A47F96" w:rsidP="00A47F96" w:rsidR="00A47F9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A47F96" w:rsidP="00A47F96" w:rsidR="00A47F96" w:rsidRPr="00A47F96">
      <w:pPr>
        <w:spacing w:lineRule="auto" w:line="240" w:after="0"/>
        <w:rPr>
          <w:rFonts w:cs="Times" w:eastAsia="Times New Roman" w:hAnsi="Times" w:ascii="Times"/>
          <w:sz w:val="24"/>
          <w:szCs w:val="24"/>
          <w:lang w:eastAsia="hr-HR"/>
        </w:rPr>
      </w:pPr>
    </w:p>
    <w:p w:rsidRDefault="00A47F96" w:rsidP="00A47F96" w:rsidR="00A47F96" w:rsidRPr="00E52DE3">
      <w:pPr>
        <w:spacing w:lineRule="auto" w:line="240" w:after="0"/>
        <w:ind w:firstLine="705"/>
        <w:jc w:val="both"/>
        <w:rPr>
          <w:rFonts w:cs="Times New Roman" w:hAnsi="Times New Roman" w:ascii="Times New Roman"/>
          <w:sz w:val="24"/>
          <w:szCs w:val="24"/>
        </w:rPr>
      </w:pPr>
      <w:r w:rsidRPr="00E52DE3">
        <w:rPr>
          <w:rFonts w:cs="Times New Roman" w:eastAsia="Times New Roman" w:hAnsi="Times New Roman" w:ascii="Times New Roman"/>
          <w:sz w:val="24"/>
          <w:szCs w:val="24"/>
          <w:lang w:eastAsia="hr-HR"/>
        </w:rPr>
        <w:t xml:space="preserve">Trgovački sud u Zadru, OIB  39670464653, po sutkinji Ani Markač, na prijedlog sudske savjetnice Anamarije Kovačić Milković, povodom zahtjeva </w:t>
      </w:r>
      <w:r w:rsidR="00913455" w:rsidRPr="00E17FB6">
        <w:rPr>
          <w:rFonts w:cs="Times New Roman" w:eastAsia="Times New Roman" w:hAnsi="Times New Roman" w:ascii="Times New Roman"/>
          <w:sz w:val="24"/>
          <w:szCs w:val="24"/>
        </w:rPr>
        <w:t>Financijske agencije, Regionalnog centra Split, Podružnice Šibenik, Perivoj L. Marune 1, OIB: 85821130368</w:t>
      </w:r>
      <w:r w:rsidR="00E539D0" w:rsidRPr="00E52DE3">
        <w:rPr>
          <w:rFonts w:cs="Times New Roman" w:hAnsi="Times New Roman" w:ascii="Times New Roman"/>
          <w:sz w:val="24"/>
          <w:szCs w:val="24"/>
        </w:rPr>
        <w:t xml:space="preserve"> od </w:t>
      </w:r>
      <w:r w:rsidR="00913455">
        <w:rPr>
          <w:rFonts w:cs="Times New Roman" w:hAnsi="Times New Roman" w:ascii="Times New Roman"/>
          <w:sz w:val="24"/>
          <w:szCs w:val="24"/>
        </w:rPr>
        <w:t>16</w:t>
      </w:r>
      <w:r w:rsidR="00E539D0" w:rsidRPr="00E52DE3">
        <w:rPr>
          <w:rFonts w:cs="Times New Roman" w:hAnsi="Times New Roman" w:ascii="Times New Roman"/>
          <w:sz w:val="24"/>
          <w:szCs w:val="24"/>
        </w:rPr>
        <w:t>. studenog 2017.</w:t>
      </w:r>
      <w:r w:rsidRPr="00E52DE3">
        <w:rPr>
          <w:rFonts w:cs="Times New Roman" w:eastAsia="Times New Roman" w:hAnsi="Times New Roman" w:ascii="Times New Roman"/>
          <w:sz w:val="24"/>
          <w:szCs w:val="24"/>
          <w:lang w:eastAsia="hr-HR"/>
        </w:rPr>
        <w:t xml:space="preserve"> za provedbu skraćenoga stečajnog postupka nad dužnikom</w:t>
      </w:r>
      <w:r w:rsidRPr="00E52DE3">
        <w:rPr>
          <w:rFonts w:cs="Times New Roman" w:hAnsi="Times New Roman" w:ascii="Times New Roman"/>
          <w:sz w:val="24"/>
          <w:szCs w:val="24"/>
        </w:rPr>
        <w:t xml:space="preserve"> </w:t>
      </w:r>
      <w:r w:rsidR="00913455" w:rsidRPr="00E17FB6">
        <w:rPr>
          <w:rFonts w:cs="Times New Roman" w:hAnsi="Times New Roman" w:ascii="Times New Roman"/>
          <w:sz w:val="24"/>
          <w:szCs w:val="24"/>
        </w:rPr>
        <w:t>BENTZEN d.o.o., Rogoznica, Ante Starčevića 32, OIB: 95314282185</w:t>
      </w:r>
      <w:r w:rsidRPr="00E52DE3">
        <w:rPr>
          <w:rFonts w:cs="Times New Roman" w:hAnsi="Times New Roman" w:ascii="Times New Roman"/>
          <w:sz w:val="24"/>
          <w:szCs w:val="24"/>
        </w:rPr>
        <w:t>,</w:t>
      </w:r>
      <w:r w:rsidRPr="00E52DE3">
        <w:rPr>
          <w:rFonts w:cs="Times New Roman" w:eastAsia="Times New Roman" w:hAnsi="Times New Roman" w:ascii="Times New Roman"/>
          <w:sz w:val="24"/>
          <w:szCs w:val="24"/>
          <w:lang w:eastAsia="hr-HR"/>
        </w:rPr>
        <w:t xml:space="preserve"> </w:t>
      </w:r>
      <w:r w:rsidR="00E539D0" w:rsidRPr="00E52DE3">
        <w:rPr>
          <w:rFonts w:cs="Times New Roman" w:eastAsia="Times New Roman" w:hAnsi="Times New Roman" w:ascii="Times New Roman"/>
          <w:sz w:val="24"/>
          <w:szCs w:val="24"/>
          <w:lang w:eastAsia="hr-HR"/>
        </w:rPr>
        <w:t>1. ožujka</w:t>
      </w:r>
      <w:r w:rsidRPr="00E52DE3">
        <w:rPr>
          <w:rFonts w:cs="Times New Roman" w:eastAsia="Times New Roman" w:hAnsi="Times New Roman" w:ascii="Times New Roman"/>
          <w:sz w:val="24"/>
          <w:szCs w:val="24"/>
          <w:lang w:eastAsia="hr-HR"/>
        </w:rPr>
        <w:t xml:space="preserve"> 2018.</w:t>
      </w:r>
      <w:r w:rsidR="00192F76" w:rsidRPr="00E52DE3">
        <w:rPr>
          <w:rFonts w:cs="Times New Roman" w:eastAsia="Times New Roman" w:hAnsi="Times New Roman" w:ascii="Times New Roman"/>
          <w:sz w:val="24"/>
          <w:szCs w:val="24"/>
          <w:lang w:eastAsia="hr-HR"/>
        </w:rPr>
        <w:t>,</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E52DE3" w:rsidR="00E52DE3" w:rsidRPr="00913455">
      <w:pPr>
        <w:pStyle w:val="Odlomakpopisa"/>
        <w:numPr>
          <w:ilvl w:val="0"/>
          <w:numId w:val="2"/>
        </w:numPr>
        <w:spacing w:lineRule="auto" w:line="240" w:after="0"/>
        <w:jc w:val="both"/>
        <w:rPr>
          <w:rFonts w:cs="Times" w:eastAsia="Times New Roman" w:hAnsi="Times" w:ascii="Times"/>
          <w:sz w:val="24"/>
          <w:szCs w:val="24"/>
          <w:lang w:eastAsia="hr-HR"/>
        </w:rPr>
      </w:pPr>
      <w:r w:rsidRPr="00913455">
        <w:rPr>
          <w:rFonts w:cs="Times New Roman" w:eastAsia="Times New Roman" w:hAnsi="Times New Roman" w:ascii="Times New Roman"/>
          <w:sz w:val="24"/>
          <w:szCs w:val="24"/>
          <w:lang w:eastAsia="hr-HR"/>
        </w:rPr>
        <w:t>Obustavlja se skraćeni stečajni postupak nad dužnikom</w:t>
      </w:r>
      <w:r w:rsidRPr="00913455">
        <w:rPr>
          <w:rFonts w:cs="Times New Roman" w:hAnsi="Times New Roman" w:ascii="Times New Roman"/>
          <w:sz w:val="24"/>
          <w:szCs w:val="24"/>
        </w:rPr>
        <w:t xml:space="preserve"> </w:t>
      </w:r>
      <w:r w:rsidR="00913455" w:rsidRPr="00E17FB6">
        <w:rPr>
          <w:rFonts w:cs="Times New Roman" w:hAnsi="Times New Roman" w:ascii="Times New Roman"/>
          <w:sz w:val="24"/>
          <w:szCs w:val="24"/>
        </w:rPr>
        <w:t>BENTZEN d.o.o., Rogoznica, Ante Starčevića 32, OIB: 95314282185</w:t>
      </w:r>
      <w:r w:rsidR="00913455">
        <w:rPr>
          <w:rFonts w:cs="Times New Roman" w:hAnsi="Times New Roman" w:ascii="Times New Roman"/>
          <w:sz w:val="24"/>
          <w:szCs w:val="24"/>
        </w:rPr>
        <w:t>.</w:t>
      </w:r>
    </w:p>
    <w:p w:rsidRDefault="00913455" w:rsidP="00913455" w:rsidR="00913455" w:rsidRPr="00913455">
      <w:pPr>
        <w:pStyle w:val="Odlomakpopisa"/>
        <w:spacing w:lineRule="auto" w:line="240" w:after="0"/>
        <w:ind w:left="1080"/>
        <w:jc w:val="both"/>
        <w:rPr>
          <w:rFonts w:cs="Times" w:eastAsia="Times New Roman" w:hAnsi="Times" w:ascii="Times"/>
          <w:sz w:val="24"/>
          <w:szCs w:val="24"/>
          <w:lang w:eastAsia="hr-HR"/>
        </w:rPr>
      </w:pPr>
    </w:p>
    <w:p w:rsidRDefault="00A47F96" w:rsidP="00E52DE3" w:rsidR="00A47F96" w:rsidRPr="00E52DE3">
      <w:pPr>
        <w:pStyle w:val="Odlomakpopisa"/>
        <w:numPr>
          <w:ilvl w:val="0"/>
          <w:numId w:val="2"/>
        </w:numPr>
        <w:spacing w:lineRule="auto" w:line="240" w:after="0"/>
        <w:jc w:val="both"/>
        <w:rPr>
          <w:rFonts w:cs="Times" w:eastAsia="Times New Roman" w:hAnsi="Times" w:ascii="Times"/>
          <w:sz w:val="24"/>
          <w:szCs w:val="24"/>
          <w:lang w:eastAsia="hr-HR"/>
        </w:rPr>
      </w:pPr>
      <w:r w:rsidRPr="00E52DE3">
        <w:rPr>
          <w:rFonts w:cs="Times" w:eastAsia="Times New Roman" w:hAnsi="Times" w:ascii="Times"/>
          <w:sz w:val="24"/>
          <w:szCs w:val="24"/>
          <w:lang w:eastAsia="hr-HR"/>
        </w:rPr>
        <w:t xml:space="preserve">Nakon pravomoćnosti ovog rješenja, ovaj sud će odgovarajućom primjenom općih odredbi stečajnoga postupka Stečajnog zakona donijeti rješenje o pokretanju prethodnoga postupka odnosno otvaranju stečajnoga postupka nad dužnikom.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A47F96" w:rsidP="00A47F96" w:rsidR="00A47F96">
      <w:pPr>
        <w:spacing w:lineRule="auto" w:line="240" w:after="0"/>
        <w:ind w:firstLine="708"/>
        <w:jc w:val="both"/>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w:t>
      </w:r>
      <w:r w:rsidR="00913455">
        <w:rPr>
          <w:rFonts w:cs="Times" w:eastAsia="Times New Roman" w:hAnsi="Times" w:ascii="Times"/>
          <w:sz w:val="24"/>
          <w:szCs w:val="24"/>
          <w:lang w:eastAsia="hr-HR"/>
        </w:rPr>
        <w:t>16</w:t>
      </w:r>
      <w:r>
        <w:rPr>
          <w:rFonts w:cs="Times" w:eastAsia="Times New Roman" w:hAnsi="Times" w:ascii="Times"/>
          <w:sz w:val="24"/>
          <w:szCs w:val="24"/>
          <w:lang w:eastAsia="hr-HR"/>
        </w:rPr>
        <w:t xml:space="preserve">. </w:t>
      </w:r>
      <w:r w:rsidR="00E539D0">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2017. za provedbu skraćenoga stečajnog postupka nad uvodno označenim dužnikom, oglasom ovog suda od </w:t>
      </w:r>
      <w:r w:rsidR="00E539D0">
        <w:rPr>
          <w:rFonts w:cs="Times" w:eastAsia="Times New Roman" w:hAnsi="Times" w:ascii="Times"/>
          <w:sz w:val="24"/>
          <w:szCs w:val="24"/>
          <w:lang w:eastAsia="hr-HR"/>
        </w:rPr>
        <w:t>10</w:t>
      </w:r>
      <w:r>
        <w:rPr>
          <w:rFonts w:cs="Times" w:eastAsia="Times New Roman" w:hAnsi="Times" w:ascii="Times"/>
          <w:sz w:val="24"/>
          <w:szCs w:val="24"/>
          <w:lang w:eastAsia="hr-HR"/>
        </w:rPr>
        <w:t xml:space="preserve">. </w:t>
      </w:r>
      <w:r w:rsidR="00E539D0">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w:t>
      </w:r>
      <w:r w:rsidR="00913455">
        <w:rPr>
          <w:rFonts w:cs="Times" w:eastAsia="Times New Roman" w:hAnsi="Times" w:ascii="Times"/>
          <w:sz w:val="24"/>
          <w:szCs w:val="24"/>
          <w:lang w:eastAsia="hr-HR"/>
        </w:rPr>
        <w:t>8</w:t>
      </w:r>
      <w:r w:rsidR="00E539D0">
        <w:rPr>
          <w:rFonts w:cs="Times" w:eastAsia="Times New Roman" w:hAnsi="Times" w:ascii="Times"/>
          <w:sz w:val="24"/>
          <w:szCs w:val="24"/>
          <w:lang w:eastAsia="hr-HR"/>
        </w:rPr>
        <w:t>.</w:t>
      </w:r>
      <w:r w:rsidR="00913455">
        <w:rPr>
          <w:rFonts w:cs="Times" w:eastAsia="Times New Roman" w:hAnsi="Times" w:ascii="Times"/>
          <w:sz w:val="24"/>
          <w:szCs w:val="24"/>
          <w:lang w:eastAsia="hr-HR"/>
        </w:rPr>
        <w:t>481</w:t>
      </w:r>
      <w:r w:rsidR="00E539D0">
        <w:rPr>
          <w:rFonts w:cs="Times" w:eastAsia="Times New Roman" w:hAnsi="Times" w:ascii="Times"/>
          <w:sz w:val="24"/>
          <w:szCs w:val="24"/>
          <w:lang w:eastAsia="hr-HR"/>
        </w:rPr>
        <w:t>,</w:t>
      </w:r>
      <w:r w:rsidR="00913455">
        <w:rPr>
          <w:rFonts w:cs="Times" w:eastAsia="Times New Roman" w:hAnsi="Times" w:ascii="Times"/>
          <w:sz w:val="24"/>
          <w:szCs w:val="24"/>
          <w:lang w:eastAsia="hr-HR"/>
        </w:rPr>
        <w:t>24</w:t>
      </w:r>
      <w:r>
        <w:rPr>
          <w:rFonts w:cs="Times" w:eastAsia="Times New Roman" w:hAnsi="Times" w:ascii="Times"/>
          <w:sz w:val="24"/>
          <w:szCs w:val="24"/>
          <w:lang w:eastAsia="hr-HR"/>
        </w:rPr>
        <w:t xml:space="preserve"> kn koja se temelji na stanju računa dužnika na dan </w:t>
      </w:r>
      <w:r w:rsidR="00913455">
        <w:rPr>
          <w:rFonts w:cs="Times" w:eastAsia="Times New Roman" w:hAnsi="Times" w:ascii="Times"/>
          <w:sz w:val="24"/>
          <w:szCs w:val="24"/>
          <w:lang w:eastAsia="hr-HR"/>
        </w:rPr>
        <w:t>12</w:t>
      </w:r>
      <w:r>
        <w:rPr>
          <w:rFonts w:cs="Times" w:eastAsia="Times New Roman" w:hAnsi="Times" w:ascii="Times"/>
          <w:sz w:val="24"/>
          <w:szCs w:val="24"/>
          <w:lang w:eastAsia="hr-HR"/>
        </w:rPr>
        <w:t xml:space="preserve">. </w:t>
      </w:r>
      <w:r w:rsidR="00E539D0">
        <w:rPr>
          <w:rFonts w:cs="Times" w:eastAsia="Times New Roman" w:hAnsi="Times" w:ascii="Times"/>
          <w:sz w:val="24"/>
          <w:szCs w:val="24"/>
          <w:lang w:eastAsia="hr-HR"/>
        </w:rPr>
        <w:t>veljače</w:t>
      </w:r>
      <w:r>
        <w:rPr>
          <w:rFonts w:cs="Times" w:eastAsia="Times New Roman" w:hAnsi="Times" w:ascii="Times"/>
          <w:sz w:val="24"/>
          <w:szCs w:val="24"/>
          <w:lang w:eastAsia="hr-HR"/>
        </w:rPr>
        <w:t xml:space="preserve"> 2018. iz in</w:t>
      </w:r>
      <w:r w:rsidR="00A72B59">
        <w:rPr>
          <w:rFonts w:cs="Times" w:eastAsia="Times New Roman" w:hAnsi="Times" w:ascii="Times"/>
          <w:sz w:val="24"/>
          <w:szCs w:val="24"/>
          <w:lang w:eastAsia="hr-HR"/>
        </w:rPr>
        <w:t>formacijskog sustava vjerovnika.</w:t>
      </w:r>
    </w:p>
    <w:p w:rsidRDefault="00A47F9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te imovine </w:t>
      </w:r>
      <w:r>
        <w:rPr>
          <w:rFonts w:cs="Times" w:eastAsia="Times New Roman" w:hAnsi="Times" w:ascii="Times"/>
          <w:sz w:val="24"/>
          <w:szCs w:val="24"/>
          <w:lang w:eastAsia="hr-HR"/>
        </w:rPr>
        <w:lastRenderedPageBreak/>
        <w:t xml:space="preserve">dužnika to u konkretnom slučaju nisu ispunjene pretpostavke iz čl. 431. SZ-a za istodobno otvaranje i zaključenje skraćenog stečajnog postupka, zbog čega je temeljem odredbe čl. 433. SZ-a donesena odluka kao u točki I. i II. izreke ovog rješenja. </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1. </w:t>
      </w:r>
      <w:r w:rsidR="00E539D0">
        <w:rPr>
          <w:rFonts w:cs="Times" w:eastAsia="Times New Roman" w:hAnsi="Times" w:ascii="Times"/>
          <w:sz w:val="24"/>
          <w:szCs w:val="24"/>
          <w:lang w:eastAsia="hr-HR"/>
        </w:rPr>
        <w:t>ožujka</w:t>
      </w:r>
      <w:r>
        <w:rPr>
          <w:rFonts w:cs="Times" w:eastAsia="Times New Roman" w:hAnsi="Times" w:ascii="Times"/>
          <w:sz w:val="24"/>
          <w:szCs w:val="24"/>
          <w:lang w:eastAsia="hr-HR"/>
        </w:rPr>
        <w:t xml:space="preserve"> 2018.</w:t>
      </w:r>
    </w:p>
    <w:p w:rsidRDefault="00A47F96" w:rsidP="00A47F96" w:rsidR="00A47F96">
      <w:pPr>
        <w:spacing w:lineRule="auto" w:line="240" w:after="0"/>
        <w:jc w:val="center"/>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p>
    <w:p w:rsidRDefault="00071544" w:rsidP="00071544" w:rsidR="00071544">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Za točnost </w:t>
      </w:r>
      <w:proofErr w:type="spellStart"/>
      <w:r>
        <w:rPr>
          <w:rFonts w:cs="Times" w:eastAsia="Times New Roman" w:hAnsi="Times" w:ascii="Times"/>
          <w:sz w:val="24"/>
          <w:szCs w:val="24"/>
          <w:lang w:eastAsia="hr-HR"/>
        </w:rPr>
        <w:t>otpravka</w:t>
      </w:r>
      <w:proofErr w:type="spellEnd"/>
      <w:r>
        <w:rPr>
          <w:rFonts w:cs="Times" w:eastAsia="Times New Roman" w:hAnsi="Times" w:ascii="Times"/>
          <w:sz w:val="24"/>
          <w:szCs w:val="24"/>
          <w:lang w:eastAsia="hr-HR"/>
        </w:rPr>
        <w:t>-ovlaštena službenica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Sutkinja</w:t>
      </w:r>
    </w:p>
    <w:p w:rsidRDefault="00071544" w:rsidP="00071544" w:rsidR="00071544">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Anita Ivandić </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Ana </w:t>
      </w:r>
      <w:proofErr w:type="spellStart"/>
      <w:r>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A47F96" w:rsidP="00A47F96" w:rsidR="00A47F96">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b/>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w:t>
      </w:r>
      <w:r w:rsidR="00A72B59">
        <w:rPr>
          <w:rFonts w:cs="Times" w:eastAsia="Times New Roman" w:hAnsi="Times" w:ascii="Times"/>
          <w:sz w:val="24"/>
          <w:szCs w:val="24"/>
          <w:lang w:eastAsia="hr-HR"/>
        </w:rPr>
        <w:t>Šibenik</w:t>
      </w:r>
      <w:r>
        <w:rPr>
          <w:rFonts w:cs="Times" w:eastAsia="Times New Roman" w:hAnsi="Times" w:ascii="Times"/>
          <w:sz w:val="24"/>
          <w:szCs w:val="24"/>
          <w:lang w:eastAsia="hr-HR"/>
        </w:rPr>
        <w:t>,</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A47F96" w:rsidP="00A47F96" w:rsidR="00A47F9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A47F96" w:rsidP="00A47F96" w:rsidR="00A47F96">
      <w:pPr>
        <w:rPr>
          <w:rFonts w:hAnsi="Times" w:ascii="Times"/>
        </w:rPr>
      </w:pPr>
    </w:p>
    <w:p w:rsidRDefault="00A47F96" w:rsidP="00A47F96" w:rsidR="00A47F96">
      <w:pPr>
        <w:rPr>
          <w:rFonts w:hAnsi="Times" w:ascii="Times"/>
        </w:rPr>
      </w:pPr>
    </w:p>
    <w:p w:rsidRDefault="00A47F96" w:rsidP="00A47F96" w:rsidR="00A47F96">
      <w:pPr>
        <w:rPr>
          <w:rFonts w:hAnsi="Times" w:ascii="Times"/>
        </w:rPr>
      </w:pPr>
    </w:p>
    <w:p w:rsidRDefault="00133CEF" w:rsidR="00133CEF"/>
    <w:sectPr w:rsidR="00133CE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F76" w:rsidP="00192F76" w:rsidR="00192F76">
      <w:pPr>
        <w:spacing w:lineRule="auto" w:line="240" w:after="0"/>
      </w:pPr>
      <w:r>
        <w:separator/>
      </w:r>
    </w:p>
  </w:endnote>
  <w:endnote w:id="0" w:type="continuationSeparator">
    <w:p w:rsidRDefault="00192F76" w:rsidP="00192F76" w:rsidR="00192F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F76" w:rsidP="00192F76" w:rsidR="00192F76">
      <w:pPr>
        <w:spacing w:lineRule="auto" w:line="240" w:after="0"/>
      </w:pPr>
      <w:r>
        <w:separator/>
      </w:r>
    </w:p>
  </w:footnote>
  <w:footnote w:id="0" w:type="continuationSeparator">
    <w:p w:rsidRDefault="00192F76" w:rsidP="00192F76" w:rsidR="00192F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1544" w:rsidP="00071544" w:rsidR="00071544">
    <w:pPr>
      <w:spacing w:lineRule="auto" w:line="240" w:after="0"/>
      <w:ind w:firstLine="708"/>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071544" w:rsidR="000715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E6C73"/>
    <w:multiLevelType w:val="hybridMultilevel"/>
    <w:tmpl w:val="B98CD244"/>
    <w:lvl w:tplc="9A2E5492" w:ilvl="0">
      <w:start w:val="1"/>
      <w:numFmt w:val="upperRoman"/>
      <w:lvlText w:val="%1."/>
      <w:lvlJc w:val="left"/>
      <w:pPr>
        <w:ind w:hanging="720" w:left="108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ED82DF0"/>
    <w:multiLevelType w:val="hybridMultilevel"/>
    <w:tmpl w:val="9200B6EE"/>
    <w:lvl w:tplc="7990E5FC" w:ilvl="0">
      <w:start w:val="1"/>
      <w:numFmt w:val="upperRoman"/>
      <w:lvlText w:val="%1."/>
      <w:lvlJc w:val="left"/>
      <w:pPr>
        <w:ind w:hanging="720" w:left="1500"/>
      </w:pPr>
      <w:rPr>
        <w:rFonts w:cs="Times" w:eastAsia="Times New Roman" w:hAnsi="Times" w:ascii="Times" w:hint="default"/>
        <w:sz w:val="24"/>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7F96"/>
    <w:rsid w:val="00071544"/>
    <w:rsid w:val="00133CEF"/>
    <w:rsid w:val="00192F76"/>
    <w:rsid w:val="00715C29"/>
    <w:rsid w:val="00913455"/>
    <w:rsid w:val="00A47F96"/>
    <w:rsid w:val="00A72B59"/>
    <w:rsid w:val="00B4470D"/>
    <w:rsid w:val="00E52DE3"/>
    <w:rsid w:val="00E539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F9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92F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92F76"/>
  </w:style>
  <w:style w:styleId="Podnoje" w:type="paragraph">
    <w:name w:val="footer"/>
    <w:basedOn w:val="Normal"/>
    <w:link w:val="PodnojeChar"/>
    <w:uiPriority w:val="99"/>
    <w:unhideWhenUsed/>
    <w:rsid w:val="00192F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92F76"/>
  </w:style>
  <w:style w:styleId="Odlomakpopisa" w:type="paragraph">
    <w:name w:val="List Paragraph"/>
    <w:basedOn w:val="Normal"/>
    <w:uiPriority w:val="34"/>
    <w:qFormat/>
    <w:rsid w:val="00E539D0"/>
    <w:pPr>
      <w:ind w:left="720"/>
      <w:contextualSpacing/>
    </w:pPr>
  </w:style>
  <w:style w:styleId="Tekstrezerviranogmjesta" w:type="character">
    <w:name w:val="Placeholder Text"/>
    <w:basedOn w:val="Zadanifontodlomka"/>
    <w:uiPriority w:val="99"/>
    <w:semiHidden/>
    <w:rsid w:val="00B4470D"/>
    <w:rPr>
      <w:color w:val="808080"/>
      <w:bdr w:space="0" w:sz="0" w:color="auto" w:val="none"/>
      <w:shd w:fill="auto" w:color="auto" w:val="clear"/>
    </w:rPr>
  </w:style>
  <w:style w:customStyle="true" w:styleId="eSPISCCParagraphDefaultFont" w:type="character">
    <w:name w:val="eSPIS_CC_Paragraph Default Font"/>
    <w:basedOn w:val="Zadanifontodlomka"/>
    <w:rsid w:val="00B4470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4470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4470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4470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F9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92F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92F76"/>
  </w:style>
  <w:style w:styleId="Podnoje" w:type="paragraph">
    <w:name w:val="footer"/>
    <w:basedOn w:val="Normal"/>
    <w:link w:val="PodnojeChar"/>
    <w:uiPriority w:val="99"/>
    <w:unhideWhenUsed/>
    <w:rsid w:val="00192F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92F76"/>
  </w:style>
  <w:style w:styleId="Odlomakpopisa" w:type="paragraph">
    <w:name w:val="List Paragraph"/>
    <w:basedOn w:val="Normal"/>
    <w:uiPriority w:val="34"/>
    <w:qFormat/>
    <w:rsid w:val="00E539D0"/>
    <w:pPr>
      <w:ind w:left="720"/>
      <w:contextualSpacing/>
    </w:pPr>
  </w:style>
  <w:style w:styleId="Tekstrezerviranogmjesta" w:type="character">
    <w:name w:val="Placeholder Text"/>
    <w:basedOn w:val="Zadanifontodlomka"/>
    <w:uiPriority w:val="99"/>
    <w:semiHidden/>
    <w:rsid w:val="00B4470D"/>
    <w:rPr>
      <w:color w:val="808080"/>
      <w:bdr w:color="auto" w:space="0" w:sz="0" w:val="none"/>
      <w:shd w:color="auto" w:fill="auto" w:val="clear"/>
    </w:rPr>
  </w:style>
  <w:style w:customStyle="1" w:styleId="eSPISCCParagraphDefaultFont" w:type="character">
    <w:name w:val="eSPIS_CC_Paragraph Default Font"/>
    <w:basedOn w:val="Zadanifontodlomka"/>
    <w:rsid w:val="00B4470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4470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4470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4470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31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2017.</izvorni_sadrzaj>
    <derivirana_varijabla naziv="DomainObject.Predmet.DatumOsnivanja_1">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St-466/2017</izvorni_sadrzaj>
    <derivirana_varijabla naziv="DomainObject.Predmet.OznakaBroj_1">St-466/2017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BENTZEN društvo s ograničenom odgovornošću za trgovinu i turizam</izvorni_sadrzaj>
    <derivirana_varijabla naziv="DomainObject.Predmet.ProtustrankaFormated_1">  BENTZEN društvo s ograničenom odgovornošću za trgovinu i turizam</derivirana_varijabla>
  </DomainObject.Predmet.ProtustrankaFormated>
  <DomainObject.Predmet.ProtustrankaFormatedOIB>
    <izvorni_sadrzaj>  BENTZEN društvo s ograničenom odgovornošću za trgovinu i turizam, OIB 95314282185</izvorni_sadrzaj>
    <derivirana_varijabla naziv="DomainObject.Predmet.ProtustrankaFormatedOIB_1">  BENTZEN društvo s ograničenom odgovornošću za trgovinu i turizam, OIB 95314282185</derivirana_varijabla>
  </DomainObject.Predmet.ProtustrankaFormatedOIB>
  <DomainObject.Predmet.ProtustrankaFormatedWithAdress>
    <izvorni_sadrzaj> BENTZEN društvo s ograničenom odgovornošću za trgovinu i turizam, Ante Starčevića 32, 22202 Rogoznica</izvorni_sadrzaj>
    <derivirana_varijabla naziv="DomainObject.Predmet.ProtustrankaFormatedWithAdress_1"> BENTZEN društvo s ograničenom odgovornošću za trgovinu i turizam, Ante Starčevića 32, 22202 Rogoznica</derivirana_varijabla>
  </DomainObject.Predmet.ProtustrankaFormatedWithAdress>
  <DomainObject.Predmet.ProtustrankaFormatedWithAdressOIB>
    <izvorni_sadrzaj> BENTZEN društvo s ograničenom odgovornošću za trgovinu i turizam, OIB 95314282185, Ante Starčevića 32, 22202 Rogoznica</izvorni_sadrzaj>
    <derivirana_varijabla naziv="DomainObject.Predmet.ProtustrankaFormatedWithAdressOIB_1"> BENTZEN društvo s ograničenom odgovornošću za trgovinu i turizam, OIB 95314282185, Ante Starčevića 32, 22202 Rogoznica</derivirana_varijabla>
  </DomainObject.Predmet.ProtustrankaFormatedWithAdressOIB>
  <DomainObject.Predmet.ProtustrankaWithAdress>
    <izvorni_sadrzaj>BENTZEN društvo s ograničenom odgovornošću za trgovinu i turizam Ante Starčevića 32, 22202 Rogoznica</izvorni_sadrzaj>
    <derivirana_varijabla naziv="DomainObject.Predmet.ProtustrankaWithAdress_1">BENTZEN društvo s ograničenom odgovornošću za trgovinu i turizam Ante Starčevića 32, 22202 Rogoznica</derivirana_varijabla>
  </DomainObject.Predmet.ProtustrankaWithAdress>
  <DomainObject.Predmet.ProtustrankaWithAdressOIB>
    <izvorni_sadrzaj>BENTZEN društvo s ograničenom odgovornošću za trgovinu i turizam, OIB 95314282185, Ante Starčevića 32, 22202 Rogoznica</izvorni_sadrzaj>
    <derivirana_varijabla naziv="DomainObject.Predmet.ProtustrankaWithAdressOIB_1">BENTZEN društvo s ograničenom odgovornošću za trgovinu i turizam, OIB 95314282185, Ante Starčevića 32, 22202 Rogoznica</derivirana_varijabla>
  </DomainObject.Predmet.ProtustrankaWithAdressOIB>
  <DomainObject.Predmet.ProtustrankaNazivFormated>
    <izvorni_sadrzaj>BENTZEN društvo s ograničenom odgovornošću za trgovinu i turizam</izvorni_sadrzaj>
    <derivirana_varijabla naziv="DomainObject.Predmet.ProtustrankaNazivFormated_1">BENTZEN društvo s ograničenom odgovornošću za trgovinu i turizam</derivirana_varijabla>
  </DomainObject.Predmet.ProtustrankaNazivFormated>
  <DomainObject.Predmet.ProtustrankaNazivFormatedOIB>
    <izvorni_sadrzaj>BENTZEN društvo s ograničenom odgovornošću za trgovinu i turizam, OIB 95314282185</izvorni_sadrzaj>
    <derivirana_varijabla naziv="DomainObject.Predmet.ProtustrankaNazivFormatedOIB_1">BENTZEN društvo s ograničenom odgovornošću za trgovinu i turizam, OIB 95314282185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BENTZEN društvo s ograničenom odgovornošću za trgovinu i turizam</item>
    </izvorni_sadrzaj>
    <derivirana_varijabla naziv="DomainObject.Predmet.ProtuStrankaListFormated_1">
      <item>BENTZEN društvo s ograničenom odgovornošću za trgovinu i turizam</item>
    </derivirana_varijabla>
  </DomainObject.Predmet.ProtuStrankaListFormated>
  <DomainObject.Predmet.ProtuStrankaListFormatedOIB>
    <izvorni_sadrzaj>
      <item>BENTZEN društvo s ograničenom odgovornošću za trgovinu i turizam, OIB 95314282185</item>
    </izvorni_sadrzaj>
    <derivirana_varijabla naziv="DomainObject.Predmet.ProtuStrankaListFormatedOIB_1">
      <item>BENTZEN društvo s ograničenom odgovornošću za trgovinu i turizam, OIB 95314282185</item>
    </derivirana_varijabla>
  </DomainObject.Predmet.ProtuStrankaListFormatedOIB>
  <DomainObject.Predmet.ProtuStrankaListFormatedWithAdress>
    <izvorni_sadrzaj>
      <item>BENTZEN društvo s ograničenom odgovornošću za trgovinu i turizam, Ante Starčevića 32, 22202 Rogoznica</item>
    </izvorni_sadrzaj>
    <derivirana_varijabla naziv="DomainObject.Predmet.ProtuStrankaListFormatedWithAdress_1">
      <item>BENTZEN društvo s ograničenom odgovornošću za trgovinu i turizam, Ante Starčevića 32, 22202 Rogoznica</item>
    </derivirana_varijabla>
  </DomainObject.Predmet.ProtuStrankaListFormatedWithAdress>
  <DomainObject.Predmet.ProtuStrankaListFormatedWithAdressOIB>
    <izvorni_sadrzaj>
      <item>BENTZEN društvo s ograničenom odgovornošću za trgovinu i turizam, OIB 95314282185, Ante Starčevića 32, 22202 Rogoznica</item>
    </izvorni_sadrzaj>
    <derivirana_varijabla naziv="DomainObject.Predmet.ProtuStrankaListFormatedWithAdressOIB_1">
      <item>BENTZEN društvo s ograničenom odgovornošću za trgovinu i turizam, OIB 95314282185, Ante Starčevića 32, 22202 Rogoznica</item>
    </derivirana_varijabla>
  </DomainObject.Predmet.ProtuStrankaListFormatedWithAdressOIB>
  <DomainObject.Predmet.ProtuStrankaListNazivFormated>
    <izvorni_sadrzaj>
      <item>BENTZEN društvo s ograničenom odgovornošću za trgovinu i turizam</item>
    </izvorni_sadrzaj>
    <derivirana_varijabla naziv="DomainObject.Predmet.ProtuStrankaListNazivFormated_1">
      <item>BENTZEN društvo s ograničenom odgovornošću za trgovinu i turizam</item>
    </derivirana_varijabla>
  </DomainObject.Predmet.ProtuStrankaListNazivFormated>
  <DomainObject.Predmet.ProtuStrankaListNazivFormatedOIB>
    <izvorni_sadrzaj>
      <item>BENTZEN društvo s ograničenom odgovornošću za trgovinu i turizam, OIB 95314282185</item>
    </izvorni_sadrzaj>
    <derivirana_varijabla naziv="DomainObject.Predmet.ProtuStrankaListNazivFormatedOIB_1">
      <item>BENTZEN društvo s ograničenom odgovornošću za trgovinu i turizam, OIB 95314282185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BENTZEN društvo s ograničenom odgovornošću za trgovinu i turizam</izvorni_sadrzaj>
    <derivirana_varijabla naziv="DomainObject.Predmet.ProtustrankaIDrugi_1">BENTZEN društvo s ograničenom odgovornošću za trgovinu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BENTZEN društvo s ograničenom odgovornošću za trgovinu i turizam, OIB 95314282185, Ante Starčevića 32, 22202 Rogoznica</izvorni_sadrzaj>
    <derivirana_varijabla naziv="DomainObject.Predmet.ProtustrankaIDrugiAdressOIB_1">BENTZEN društvo s ograničenom odgovornošću za trgovinu i turizam, OIB 95314282185, Ante Starčevića 32,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BENTZEN društvo s ograničenom odgovornošću za trgovinu i turizam</item>
    </izvorni_sadrzaj>
    <derivirana_varijabla naziv="DomainObject.Predmet.SudioniciListNaziv_1">
      <item>FINA - Podružnica Šibenik</item>
      <item>BENTZEN društvo s ograničenom odgovornošću za trgovinu i turizam</item>
    </derivirana_varijabla>
  </DomainObject.Predmet.SudioniciListNaziv>
  <DomainObject.Predmet.SudioniciListAdressOIB>
    <izvorni_sadrzaj>
      <item>FINA - Podružnica Šibenik, OIB 85821130368, Perivoj L. Marune 1,22000 Šibenik</item>
      <item>BENTZEN društvo s ograničenom odgovornošću za trgovinu i turizam, OIB 95314282185, Ante Starčevića 32,22202 Rogoznica</item>
    </izvorni_sadrzaj>
    <derivirana_varijabla naziv="DomainObject.Predmet.SudioniciListAdressOIB_1">
      <item>FINA - Podružnica Šibenik, OIB 85821130368, Perivoj L. Marune 1,22000 Šibenik</item>
      <item>BENTZEN društvo s ograničenom odgovornošću za trgovinu i turizam, OIB 95314282185, Ante Starčevića 32,22202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95314282185</item>
    </izvorni_sadrzaj>
    <derivirana_varijabla naziv="DomainObject.Predmet.SudioniciListNazivOIB_1">
      <item>, OIB 85821130368</item>
      <item>, OIB 95314282185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2690</properties:Characters>
  <properties:Lines>76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2018-03-01T10:07:00Z</dcterms:created>
  <dc:creator>Anamarija Kovačić Milković</dc:creator>
  <cp:lastModifiedBy>Anita Ivandić</cp:lastModifiedBy>
  <cp:lastPrinted>2018-03-01T12:19:00Z</cp:lastPrinted>
  <dcterms:modified xmlns:xsi="http://www.w3.org/2001/XMLSchema-instance" xsi:type="dcterms:W3CDTF">2018-03-02T08:41:00Z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(St-466-17-RH.docx)</vt:lpwstr>
  </prop:property>
  <prop:property name="CC_coloring" pid="4" fmtid="{D5CDD505-2E9C-101B-9397-08002B2CF9AE}">
    <vt:bool>false</vt:bool>
  </prop:property>
  <prop:property name="BrojStranica" pid="5" fmtid="{D5CDD505-2E9C-101B-9397-08002B2CF9AE}">
    <vt:i4>2</vt:i4>
  </prop:property>
</prop:Properties>
</file>