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10145" w14:paraId="c010145" w:rsidRDefault="00F5657E" w:rsidP="00F5657E" w:rsidR="00F5657E"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5657E" w:rsidP="00F5657E" w:rsidR="00F5657E"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F5657E" w:rsidP="00F5657E" w:rsidR="00F5657E"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F5657E" w:rsidP="00F5657E" w:rsidR="00F5657E">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F5657E" w:rsidP="00F5657E" w:rsidR="00F5657E" w:rsidRPr="00351032">
      <w:pPr>
        <w:widowControl w:val="false"/>
        <w:autoSpaceDE w:val="false"/>
        <w:autoSpaceDN w:val="false"/>
        <w:adjustRightInd w:val="false"/>
        <w:ind w:right="-99"/>
        <w:rPr>
          <w:rFonts w:cs="Times New Roman" w:eastAsia="Times New Roman"/>
          <w:bCs/>
          <w:szCs w:val="20"/>
        </w:rPr>
      </w:pPr>
    </w:p>
    <w:p w:rsidRDefault="00F5657E" w:rsidP="00F5657E" w:rsidR="00F5657E"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F5657E" w:rsidP="00F5657E" w:rsidR="00F5657E" w:rsidRPr="00CF72AC">
      <w:pPr>
        <w:jc w:val="center"/>
        <w:rPr>
          <w:rFonts w:cs="Times New Roman" w:eastAsia="Times New Roman"/>
          <w:szCs w:val="24"/>
          <w:lang w:eastAsia="hr-HR"/>
        </w:rPr>
      </w:pPr>
    </w:p>
    <w:p w:rsidRDefault="00F5657E" w:rsidP="00F5657E" w:rsidR="00F5657E"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F5657E" w:rsidP="00F5657E" w:rsidR="00F5657E" w:rsidRPr="00CF72AC">
      <w:pPr>
        <w:rPr>
          <w:rFonts w:cs="Times New Roman" w:eastAsia="Times New Roman"/>
          <w:szCs w:val="24"/>
          <w:lang w:eastAsia="hr-HR"/>
        </w:rPr>
      </w:pPr>
    </w:p>
    <w:p w:rsidRDefault="00F5657E" w:rsidP="00F5657E" w:rsidR="00F5657E">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8D0380">
        <w:rPr>
          <w:rFonts w:cs="Times New Roman" w:eastAsia="Times New Roman"/>
          <w:szCs w:val="24"/>
          <w:lang w:eastAsia="hr-HR"/>
        </w:rPr>
        <w:t>.</w:t>
      </w:r>
      <w:r w:rsidRPr="00CF72AC">
        <w:rPr>
          <w:rFonts w:cs="Times New Roman" w:eastAsia="Times New Roman"/>
          <w:szCs w:val="24"/>
          <w:lang w:eastAsia="hr-HR"/>
        </w:rPr>
        <w:t>broja: 04-06-15-</w:t>
      </w:r>
      <w:r w:rsidR="004151C1">
        <w:rPr>
          <w:rFonts w:cs="Times New Roman" w:eastAsia="Times New Roman"/>
          <w:szCs w:val="24"/>
          <w:lang w:eastAsia="hr-HR"/>
        </w:rPr>
        <w:t>8276</w:t>
      </w:r>
      <w:r>
        <w:rPr>
          <w:rFonts w:cs="Times New Roman" w:eastAsia="Times New Roman"/>
          <w:szCs w:val="24"/>
          <w:lang w:eastAsia="hr-HR"/>
        </w:rPr>
        <w:t xml:space="preserve">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xml:space="preserve">) </w:t>
      </w:r>
      <w:r w:rsidR="004151C1">
        <w:rPr>
          <w:rFonts w:cs="Times New Roman" w:eastAsia="Times New Roman"/>
          <w:szCs w:val="24"/>
          <w:lang w:eastAsia="hr-HR"/>
        </w:rPr>
        <w:t>VICTRIX</w:t>
      </w:r>
      <w:r w:rsidRPr="000B53E2">
        <w:rPr>
          <w:rFonts w:cs="Times New Roman" w:eastAsia="Times New Roman"/>
          <w:szCs w:val="24"/>
          <w:lang w:eastAsia="hr-HR"/>
        </w:rPr>
        <w:t xml:space="preserve"> d. o. o. </w:t>
      </w:r>
      <w:r w:rsidR="004151C1">
        <w:rPr>
          <w:rFonts w:cs="Times New Roman" w:eastAsia="Times New Roman"/>
          <w:szCs w:val="24"/>
          <w:lang w:eastAsia="hr-HR"/>
        </w:rPr>
        <w:t>Pula</w:t>
      </w:r>
      <w:r>
        <w:rPr>
          <w:rFonts w:cs="Times New Roman" w:eastAsia="Times New Roman"/>
          <w:szCs w:val="24"/>
          <w:lang w:eastAsia="hr-HR"/>
        </w:rPr>
        <w:t xml:space="preserve">, </w:t>
      </w:r>
      <w:r w:rsidR="004151C1">
        <w:rPr>
          <w:rFonts w:cs="Times New Roman" w:eastAsia="Times New Roman"/>
          <w:szCs w:val="24"/>
          <w:lang w:eastAsia="hr-HR"/>
        </w:rPr>
        <w:t>Starih statuta 4</w:t>
      </w:r>
      <w:r w:rsidRPr="000B53E2">
        <w:rPr>
          <w:rFonts w:cs="Times New Roman" w:eastAsia="Times New Roman"/>
          <w:szCs w:val="24"/>
          <w:lang w:eastAsia="hr-HR"/>
        </w:rPr>
        <w:t xml:space="preserve">, OIB </w:t>
      </w:r>
      <w:r w:rsidR="004151C1">
        <w:rPr>
          <w:rFonts w:cs="Times New Roman" w:eastAsia="Times New Roman"/>
          <w:szCs w:val="24"/>
          <w:lang w:eastAsia="hr-HR"/>
        </w:rPr>
        <w:t>69660769957</w:t>
      </w:r>
      <w:r>
        <w:rPr>
          <w:rFonts w:cs="Times New Roman" w:eastAsia="Times New Roman"/>
          <w:szCs w:val="24"/>
          <w:lang w:eastAsia="hr-HR"/>
        </w:rPr>
        <w:t xml:space="preserve">, MBS </w:t>
      </w:r>
      <w:r w:rsidR="004151C1">
        <w:rPr>
          <w:rFonts w:cs="Times New Roman" w:eastAsia="Times New Roman"/>
          <w:szCs w:val="24"/>
          <w:lang w:eastAsia="hr-HR"/>
        </w:rPr>
        <w:t>130018847</w:t>
      </w:r>
      <w:r>
        <w:rPr>
          <w:rFonts w:cs="Times New Roman" w:eastAsia="Times New Roman"/>
          <w:szCs w:val="24"/>
          <w:lang w:eastAsia="hr-HR"/>
        </w:rPr>
        <w:t>, 12. veljače 2016.</w:t>
      </w:r>
    </w:p>
    <w:p w:rsidRDefault="00F5657E" w:rsidP="00F5657E" w:rsidR="00F5657E" w:rsidRPr="00CF72AC">
      <w:pPr>
        <w:ind w:firstLine="708"/>
        <w:rPr>
          <w:rFonts w:cs="Times New Roman" w:eastAsia="Times New Roman"/>
          <w:szCs w:val="24"/>
          <w:lang w:eastAsia="hr-HR"/>
        </w:rPr>
      </w:pPr>
    </w:p>
    <w:p w:rsidRDefault="00F5657E" w:rsidP="00F5657E" w:rsidR="00F5657E"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F5657E" w:rsidP="00F5657E" w:rsidR="00F5657E" w:rsidRPr="00CF72AC">
      <w:pPr>
        <w:rPr>
          <w:rFonts w:cs="Times New Roman" w:eastAsia="Times New Roman"/>
          <w:szCs w:val="24"/>
          <w:lang w:eastAsia="hr-HR"/>
        </w:rPr>
      </w:pPr>
    </w:p>
    <w:p w:rsidRDefault="00F5657E" w:rsidP="00F5657E" w:rsidR="00F5657E"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sidR="004151C1">
        <w:rPr>
          <w:rFonts w:cs="Times New Roman" w:eastAsia="Times New Roman"/>
          <w:szCs w:val="24"/>
          <w:lang w:eastAsia="hr-HR"/>
        </w:rPr>
        <w:t>VICTRIX</w:t>
      </w:r>
      <w:r w:rsidR="004151C1" w:rsidRPr="000B53E2">
        <w:rPr>
          <w:rFonts w:cs="Times New Roman" w:eastAsia="Times New Roman"/>
          <w:szCs w:val="24"/>
          <w:lang w:eastAsia="hr-HR"/>
        </w:rPr>
        <w:t xml:space="preserve"> d. o. o. </w:t>
      </w:r>
      <w:r w:rsidR="004151C1">
        <w:rPr>
          <w:rFonts w:cs="Times New Roman" w:eastAsia="Times New Roman"/>
          <w:szCs w:val="24"/>
          <w:lang w:eastAsia="hr-HR"/>
        </w:rPr>
        <w:t>Pula, Starih statuta 4</w:t>
      </w:r>
      <w:r w:rsidR="004151C1" w:rsidRPr="000B53E2">
        <w:rPr>
          <w:rFonts w:cs="Times New Roman" w:eastAsia="Times New Roman"/>
          <w:szCs w:val="24"/>
          <w:lang w:eastAsia="hr-HR"/>
        </w:rPr>
        <w:t xml:space="preserve">, OIB </w:t>
      </w:r>
      <w:r w:rsidR="004151C1">
        <w:rPr>
          <w:rFonts w:cs="Times New Roman" w:eastAsia="Times New Roman"/>
          <w:szCs w:val="24"/>
          <w:lang w:eastAsia="hr-HR"/>
        </w:rPr>
        <w:t>69660769957, MBS 130018847</w:t>
      </w:r>
      <w:r w:rsidRPr="000B53E2">
        <w:rPr>
          <w:rFonts w:cs="Times New Roman" w:eastAsia="Times New Roman"/>
          <w:szCs w:val="24"/>
          <w:lang w:eastAsia="hr-HR"/>
        </w:rPr>
        <w:t>.</w:t>
      </w:r>
    </w:p>
    <w:p w:rsidRDefault="00F5657E" w:rsidP="00F5657E" w:rsidR="00F5657E" w:rsidRPr="000B53E2">
      <w:pPr>
        <w:rPr>
          <w:lang w:eastAsia="hr-HR"/>
        </w:rPr>
      </w:pPr>
    </w:p>
    <w:p w:rsidRDefault="00F5657E" w:rsidP="00F5657E" w:rsidR="00F5657E">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sidR="004151C1">
        <w:rPr>
          <w:rFonts w:cs="Times New Roman" w:eastAsia="Times New Roman"/>
          <w:szCs w:val="24"/>
          <w:lang w:eastAsia="hr-HR"/>
        </w:rPr>
        <w:t>VICTRIX</w:t>
      </w:r>
      <w:r w:rsidR="004151C1" w:rsidRPr="000B53E2">
        <w:rPr>
          <w:rFonts w:cs="Times New Roman" w:eastAsia="Times New Roman"/>
          <w:szCs w:val="24"/>
          <w:lang w:eastAsia="hr-HR"/>
        </w:rPr>
        <w:t xml:space="preserve"> d. o. o. </w:t>
      </w:r>
      <w:r w:rsidR="004151C1">
        <w:rPr>
          <w:rFonts w:cs="Times New Roman" w:eastAsia="Times New Roman"/>
          <w:szCs w:val="24"/>
          <w:lang w:eastAsia="hr-HR"/>
        </w:rPr>
        <w:t>Pula, Starih statuta 4</w:t>
      </w:r>
      <w:r w:rsidR="004151C1" w:rsidRPr="000B53E2">
        <w:rPr>
          <w:rFonts w:cs="Times New Roman" w:eastAsia="Times New Roman"/>
          <w:szCs w:val="24"/>
          <w:lang w:eastAsia="hr-HR"/>
        </w:rPr>
        <w:t xml:space="preserve">, OIB </w:t>
      </w:r>
      <w:r w:rsidR="004151C1">
        <w:rPr>
          <w:rFonts w:cs="Times New Roman" w:eastAsia="Times New Roman"/>
          <w:szCs w:val="24"/>
          <w:lang w:eastAsia="hr-HR"/>
        </w:rPr>
        <w:t>69660769957, MBS 130018847</w:t>
      </w:r>
      <w:r>
        <w:rPr>
          <w:rFonts w:cs="Times New Roman" w:eastAsia="Times New Roman"/>
          <w:szCs w:val="24"/>
          <w:lang w:eastAsia="hr-HR"/>
        </w:rPr>
        <w:t xml:space="preserve">, odlučit će se posebnim rješenjem za što će se predmetu dodijeliti novi posl. br. </w:t>
      </w:r>
    </w:p>
    <w:p w:rsidRDefault="00F5657E" w:rsidP="00F5657E" w:rsidR="00F5657E">
      <w:pPr>
        <w:ind w:firstLine="708"/>
        <w:rPr>
          <w:rFonts w:cs="Times New Roman" w:eastAsia="Times New Roman"/>
          <w:szCs w:val="24"/>
          <w:lang w:eastAsia="hr-HR"/>
        </w:rPr>
      </w:pPr>
    </w:p>
    <w:p w:rsidRDefault="00F5657E" w:rsidP="00F5657E" w:rsidR="00F5657E" w:rsidRPr="00CF72AC">
      <w:pPr>
        <w:ind w:firstLine="708"/>
        <w:rPr>
          <w:rFonts w:cs="Times New Roman" w:eastAsia="Times New Roman"/>
          <w:szCs w:val="24"/>
          <w:lang w:eastAsia="hr-HR"/>
        </w:rPr>
      </w:pPr>
    </w:p>
    <w:p w:rsidRDefault="00F5657E" w:rsidP="00F5657E" w:rsidR="00F5657E" w:rsidRPr="00CF72AC">
      <w:pPr>
        <w:jc w:val="center"/>
      </w:pPr>
      <w:r w:rsidRPr="00CF72AC">
        <w:t>Obrazloženje</w:t>
      </w:r>
    </w:p>
    <w:p w:rsidRDefault="00F5657E" w:rsidP="00F5657E" w:rsidR="00F5657E" w:rsidRPr="00CF72AC">
      <w:pPr>
        <w:ind w:firstLine="708"/>
        <w:rPr>
          <w:rFonts w:cs="Times New Roman" w:eastAsia="Times New Roman"/>
          <w:szCs w:val="24"/>
          <w:lang w:eastAsia="hr-HR"/>
        </w:rPr>
      </w:pPr>
    </w:p>
    <w:p w:rsidRDefault="00F5657E" w:rsidP="00F5657E" w:rsidR="00F5657E">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sidR="004151C1">
        <w:rPr>
          <w:rFonts w:cs="Times New Roman" w:eastAsia="Times New Roman"/>
          <w:szCs w:val="24"/>
          <w:lang w:eastAsia="hr-HR"/>
        </w:rPr>
        <w:t>VICTRIX</w:t>
      </w:r>
      <w:r w:rsidR="004151C1" w:rsidRPr="000B53E2">
        <w:rPr>
          <w:rFonts w:cs="Times New Roman" w:eastAsia="Times New Roman"/>
          <w:szCs w:val="24"/>
          <w:lang w:eastAsia="hr-HR"/>
        </w:rPr>
        <w:t xml:space="preserve"> d. o. o. </w:t>
      </w:r>
      <w:r w:rsidR="004151C1">
        <w:rPr>
          <w:rFonts w:cs="Times New Roman" w:eastAsia="Times New Roman"/>
          <w:szCs w:val="24"/>
          <w:lang w:eastAsia="hr-HR"/>
        </w:rPr>
        <w:t>Pula</w:t>
      </w:r>
      <w:r w:rsidRPr="000B53E2">
        <w:rPr>
          <w:rFonts w:cs="Times New Roman" w:eastAsia="Times New Roman"/>
          <w:szCs w:val="24"/>
          <w:lang w:eastAsia="hr-HR"/>
        </w:rPr>
        <w:t xml:space="preserve">, </w:t>
      </w:r>
      <w:r>
        <w:rPr>
          <w:rFonts w:cs="Times New Roman" w:eastAsia="Times New Roman"/>
          <w:szCs w:val="24"/>
          <w:lang w:eastAsia="hr-HR"/>
        </w:rPr>
        <w:t>budući da su za to bili ispunjeni uvjeti predviđeni čl. 428. Stečajnog zakona (Narodne novine br. 71/15), sukladno čl. 430. Stečajnog zakona, ovosudnim rješenjem posl. br. 11 St-</w:t>
      </w:r>
      <w:r w:rsidR="004151C1">
        <w:rPr>
          <w:rFonts w:cs="Times New Roman" w:eastAsia="Times New Roman"/>
          <w:szCs w:val="24"/>
          <w:lang w:eastAsia="hr-HR"/>
        </w:rPr>
        <w:t>359</w:t>
      </w:r>
      <w:r>
        <w:rPr>
          <w:rFonts w:cs="Times New Roman" w:eastAsia="Times New Roman"/>
          <w:szCs w:val="24"/>
          <w:lang w:eastAsia="hr-HR"/>
        </w:rPr>
        <w:t xml:space="preserve">/2015-3 od </w:t>
      </w:r>
      <w:r w:rsidR="004151C1">
        <w:rPr>
          <w:rFonts w:cs="Times New Roman" w:eastAsia="Times New Roman"/>
          <w:szCs w:val="24"/>
          <w:lang w:eastAsia="hr-HR"/>
        </w:rPr>
        <w:t>26</w:t>
      </w:r>
      <w:r>
        <w:rPr>
          <w:rFonts w:cs="Times New Roman" w:eastAsia="Times New Roman"/>
          <w:szCs w:val="24"/>
          <w:lang w:eastAsia="hr-HR"/>
        </w:rPr>
        <w:t>. studenog 2015. pokrenut je skraćeni stečajni postupak te je 4. prosinca 2015. na mrežnoj stranici e-Oglasna ploča sudova objavljen oglas posl. br. 11 St-</w:t>
      </w:r>
      <w:r w:rsidR="004151C1">
        <w:rPr>
          <w:rFonts w:cs="Times New Roman" w:eastAsia="Times New Roman"/>
          <w:szCs w:val="24"/>
          <w:lang w:eastAsia="hr-HR"/>
        </w:rPr>
        <w:t>359</w:t>
      </w:r>
      <w:r>
        <w:rPr>
          <w:rFonts w:cs="Times New Roman" w:eastAsia="Times New Roman"/>
          <w:szCs w:val="24"/>
          <w:lang w:eastAsia="hr-HR"/>
        </w:rPr>
        <w:t xml:space="preserve">/2015-4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F5657E" w:rsidP="00F5657E" w:rsidR="00F5657E">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18. siječnja 2016. dostavila je podnesak (predan na poštu preporučeno 14. siječnja 2016.) kojim je, kao vjerovnik, predložila otvaranje stečajnog postupka nad dužnikom. </w:t>
      </w:r>
    </w:p>
    <w:p w:rsidRDefault="00F5657E" w:rsidP="00F5657E" w:rsidR="00F5657E">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F5657E" w:rsidP="00F5657E" w:rsidR="00F5657E">
      <w:pPr>
        <w:rPr>
          <w:rFonts w:cs="Times New Roman" w:eastAsia="Times New Roman"/>
          <w:szCs w:val="24"/>
          <w:lang w:eastAsia="hr-HR"/>
        </w:rPr>
      </w:pPr>
    </w:p>
    <w:p w:rsidRDefault="00F5657E" w:rsidP="00F5657E" w:rsidR="00F5657E"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F5657E" w:rsidP="00F5657E" w:rsidR="00F5657E">
      <w:pPr>
        <w:rPr>
          <w:rFonts w:cs="Times New Roman" w:eastAsia="Times New Roman"/>
          <w:szCs w:val="24"/>
          <w:lang w:eastAsia="hr-HR"/>
        </w:rPr>
      </w:pPr>
    </w:p>
    <w:p w:rsidRDefault="00F5657E" w:rsidP="00F5657E" w:rsidR="00F5657E">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F5657E" w:rsidP="00F5657E" w:rsidR="00F5657E">
      <w:pPr>
        <w:ind w:left="5664"/>
        <w:jc w:val="center"/>
        <w:rPr>
          <w:rFonts w:cs="Times New Roman" w:eastAsia="Times New Roman"/>
          <w:szCs w:val="24"/>
          <w:lang w:eastAsia="hr-HR"/>
        </w:rPr>
      </w:pPr>
      <w:r>
        <w:rPr>
          <w:rFonts w:cs="Times New Roman" w:eastAsia="Times New Roman"/>
          <w:szCs w:val="24"/>
          <w:lang w:eastAsia="hr-HR"/>
        </w:rPr>
        <w:t>Adrijana Labinjan Skok</w:t>
      </w:r>
      <w:r w:rsidR="008D0380">
        <w:rPr>
          <w:rFonts w:cs="Times New Roman" w:eastAsia="Times New Roman"/>
          <w:szCs w:val="24"/>
          <w:lang w:eastAsia="hr-HR"/>
        </w:rPr>
        <w:t>, v. r.</w:t>
      </w:r>
    </w:p>
    <w:p w:rsidRDefault="00F5657E" w:rsidP="00F5657E" w:rsidR="00F5657E">
      <w:pPr>
        <w:ind w:firstLine="708" w:left="5664"/>
        <w:jc w:val="center"/>
        <w:rPr>
          <w:rFonts w:cs="Times New Roman" w:eastAsia="Times New Roman"/>
          <w:szCs w:val="24"/>
          <w:lang w:eastAsia="hr-HR"/>
        </w:rPr>
      </w:pPr>
    </w:p>
    <w:p w:rsidRDefault="00F5657E" w:rsidP="00F5657E" w:rsidR="00F5657E">
      <w:pPr>
        <w:ind w:firstLine="708" w:left="5664"/>
        <w:jc w:val="center"/>
        <w:rPr>
          <w:rFonts w:cs="Times New Roman" w:eastAsia="Times New Roman"/>
          <w:szCs w:val="24"/>
          <w:lang w:eastAsia="hr-HR"/>
        </w:rPr>
      </w:pPr>
    </w:p>
    <w:p w:rsidRDefault="00F5657E" w:rsidP="00F5657E" w:rsidR="00F5657E"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F5657E" w:rsidP="00F5657E" w:rsidR="00F5657E"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F5657E" w:rsidP="00F5657E" w:rsidR="00F5657E">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F5657E" w:rsidP="00F5657E" w:rsidR="00F5657E">
      <w:pPr>
        <w:rPr>
          <w:rFonts w:cs="Times New Roman" w:eastAsia="Times New Roman"/>
          <w:szCs w:val="24"/>
          <w:lang w:eastAsia="hr-HR"/>
        </w:rPr>
      </w:pPr>
    </w:p>
    <w:p w:rsidRDefault="00F5657E" w:rsidP="00F5657E" w:rsidR="00F5657E" w:rsidRPr="00CF72AC">
      <w:pPr>
        <w:rPr>
          <w:rFonts w:cs="Times New Roman" w:eastAsia="Times New Roman"/>
          <w:szCs w:val="24"/>
          <w:lang w:eastAsia="hr-HR"/>
        </w:rPr>
      </w:pPr>
    </w:p>
    <w:p w:rsidRDefault="00F5657E" w:rsidP="00F5657E" w:rsidR="00F5657E" w:rsidRPr="00CF72AC">
      <w:pPr>
        <w:rPr>
          <w:rFonts w:cs="Times New Roman" w:eastAsia="Times New Roman"/>
          <w:szCs w:val="24"/>
          <w:lang w:eastAsia="hr-HR"/>
        </w:rPr>
      </w:pPr>
      <w:r w:rsidRPr="00CF72AC">
        <w:rPr>
          <w:rFonts w:cs="Times New Roman" w:eastAsia="Times New Roman"/>
          <w:szCs w:val="24"/>
          <w:lang w:eastAsia="hr-HR"/>
        </w:rPr>
        <w:t>DNA:</w:t>
      </w:r>
    </w:p>
    <w:p w:rsidRDefault="00F5657E" w:rsidP="00F5657E" w:rsidR="00F5657E">
      <w:pPr>
        <w:rPr>
          <w:rFonts w:cs="Times New Roman" w:eastAsia="Times New Roman"/>
          <w:szCs w:val="24"/>
          <w:lang w:eastAsia="hr-HR"/>
        </w:rPr>
      </w:pPr>
      <w:r>
        <w:rPr>
          <w:rFonts w:eastAsiaTheme="minorEastAsia"/>
          <w:lang w:eastAsia="hr-HR"/>
        </w:rPr>
        <w:t xml:space="preserve">1. dužnik </w:t>
      </w:r>
      <w:r w:rsidR="004151C1">
        <w:rPr>
          <w:rFonts w:cs="Times New Roman" w:eastAsia="Times New Roman"/>
          <w:szCs w:val="24"/>
          <w:lang w:eastAsia="hr-HR"/>
        </w:rPr>
        <w:t>VICTRIX</w:t>
      </w:r>
      <w:r w:rsidR="004151C1" w:rsidRPr="000B53E2">
        <w:rPr>
          <w:rFonts w:cs="Times New Roman" w:eastAsia="Times New Roman"/>
          <w:szCs w:val="24"/>
          <w:lang w:eastAsia="hr-HR"/>
        </w:rPr>
        <w:t xml:space="preserve"> d. o. o. </w:t>
      </w:r>
      <w:r w:rsidR="004151C1">
        <w:rPr>
          <w:rFonts w:cs="Times New Roman" w:eastAsia="Times New Roman"/>
          <w:szCs w:val="24"/>
          <w:lang w:eastAsia="hr-HR"/>
        </w:rPr>
        <w:t>Pula, Starih statuta 4</w:t>
      </w:r>
      <w:r>
        <w:rPr>
          <w:rFonts w:cs="Times New Roman" w:eastAsia="Times New Roman"/>
          <w:szCs w:val="24"/>
          <w:lang w:eastAsia="hr-HR"/>
        </w:rPr>
        <w:t xml:space="preserve">, </w:t>
      </w:r>
    </w:p>
    <w:p w:rsidRDefault="00F5657E" w:rsidP="00F5657E" w:rsidR="00F5657E">
      <w:pPr>
        <w:rPr>
          <w:rFonts w:eastAsiaTheme="minorEastAsia"/>
          <w:lang w:eastAsia="hr-HR"/>
        </w:rPr>
      </w:pPr>
      <w:r>
        <w:rPr>
          <w:rFonts w:eastAsiaTheme="minorEastAsia"/>
          <w:lang w:eastAsia="hr-HR"/>
        </w:rPr>
        <w:t xml:space="preserve">2. zakonski zastupnik dužnika – </w:t>
      </w:r>
      <w:r w:rsidR="004151C1">
        <w:rPr>
          <w:rFonts w:eastAsiaTheme="minorEastAsia"/>
          <w:lang w:eastAsia="hr-HR"/>
        </w:rPr>
        <w:t>Drago Radolović, Višnjan, Bokići 10</w:t>
      </w:r>
      <w:r>
        <w:rPr>
          <w:rFonts w:eastAsiaTheme="minorEastAsia"/>
          <w:lang w:eastAsia="hr-HR"/>
        </w:rPr>
        <w:t xml:space="preserve">, </w:t>
      </w:r>
    </w:p>
    <w:p w:rsidRDefault="00F5657E" w:rsidP="00F5657E" w:rsidR="00F5657E">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w:t>
      </w:r>
      <w:r w:rsidR="004151C1">
        <w:rPr>
          <w:rFonts w:cs="Times New Roman" w:eastAsia="Times New Roman"/>
          <w:szCs w:val="24"/>
          <w:lang w:eastAsia="hr-HR"/>
        </w:rPr>
        <w:t>11</w:t>
      </w:r>
      <w:r>
        <w:rPr>
          <w:rFonts w:cs="Times New Roman" w:eastAsia="Times New Roman"/>
          <w:szCs w:val="24"/>
          <w:lang w:eastAsia="hr-HR"/>
        </w:rPr>
        <w:t>/2016,</w:t>
      </w:r>
    </w:p>
    <w:p w:rsidRDefault="00F5657E" w:rsidP="00F5657E" w:rsidR="00F5657E"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F5657E" w:rsidP="00F5657E" w:rsidR="00F5657E">
      <w:pPr>
        <w:rPr>
          <w:rFonts w:eastAsiaTheme="minorEastAsia"/>
          <w:lang w:eastAsia="hr-HR"/>
        </w:rPr>
      </w:pPr>
      <w:r>
        <w:rPr>
          <w:rFonts w:eastAsiaTheme="minorEastAsia"/>
          <w:lang w:eastAsia="hr-HR"/>
        </w:rPr>
        <w:t xml:space="preserve">5. sudski registar. </w:t>
      </w:r>
    </w:p>
    <w:p w:rsidRDefault="00F5657E" w:rsidP="00F5657E" w:rsidR="00F5657E">
      <w:pPr>
        <w:rPr>
          <w:rFonts w:eastAsiaTheme="minorEastAsia"/>
          <w:lang w:eastAsia="hr-HR"/>
        </w:rPr>
      </w:pPr>
    </w:p>
    <w:p w:rsidRDefault="00F5657E" w:rsidP="00F5657E" w:rsidR="00F5657E" w:rsidRPr="00CF72AC">
      <w:pPr>
        <w:rPr>
          <w:rFonts w:eastAsiaTheme="minorEastAsia"/>
          <w:lang w:eastAsia="hr-HR"/>
        </w:rPr>
      </w:pPr>
    </w:p>
    <w:p w:rsidRDefault="00F5657E" w:rsidP="00F5657E" w:rsidR="00F5657E">
      <w:pPr>
        <w:ind w:firstLine="708" w:left="4956"/>
        <w:jc w:val="center"/>
        <w:rPr>
          <w:rFonts w:eastAsiaTheme="minorEastAsia"/>
          <w:lang w:eastAsia="hr-HR"/>
        </w:rPr>
      </w:pPr>
      <w:r>
        <w:rPr>
          <w:rFonts w:eastAsiaTheme="minorEastAsia"/>
          <w:lang w:eastAsia="hr-HR"/>
        </w:rPr>
        <w:t>Nacrt rješenja izradila:</w:t>
      </w:r>
    </w:p>
    <w:p w:rsidRDefault="00F5657E" w:rsidP="00F5657E" w:rsidR="00F5657E">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F5657E" w:rsidP="00F5657E" w:rsidR="00F5657E"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8D0380">
        <w:rPr>
          <w:rFonts w:cs="Times New Roman" w:eastAsia="Times New Roman"/>
          <w:szCs w:val="24"/>
          <w:lang w:eastAsia="hr-HR"/>
        </w:rPr>
        <w:t>, v. r.</w:t>
      </w:r>
    </w:p>
    <w:p w:rsidRDefault="00F5657E" w:rsidP="00F5657E" w:rsidR="00F5657E"/>
    <w:p w:rsidRDefault="00F5657E" w:rsidP="00F5657E" w:rsidR="00F5657E"/>
    <w:p w:rsidRDefault="00F5657E" w:rsidP="00F5657E" w:rsidR="00F5657E"/>
    <w:p w:rsidRDefault="00F5657E" w:rsidP="00F5657E" w:rsidR="00F5657E"/>
    <w:p w:rsidRDefault="00F5657E" w:rsidP="00F5657E" w:rsidR="00F5657E"/>
    <w:p w:rsidRDefault="00613AC5"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57E" w:rsidP="00F5657E" w:rsidR="00F5657E">
      <w:r>
        <w:separator/>
      </w:r>
    </w:p>
  </w:endnote>
  <w:endnote w:id="0" w:type="continuationSeparator">
    <w:p w:rsidRDefault="00F5657E" w:rsidP="00F5657E" w:rsidR="00F565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57E" w:rsidP="00F5657E" w:rsidR="00F5657E">
      <w:r>
        <w:separator/>
      </w:r>
    </w:p>
  </w:footnote>
  <w:footnote w:id="0" w:type="continuationSeparator">
    <w:p w:rsidRDefault="00F5657E" w:rsidP="00F5657E" w:rsidR="00F565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657E"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613AC5">
      <w:rPr>
        <w:noProof/>
        <w:szCs w:val="24"/>
      </w:rPr>
      <w:t>2</w:t>
    </w:r>
    <w:r w:rsidRPr="00A074C3">
      <w:rPr>
        <w:szCs w:val="24"/>
      </w:rPr>
      <w:fldChar w:fldCharType="end"/>
    </w:r>
    <w:r>
      <w:rPr>
        <w:szCs w:val="24"/>
      </w:rPr>
      <w:tab/>
      <w:t>11 St-359/2015-</w:t>
    </w:r>
    <w:r w:rsidR="004151C1">
      <w:rPr>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657E" w:rsidP="00CC57E8" w:rsidR="00F96021" w:rsidRPr="005153B5">
    <w:pPr>
      <w:pStyle w:val="Zaglavlje"/>
      <w:jc w:val="right"/>
    </w:pPr>
    <w:r>
      <w:rPr>
        <w:szCs w:val="24"/>
      </w:rPr>
      <w:t>11 St-359/2015-</w:t>
    </w:r>
    <w:r w:rsidR="004151C1">
      <w:rPr>
        <w:szCs w:val="24"/>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130F"/>
    <w:rsid w:val="0007130F"/>
    <w:rsid w:val="004151C1"/>
    <w:rsid w:val="00613AC5"/>
    <w:rsid w:val="0075528E"/>
    <w:rsid w:val="0079403F"/>
    <w:rsid w:val="008D0380"/>
    <w:rsid w:val="00F565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657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657E"/>
    <w:pPr>
      <w:tabs>
        <w:tab w:pos="4536" w:val="center"/>
        <w:tab w:pos="9072" w:val="right"/>
      </w:tabs>
    </w:pPr>
  </w:style>
  <w:style w:customStyle="true" w:styleId="ZaglavljeChar" w:type="character">
    <w:name w:val="Zaglavlje Char"/>
    <w:basedOn w:val="Zadanifontodlomka"/>
    <w:link w:val="Zaglavlje"/>
    <w:uiPriority w:val="99"/>
    <w:rsid w:val="00F5657E"/>
    <w:rPr>
      <w:rFonts w:hAnsi="Times New Roman" w:ascii="Times New Roman"/>
      <w:sz w:val="24"/>
    </w:rPr>
  </w:style>
  <w:style w:styleId="Tekstbalonia" w:type="paragraph">
    <w:name w:val="Balloon Text"/>
    <w:basedOn w:val="Normal"/>
    <w:link w:val="TekstbaloniaChar"/>
    <w:uiPriority w:val="99"/>
    <w:semiHidden/>
    <w:unhideWhenUsed/>
    <w:rsid w:val="00F565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657E"/>
    <w:rPr>
      <w:rFonts w:cs="Tahoma" w:hAnsi="Tahoma" w:ascii="Tahoma"/>
      <w:sz w:val="16"/>
      <w:szCs w:val="16"/>
    </w:rPr>
  </w:style>
  <w:style w:styleId="Podnoje" w:type="paragraph">
    <w:name w:val="footer"/>
    <w:basedOn w:val="Normal"/>
    <w:link w:val="PodnojeChar"/>
    <w:uiPriority w:val="99"/>
    <w:unhideWhenUsed/>
    <w:rsid w:val="00F5657E"/>
    <w:pPr>
      <w:tabs>
        <w:tab w:pos="4536" w:val="center"/>
        <w:tab w:pos="9072" w:val="right"/>
      </w:tabs>
    </w:pPr>
  </w:style>
  <w:style w:customStyle="true" w:styleId="PodnojeChar" w:type="character">
    <w:name w:val="Podnožje Char"/>
    <w:basedOn w:val="Zadanifontodlomka"/>
    <w:link w:val="Podnoje"/>
    <w:uiPriority w:val="99"/>
    <w:rsid w:val="00F5657E"/>
    <w:rPr>
      <w:rFonts w:hAnsi="Times New Roman" w:ascii="Times New Roman"/>
      <w:sz w:val="24"/>
    </w:rPr>
  </w:style>
  <w:style w:styleId="Tekstrezerviranogmjesta" w:type="character">
    <w:name w:val="Placeholder Text"/>
    <w:basedOn w:val="Zadanifontodlomka"/>
    <w:uiPriority w:val="99"/>
    <w:semiHidden/>
    <w:rsid w:val="00613AC5"/>
    <w:rPr>
      <w:color w:val="808080"/>
      <w:bdr w:space="0" w:sz="0" w:color="auto" w:val="none"/>
      <w:shd w:fill="auto" w:color="auto" w:val="clear"/>
    </w:rPr>
  </w:style>
  <w:style w:customStyle="true" w:styleId="eSPISCCParagraphDefaultFont" w:type="character">
    <w:name w:val="eSPIS_CC_Paragraph Default Font"/>
    <w:basedOn w:val="Zadanifontodlomka"/>
    <w:rsid w:val="00613AC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13AC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13AC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13AC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657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657E"/>
    <w:pPr>
      <w:tabs>
        <w:tab w:pos="4536" w:val="center"/>
        <w:tab w:pos="9072" w:val="right"/>
      </w:tabs>
    </w:pPr>
  </w:style>
  <w:style w:customStyle="1" w:styleId="ZaglavljeChar" w:type="character">
    <w:name w:val="Zaglavlje Char"/>
    <w:basedOn w:val="Zadanifontodlomka"/>
    <w:link w:val="Zaglavlje"/>
    <w:uiPriority w:val="99"/>
    <w:rsid w:val="00F5657E"/>
    <w:rPr>
      <w:rFonts w:ascii="Times New Roman" w:hAnsi="Times New Roman"/>
      <w:sz w:val="24"/>
    </w:rPr>
  </w:style>
  <w:style w:styleId="Tekstbalonia" w:type="paragraph">
    <w:name w:val="Balloon Text"/>
    <w:basedOn w:val="Normal"/>
    <w:link w:val="TekstbaloniaChar"/>
    <w:uiPriority w:val="99"/>
    <w:semiHidden/>
    <w:unhideWhenUsed/>
    <w:rsid w:val="00F5657E"/>
    <w:rPr>
      <w:rFonts w:ascii="Tahoma" w:cs="Tahoma" w:hAnsi="Tahoma"/>
      <w:sz w:val="16"/>
      <w:szCs w:val="16"/>
    </w:rPr>
  </w:style>
  <w:style w:customStyle="1" w:styleId="TekstbaloniaChar" w:type="character">
    <w:name w:val="Tekst balončića Char"/>
    <w:basedOn w:val="Zadanifontodlomka"/>
    <w:link w:val="Tekstbalonia"/>
    <w:uiPriority w:val="99"/>
    <w:semiHidden/>
    <w:rsid w:val="00F5657E"/>
    <w:rPr>
      <w:rFonts w:ascii="Tahoma" w:cs="Tahoma" w:hAnsi="Tahoma"/>
      <w:sz w:val="16"/>
      <w:szCs w:val="16"/>
    </w:rPr>
  </w:style>
  <w:style w:styleId="Podnoje" w:type="paragraph">
    <w:name w:val="footer"/>
    <w:basedOn w:val="Normal"/>
    <w:link w:val="PodnojeChar"/>
    <w:uiPriority w:val="99"/>
    <w:unhideWhenUsed/>
    <w:rsid w:val="00F5657E"/>
    <w:pPr>
      <w:tabs>
        <w:tab w:pos="4536" w:val="center"/>
        <w:tab w:pos="9072" w:val="right"/>
      </w:tabs>
    </w:pPr>
  </w:style>
  <w:style w:customStyle="1" w:styleId="PodnojeChar" w:type="character">
    <w:name w:val="Podnožje Char"/>
    <w:basedOn w:val="Zadanifontodlomka"/>
    <w:link w:val="Podnoje"/>
    <w:uiPriority w:val="99"/>
    <w:rsid w:val="00F5657E"/>
    <w:rPr>
      <w:rFonts w:ascii="Times New Roman" w:hAnsi="Times New Roman"/>
      <w:sz w:val="24"/>
    </w:rPr>
  </w:style>
  <w:style w:styleId="Tekstrezerviranogmjesta" w:type="character">
    <w:name w:val="Placeholder Text"/>
    <w:basedOn w:val="Zadanifontodlomka"/>
    <w:uiPriority w:val="99"/>
    <w:semiHidden/>
    <w:rsid w:val="00613AC5"/>
    <w:rPr>
      <w:color w:val="808080"/>
      <w:bdr w:color="auto" w:space="0" w:sz="0" w:val="none"/>
      <w:shd w:color="auto" w:fill="auto" w:val="clear"/>
    </w:rPr>
  </w:style>
  <w:style w:customStyle="1" w:styleId="eSPISCCParagraphDefaultFont" w:type="character">
    <w:name w:val="eSPIS_CC_Paragraph Default Font"/>
    <w:basedOn w:val="Zadanifontodlomka"/>
    <w:rsid w:val="00613AC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13AC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13AC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13AC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St-359/2015</izvorni_sadrzaj>
    <derivirana_varijabla naziv="DomainObject.Predmet.OznakaBroj_1">St-359/2015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VICTRIX d.o.o. PULA</izvorni_sadrzaj>
    <derivirana_varijabla naziv="DomainObject.Predmet.ProtustrankaFormated_1">  VICTRIX d.o.o. PULA</derivirana_varijabla>
  </DomainObject.Predmet.ProtustrankaFormated>
  <DomainObject.Predmet.ProtustrankaFormatedOIB>
    <izvorni_sadrzaj>  VICTRIX d.o.o. PULA, OIB 69660769957</izvorni_sadrzaj>
    <derivirana_varijabla naziv="DomainObject.Predmet.ProtustrankaFormatedOIB_1">  VICTRIX d.o.o. PULA, OIB 69660769957</derivirana_varijabla>
  </DomainObject.Predmet.ProtustrankaFormatedOIB>
  <DomainObject.Predmet.ProtustrankaFormatedWithAdress>
    <izvorni_sadrzaj> VICTRIX d.o.o. PULA, Starih statuta 4, 52100 Pula</izvorni_sadrzaj>
    <derivirana_varijabla naziv="DomainObject.Predmet.ProtustrankaFormatedWithAdress_1"> VICTRIX d.o.o. PULA, Starih statuta 4, 52100 Pula</derivirana_varijabla>
  </DomainObject.Predmet.ProtustrankaFormatedWithAdress>
  <DomainObject.Predmet.ProtustrankaFormatedWithAdressOIB>
    <izvorni_sadrzaj> VICTRIX d.o.o. PULA, OIB 69660769957, Starih statuta 4, 52100 Pula</izvorni_sadrzaj>
    <derivirana_varijabla naziv="DomainObject.Predmet.ProtustrankaFormatedWithAdressOIB_1"> VICTRIX d.o.o. PULA, OIB 69660769957, Starih statuta 4, 52100 Pula</derivirana_varijabla>
  </DomainObject.Predmet.ProtustrankaFormatedWithAdressOIB>
  <DomainObject.Predmet.ProtustrankaWithAdress>
    <izvorni_sadrzaj>VICTRIX d.o.o. PULA Starih statuta 4, 52100 Pula</izvorni_sadrzaj>
    <derivirana_varijabla naziv="DomainObject.Predmet.ProtustrankaWithAdress_1">VICTRIX d.o.o. PULA Starih statuta 4, 52100 Pula</derivirana_varijabla>
  </DomainObject.Predmet.ProtustrankaWithAdress>
  <DomainObject.Predmet.ProtustrankaWithAdressOIB>
    <izvorni_sadrzaj>VICTRIX d.o.o. PULA, OIB 69660769957, Starih statuta 4, 52100 Pula</izvorni_sadrzaj>
    <derivirana_varijabla naziv="DomainObject.Predmet.ProtustrankaWithAdressOIB_1">VICTRIX d.o.o. PULA, OIB 69660769957, Starih statuta 4, 52100 Pula</derivirana_varijabla>
  </DomainObject.Predmet.ProtustrankaWithAdressOIB>
  <DomainObject.Predmet.ProtustrankaNazivFormated>
    <izvorni_sadrzaj>VICTRIX d.o.o. PULA</izvorni_sadrzaj>
    <derivirana_varijabla naziv="DomainObject.Predmet.ProtustrankaNazivFormated_1">VICTRIX d.o.o. PULA</derivirana_varijabla>
  </DomainObject.Predmet.ProtustrankaNazivFormated>
  <DomainObject.Predmet.ProtustrankaNazivFormatedOIB>
    <izvorni_sadrzaj>VICTRIX d.o.o. PULA, OIB 69660769957</izvorni_sadrzaj>
    <derivirana_varijabla naziv="DomainObject.Predmet.ProtustrankaNazivFormatedOIB_1">VICTRIX d.o.o. PULA, OIB 69660769957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1066768.29</izvorni_sadrzaj>
    <derivirana_varijabla naziv="DomainObject.Predmet.TrenutnaVrijednost_1">1066768.29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VICTRIX d.o.o. PULA</item>
    </izvorni_sadrzaj>
    <derivirana_varijabla naziv="DomainObject.Predmet.ProtuStrankaListFormated_1">
      <item>VICTRIX d.o.o. PULA</item>
    </derivirana_varijabla>
  </DomainObject.Predmet.ProtuStrankaListFormated>
  <DomainObject.Predmet.ProtuStrankaListFormatedOIB>
    <izvorni_sadrzaj>
      <item>VICTRIX d.o.o. PULA, OIB 69660769957</item>
    </izvorni_sadrzaj>
    <derivirana_varijabla naziv="DomainObject.Predmet.ProtuStrankaListFormatedOIB_1">
      <item>VICTRIX d.o.o. PULA, OIB 69660769957</item>
    </derivirana_varijabla>
  </DomainObject.Predmet.ProtuStrankaListFormatedOIB>
  <DomainObject.Predmet.ProtuStrankaListFormatedWithAdress>
    <izvorni_sadrzaj>
      <item>VICTRIX d.o.o. PULA, Starih statuta 4, 52100 Pula</item>
    </izvorni_sadrzaj>
    <derivirana_varijabla naziv="DomainObject.Predmet.ProtuStrankaListFormatedWithAdress_1">
      <item>VICTRIX d.o.o. PULA, Starih statuta 4, 52100 Pula</item>
    </derivirana_varijabla>
  </DomainObject.Predmet.ProtuStrankaListFormatedWithAdress>
  <DomainObject.Predmet.ProtuStrankaListFormatedWithAdressOIB>
    <izvorni_sadrzaj>
      <item>VICTRIX d.o.o. PULA, OIB 69660769957, Starih statuta 4, 52100 Pula</item>
    </izvorni_sadrzaj>
    <derivirana_varijabla naziv="DomainObject.Predmet.ProtuStrankaListFormatedWithAdressOIB_1">
      <item>VICTRIX d.o.o. PULA, OIB 69660769957, Starih statuta 4, 52100 Pula</item>
    </derivirana_varijabla>
  </DomainObject.Predmet.ProtuStrankaListFormatedWithAdressOIB>
  <DomainObject.Predmet.ProtuStrankaListNazivFormated>
    <izvorni_sadrzaj>
      <item>VICTRIX d.o.o. PULA</item>
    </izvorni_sadrzaj>
    <derivirana_varijabla naziv="DomainObject.Predmet.ProtuStrankaListNazivFormated_1">
      <item>VICTRIX d.o.o. PULA</item>
    </derivirana_varijabla>
  </DomainObject.Predmet.ProtuStrankaListNazivFormated>
  <DomainObject.Predmet.ProtuStrankaListNazivFormatedOIB>
    <izvorni_sadrzaj>
      <item>VICTRIX d.o.o. PULA, OIB 69660769957</item>
    </izvorni_sadrzaj>
    <derivirana_varijabla naziv="DomainObject.Predmet.ProtuStrankaListNazivFormatedOIB_1">
      <item>VICTRIX d.o.o. PULA, OIB 69660769957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VICTRIX d.o.o. PULA</izvorni_sadrzaj>
    <derivirana_varijabla naziv="DomainObject.Predmet.ProtustrankaIDrugi_1">VICTRIX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VICTRIX d.o.o. PULA, OIB 69660769957, Starih statuta 4, 52100 Pula</izvorni_sadrzaj>
    <derivirana_varijabla naziv="DomainObject.Predmet.ProtustrankaIDrugiAdressOIB_1">VICTRIX d.o.o. PULA, OIB 69660769957,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VICTRIX d.o.o. PULA</item>
    </izvorni_sadrzaj>
    <derivirana_varijabla naziv="DomainObject.Predmet.SudioniciListNaziv_1">
      <item>FINANCIJSKA AGENCIJA, RC RIJEKA, PODRUŽNICA PULA, PULA</item>
      <item>VICTRIX d.o.o. PULA</item>
    </derivirana_varijabla>
  </DomainObject.Predmet.SudioniciListNaziv>
  <DomainObject.Predmet.SudioniciListAdressOIB>
    <izvorni_sadrzaj>
      <item>FINANCIJSKA AGENCIJA, RC RIJEKA, PODRUŽNICA PULA, PULA, OIB 85821130368, Ulica grada Vukovara 70,Zagreb</item>
      <item>VICTRIX d.o.o. PULA, OIB 69660769957, Starih statuta 4,52100 Pula</item>
    </izvorni_sadrzaj>
    <derivirana_varijabla naziv="DomainObject.Predmet.SudioniciListAdressOIB_1">
      <item>FINANCIJSKA AGENCIJA, RC RIJEKA, PODRUŽNICA PULA, PULA, OIB 85821130368, Ulica grada Vukovara 70,Zagreb</item>
      <item>VICTRIX d.o.o. PULA, OIB 69660769957, Starih statuta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69660769957</item>
    </izvorni_sadrzaj>
    <derivirana_varijabla naziv="DomainObject.Predmet.SudioniciListNazivOIB_1">
      <item>, OIB 85821130368</item>
      <item>, OIB 69660769957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2999</properties:Characters>
  <properties:Lines>81</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2016-02-12T12:39:00Z</dcterms:created>
  <dc:creator>Mihaela Kaligari</dc:creator>
  <dc:description/>
  <cp:keywords/>
  <cp:lastModifiedBy>Mihaela Kaligari</cp:lastModifiedBy>
  <cp:lastPrinted>2016-02-12T14:10:00Z</cp:lastPrinted>
  <dcterms:modified xmlns:xsi="http://www.w3.org/2001/XMLSchema-instance" xsi:type="dcterms:W3CDTF">2016-02-17T11:22:00Z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