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e5478" w14:paraId="a0e5478" w:rsidRDefault="006D0DA3" w:rsidP="006D0DA3" w:rsidR="006D0DA3">
      <w:pPr>
        <w15:collapsed w:val="false"/>
      </w:pPr>
      <w:bookmarkStart w:name="_GoBack" w:id="0"/>
      <w:bookmarkEnd w:id="0"/>
      <w:r>
        <w:t>Obrazac 20.</w:t>
      </w:r>
    </w:p>
    <w:p w:rsidRDefault="006D0DA3" w:rsidP="006D0DA3" w:rsidR="006D0DA3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IZVJEŠĆE </w:t>
      </w:r>
      <w:r>
        <w:rPr>
          <w:rFonts w:hAnsi="Times New Roman" w:ascii="Times New Roman"/>
          <w:b/>
          <w:sz w:val="24"/>
          <w:szCs w:val="24"/>
        </w:rPr>
        <w:t>STEČAJNOGA</w:t>
      </w:r>
      <w:r>
        <w:rPr>
          <w:rFonts w:hAnsi="Times New Roman" w:ascii="Times New Roman"/>
          <w:b/>
          <w:sz w:val="24"/>
        </w:rPr>
        <w:t xml:space="preserve"> UPRAVITELJA O TIJEKU </w:t>
      </w:r>
      <w:r>
        <w:rPr>
          <w:rFonts w:hAnsi="Times New Roman" w:ascii="Times New Roman"/>
          <w:b/>
          <w:sz w:val="24"/>
          <w:szCs w:val="24"/>
        </w:rPr>
        <w:t>STEČAJNOGA</w:t>
      </w:r>
      <w:r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6D0DA3" w:rsidP="006D0DA3" w:rsidR="006D0DA3">
      <w:pPr>
        <w:jc w:val="center"/>
        <w:rPr>
          <w:rFonts w:hAnsi="Times New Roman" w:ascii="Times New Roman"/>
          <w:sz w:val="24"/>
        </w:rPr>
      </w:pPr>
    </w:p>
    <w:p w:rsidRDefault="006D0DA3" w:rsidP="006D0DA3" w:rsidR="006D0DA3">
      <w:pPr>
        <w:jc w:val="both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sz w:val="24"/>
          <w:szCs w:val="24"/>
          <w:lang w:val="pl-PL"/>
        </w:rPr>
        <w:t>Nadle</w:t>
      </w:r>
      <w:r>
        <w:rPr>
          <w:rFonts w:hAnsi="Times New Roman" w:ascii="Times New Roman"/>
          <w:sz w:val="24"/>
        </w:rPr>
        <w:t>ž</w:t>
      </w:r>
      <w:r>
        <w:rPr>
          <w:rFonts w:hAnsi="Times New Roman" w:ascii="Times New Roman"/>
          <w:sz w:val="24"/>
          <w:szCs w:val="24"/>
          <w:lang w:val="pl-PL"/>
        </w:rPr>
        <w:t>ni</w:t>
      </w:r>
      <w:r>
        <w:rPr>
          <w:rFonts w:hAnsi="Times New Roman" w:ascii="Times New Roman"/>
          <w:sz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trgova</w:t>
      </w:r>
      <w:r>
        <w:rPr>
          <w:rFonts w:hAnsi="Times New Roman" w:ascii="Times New Roman"/>
          <w:sz w:val="24"/>
        </w:rPr>
        <w:t>č</w:t>
      </w:r>
      <w:r>
        <w:rPr>
          <w:rFonts w:hAnsi="Times New Roman" w:ascii="Times New Roman"/>
          <w:sz w:val="24"/>
          <w:szCs w:val="24"/>
          <w:lang w:val="pl-PL"/>
        </w:rPr>
        <w:t>ki</w:t>
      </w:r>
      <w:r>
        <w:rPr>
          <w:rFonts w:hAnsi="Times New Roman" w:ascii="Times New Roman"/>
          <w:sz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sud: </w:t>
      </w:r>
      <w:r>
        <w:rPr>
          <w:rFonts w:hAnsi="Times New Roman" w:ascii="Times New Roman"/>
          <w:b/>
          <w:sz w:val="24"/>
        </w:rPr>
        <w:t>Trgovački sud u Bjelovaru</w:t>
      </w:r>
    </w:p>
    <w:p w:rsidRDefault="006D0DA3" w:rsidP="006D0DA3" w:rsidR="006D0DA3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Poslovni broj spisa: </w:t>
      </w:r>
      <w:r>
        <w:rPr>
          <w:rFonts w:hAnsi="Times New Roman" w:ascii="Times New Roman"/>
          <w:b/>
          <w:sz w:val="24"/>
          <w:szCs w:val="24"/>
          <w:lang w:val="pl-PL"/>
        </w:rPr>
        <w:t>1 St-182/2016</w:t>
      </w:r>
    </w:p>
    <w:p w:rsidRDefault="006D0DA3" w:rsidP="006D0DA3" w:rsidR="006D0DA3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Dužnik (ime i prezime / tvrtka ili naziv, OIB, adresa / sjedište): </w:t>
      </w:r>
    </w:p>
    <w:p w:rsidRDefault="006D0DA3" w:rsidP="006D0DA3" w:rsidR="006D0DA3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Stečajna masa iza VITAFLORA d.o.o. u stečaju, OIB: 24736040978,</w:t>
      </w:r>
    </w:p>
    <w:p w:rsidRDefault="006D0DA3" w:rsidP="006D0DA3" w:rsidR="006D0DA3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Osijek, Vijenac Ivana Meštrovića 74</w:t>
      </w:r>
    </w:p>
    <w:p w:rsidRDefault="006D0DA3" w:rsidP="006D0DA3" w:rsidR="006D0DA3">
      <w:pPr>
        <w:rPr>
          <w:rFonts w:hAnsi="Times New Roman" w:ascii="Times New Roman"/>
          <w:sz w:val="24"/>
          <w:szCs w:val="24"/>
          <w:lang w:val="pl-PL"/>
        </w:rPr>
      </w:pPr>
    </w:p>
    <w:p w:rsidRDefault="006D0DA3" w:rsidP="006D0DA3" w:rsidR="006D0DA3">
      <w:pPr>
        <w:rPr>
          <w:rFonts w:hAnsi="Times New Roman" w:ascii="Times New Roman"/>
          <w:sz w:val="24"/>
          <w:szCs w:val="24"/>
          <w:lang w:val="pl-PL"/>
        </w:rPr>
      </w:pPr>
    </w:p>
    <w:p w:rsidRDefault="006D0DA3" w:rsidP="006D0DA3" w:rsidR="006D0DA3">
      <w:pPr>
        <w:rPr>
          <w:rFonts w:hAnsi="Times New Roman" w:ascii="Times New Roman"/>
          <w:sz w:val="24"/>
          <w:szCs w:val="24"/>
          <w:lang w:val="pl-PL"/>
        </w:rPr>
      </w:pPr>
    </w:p>
    <w:p w:rsidRDefault="006D0DA3" w:rsidP="006D0DA3" w:rsidR="006D0DA3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I.  TIJEK STEČAJNOGA POSTUPKA U RAZDOBLJU OD </w:t>
      </w:r>
      <w:r>
        <w:rPr>
          <w:rFonts w:hAnsi="Times New Roman" w:ascii="Times New Roman"/>
          <w:b/>
          <w:sz w:val="24"/>
          <w:szCs w:val="24"/>
          <w:lang w:val="pl-PL"/>
        </w:rPr>
        <w:t xml:space="preserve">05.07.2016. </w:t>
      </w:r>
      <w:r>
        <w:rPr>
          <w:rFonts w:hAnsi="Times New Roman" w:ascii="Times New Roman"/>
          <w:sz w:val="24"/>
          <w:szCs w:val="24"/>
          <w:lang w:val="pl-PL"/>
        </w:rPr>
        <w:t xml:space="preserve">DO </w:t>
      </w:r>
      <w:r>
        <w:rPr>
          <w:rFonts w:hAnsi="Times New Roman" w:ascii="Times New Roman"/>
          <w:b/>
          <w:sz w:val="24"/>
          <w:szCs w:val="24"/>
          <w:lang w:val="pl-PL"/>
        </w:rPr>
        <w:t>31.10.2017.</w:t>
      </w:r>
    </w:p>
    <w:p w:rsidRDefault="006D0DA3" w:rsidP="006D0DA3" w:rsidR="006D0DA3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  </w:t>
      </w:r>
    </w:p>
    <w:p w:rsidRDefault="006D0DA3" w:rsidP="006D0DA3" w:rsidR="006D0DA3">
      <w:pPr>
        <w:rPr>
          <w:rFonts w:hAnsi="Times New Roman" w:ascii="Times New Roman"/>
          <w:sz w:val="24"/>
          <w:szCs w:val="24"/>
          <w:lang w:val="pl-PL"/>
        </w:rPr>
      </w:pPr>
    </w:p>
    <w:p w:rsidRDefault="006D0DA3" w:rsidP="006D0DA3" w:rsidR="006D0DA3">
      <w:pPr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1.1.  </w:t>
      </w:r>
      <w:r>
        <w:rPr>
          <w:rFonts w:hAnsi="Times New Roman" w:ascii="Times New Roman"/>
          <w:sz w:val="24"/>
          <w:szCs w:val="24"/>
          <w:u w:val="single"/>
          <w:lang w:val="pl-PL"/>
        </w:rPr>
        <w:t xml:space="preserve">Radnje stečajnog upravitelja u vođenja stečajnog postupka i na unovčenju stečajne mase </w:t>
      </w:r>
    </w:p>
    <w:p w:rsidRDefault="006D0DA3" w:rsidP="006D0DA3" w:rsidR="006D0DA3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D0DA3" w:rsidP="006D0DA3" w:rsidR="006D0DA3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D0DA3" w:rsidP="006D0DA3" w:rsidR="006D0DA3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      1.2.1. Radnje u stečajnom postupku koje su uključivale putovanje</w:t>
      </w:r>
    </w:p>
    <w:tbl>
      <w:tblPr>
        <w:tblStyle w:val="Reetkatablice"/>
        <w:tblW w:type="dxa" w:w="10031"/>
        <w:tblInd w:type="dxa" w:w="0"/>
        <w:tblLook w:val="04A0" w:noVBand="1" w:noHBand="0" w:lastColumn="0" w:firstColumn="1" w:lastRow="0" w:firstRow="1"/>
      </w:tblPr>
      <w:tblGrid>
        <w:gridCol w:w="675"/>
        <w:gridCol w:w="1418"/>
        <w:gridCol w:w="4252"/>
        <w:gridCol w:w="2268"/>
        <w:gridCol w:w="1418"/>
      </w:tblGrid>
      <w:tr w:rsidTr="006D0DA3" w:rsidR="006D0DA3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D0DA3" w:rsidR="006D0DA3">
            <w:pPr>
              <w:jc w:val="both"/>
              <w:rPr>
                <w:rFonts w:hAnsi="Times New Roman" w:ascii="Times New Roman"/>
                <w:sz w:val="24"/>
                <w:szCs w:val="24"/>
                <w:lang w:eastAsia="en-US"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r.br.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D0DA3" w:rsidR="006D0DA3">
            <w:pPr>
              <w:jc w:val="both"/>
              <w:rPr>
                <w:rFonts w:hAnsi="Times New Roman" w:ascii="Times New Roman"/>
                <w:sz w:val="24"/>
                <w:szCs w:val="24"/>
                <w:lang w:eastAsia="en-US"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datum</w:t>
            </w:r>
          </w:p>
        </w:tc>
        <w:tc>
          <w:tcPr>
            <w:tcW w:type="dxa" w:w="4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D0DA3" w:rsidR="006D0DA3">
            <w:pPr>
              <w:jc w:val="both"/>
              <w:rPr>
                <w:rFonts w:hAnsi="Times New Roman" w:ascii="Times New Roman"/>
                <w:sz w:val="24"/>
                <w:szCs w:val="24"/>
                <w:lang w:eastAsia="en-US"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Opis aktivnosti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D0DA3" w:rsidR="006D0DA3">
            <w:pPr>
              <w:jc w:val="both"/>
              <w:rPr>
                <w:rFonts w:hAnsi="Times New Roman" w:ascii="Times New Roman"/>
                <w:sz w:val="24"/>
                <w:szCs w:val="24"/>
                <w:lang w:eastAsia="en-US"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Putna relacija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D0DA3" w:rsidR="006D0DA3">
            <w:pPr>
              <w:pStyle w:val="Bezproreda"/>
              <w:rPr>
                <w:rFonts w:hAnsi="Times New Roman" w:ascii="Times New Roman"/>
                <w:sz w:val="24"/>
                <w:szCs w:val="24"/>
                <w:lang w:eastAsia="en-US"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Korišteno prijevozno sredstvo</w:t>
            </w:r>
          </w:p>
        </w:tc>
      </w:tr>
      <w:tr w:rsidTr="006D0DA3" w:rsidR="006D0DA3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D0DA3" w:rsidR="006D0DA3">
            <w:pPr>
              <w:jc w:val="right"/>
              <w:rPr>
                <w:rFonts w:hAnsi="Times New Roman" w:ascii="Times New Roman"/>
                <w:lang w:eastAsia="en-US" w:val="pl-PL"/>
              </w:rPr>
            </w:pPr>
            <w:r>
              <w:rPr>
                <w:rFonts w:hAnsi="Times New Roman" w:ascii="Times New Roman"/>
                <w:lang w:val="pl-PL"/>
              </w:rPr>
              <w:t>1.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D0DA3" w:rsidR="006D0DA3">
            <w:pPr>
              <w:jc w:val="right"/>
              <w:rPr>
                <w:rFonts w:hAnsi="Times New Roman" w:ascii="Times New Roman"/>
                <w:lang w:eastAsia="en-US" w:val="pl-PL"/>
              </w:rPr>
            </w:pPr>
            <w:r>
              <w:rPr>
                <w:rFonts w:hAnsi="Times New Roman" w:ascii="Times New Roman"/>
                <w:lang w:val="pl-PL"/>
              </w:rPr>
              <w:t>13.09.2017.</w:t>
            </w:r>
          </w:p>
        </w:tc>
        <w:tc>
          <w:tcPr>
            <w:tcW w:type="dxa" w:w="4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D0DA3" w:rsidR="006D0DA3">
            <w:pPr>
              <w:rPr>
                <w:rFonts w:hAnsi="Times New Roman" w:ascii="Times New Roman"/>
                <w:lang w:eastAsia="en-US" w:val="pl-PL"/>
              </w:rPr>
            </w:pPr>
            <w:r>
              <w:rPr>
                <w:rFonts w:hAnsi="Times New Roman" w:ascii="Times New Roman"/>
                <w:lang w:val="pl-PL"/>
              </w:rPr>
              <w:t>Odlazak u prostorije stečajnog dužnika u Čačince, Braće Radića 32,  s procjeniteljem pokretne imovine glede potrebe provedbe potrebnih radnji.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D0DA3" w:rsidR="006D0DA3">
            <w:pPr>
              <w:jc w:val="both"/>
              <w:rPr>
                <w:rFonts w:hAnsi="Times New Roman" w:ascii="Times New Roman"/>
                <w:lang w:eastAsia="en-US" w:val="pl-PL"/>
              </w:rPr>
            </w:pPr>
            <w:r>
              <w:rPr>
                <w:rFonts w:hAnsi="Times New Roman" w:ascii="Times New Roman"/>
                <w:lang w:val="pl-PL"/>
              </w:rPr>
              <w:t>Osijek-Čačinci-Osijek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D0DA3" w:rsidR="006D0DA3">
            <w:pPr>
              <w:jc w:val="right"/>
              <w:rPr>
                <w:rFonts w:hAnsi="Times New Roman" w:ascii="Times New Roman"/>
                <w:lang w:eastAsia="en-US" w:val="pl-PL"/>
              </w:rPr>
            </w:pPr>
            <w:r>
              <w:rPr>
                <w:rFonts w:hAnsi="Times New Roman" w:ascii="Times New Roman"/>
                <w:lang w:val="pl-PL"/>
              </w:rPr>
              <w:t>Vozilo procjenitelja</w:t>
            </w:r>
          </w:p>
        </w:tc>
      </w:tr>
    </w:tbl>
    <w:p w:rsidRDefault="006D0DA3" w:rsidP="006D0DA3" w:rsidR="006D0DA3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D0DA3" w:rsidP="006D0DA3" w:rsidR="006D0DA3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D0DA3" w:rsidP="006D0DA3" w:rsidR="006D0DA3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1.2.2. Radnje u stečajnom postupku u sjedištu stečajnog upravitelja</w:t>
      </w:r>
    </w:p>
    <w:tbl>
      <w:tblPr>
        <w:tblStyle w:val="Reetkatablice"/>
        <w:tblW w:type="dxa" w:w="9464"/>
        <w:tblInd w:type="dxa" w:w="0"/>
        <w:tblLook w:val="04A0" w:noVBand="1" w:noHBand="0" w:lastColumn="0" w:firstColumn="1" w:lastRow="0" w:firstRow="1"/>
      </w:tblPr>
      <w:tblGrid>
        <w:gridCol w:w="817"/>
        <w:gridCol w:w="1418"/>
        <w:gridCol w:w="7229"/>
      </w:tblGrid>
      <w:tr w:rsidTr="006D0DA3" w:rsidR="006D0DA3">
        <w:trPr>
          <w:trHeight w:val="487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D0DA3" w:rsidR="006D0DA3">
            <w:pPr>
              <w:jc w:val="both"/>
              <w:rPr>
                <w:rFonts w:hAnsi="Times New Roman" w:ascii="Times New Roman"/>
                <w:sz w:val="24"/>
                <w:szCs w:val="24"/>
                <w:lang w:eastAsia="en-US"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r.br.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D0DA3" w:rsidR="006D0DA3">
            <w:pPr>
              <w:jc w:val="both"/>
              <w:rPr>
                <w:rFonts w:hAnsi="Times New Roman" w:ascii="Times New Roman"/>
                <w:sz w:val="24"/>
                <w:szCs w:val="24"/>
                <w:lang w:eastAsia="en-US"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datum</w:t>
            </w:r>
          </w:p>
        </w:tc>
        <w:tc>
          <w:tcPr>
            <w:tcW w:type="dxa" w:w="72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D0DA3" w:rsidR="006D0DA3">
            <w:pPr>
              <w:jc w:val="both"/>
              <w:rPr>
                <w:rFonts w:hAnsi="Times New Roman" w:ascii="Times New Roman"/>
                <w:sz w:val="24"/>
                <w:szCs w:val="24"/>
                <w:lang w:eastAsia="en-US"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Opis aktivnosti</w:t>
            </w:r>
          </w:p>
        </w:tc>
      </w:tr>
      <w:tr w:rsidTr="006D0DA3" w:rsidR="006D0DA3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D0DA3" w:rsidR="006D0DA3">
            <w:pPr>
              <w:jc w:val="right"/>
              <w:rPr>
                <w:rFonts w:hAnsi="Times New Roman" w:ascii="Times New Roman"/>
                <w:sz w:val="24"/>
                <w:szCs w:val="24"/>
                <w:lang w:eastAsia="en-US"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1.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D0DA3" w:rsidR="006D0DA3">
            <w:pPr>
              <w:jc w:val="both"/>
              <w:rPr>
                <w:rFonts w:hAnsi="Times New Roman" w:ascii="Times New Roman"/>
                <w:sz w:val="24"/>
                <w:szCs w:val="24"/>
                <w:lang w:eastAsia="en-US"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08.09.2017.</w:t>
            </w:r>
          </w:p>
        </w:tc>
        <w:tc>
          <w:tcPr>
            <w:tcW w:type="dxa" w:w="72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D0DA3" w:rsidR="006D0DA3">
            <w:pPr>
              <w:jc w:val="both"/>
              <w:rPr>
                <w:rFonts w:hAnsi="Times New Roman" w:ascii="Times New Roman"/>
                <w:sz w:val="24"/>
                <w:szCs w:val="24"/>
                <w:lang w:eastAsia="en-US"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Obračun i isplata troškova stečajno upraviteljskih poslova sukladno rješenju Trgovačkog suda u Bjelovaru br.: 1 St-182/2016-35</w:t>
            </w:r>
          </w:p>
        </w:tc>
      </w:tr>
      <w:tr w:rsidTr="006D0DA3" w:rsidR="006D0DA3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D0DA3" w:rsidR="006D0DA3">
            <w:pPr>
              <w:jc w:val="right"/>
              <w:rPr>
                <w:rFonts w:hAnsi="Times New Roman" w:ascii="Times New Roman"/>
                <w:sz w:val="24"/>
                <w:szCs w:val="24"/>
                <w:lang w:eastAsia="en-US"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2.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D0DA3" w:rsidR="006D0DA3">
            <w:pPr>
              <w:jc w:val="both"/>
              <w:rPr>
                <w:rFonts w:hAnsi="Times New Roman" w:ascii="Times New Roman"/>
                <w:sz w:val="24"/>
                <w:szCs w:val="24"/>
                <w:lang w:eastAsia="en-US"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Svaki mjesec</w:t>
            </w:r>
          </w:p>
        </w:tc>
        <w:tc>
          <w:tcPr>
            <w:tcW w:type="dxa" w:w="72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D0DA3" w:rsidR="006D0DA3">
            <w:pPr>
              <w:jc w:val="both"/>
              <w:rPr>
                <w:rFonts w:hAnsi="Times New Roman" w:ascii="Times New Roman"/>
                <w:sz w:val="24"/>
                <w:szCs w:val="24"/>
                <w:lang w:eastAsia="en-US"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Ispostavljanje računa za zakupninu zakupniku Solarpit d.o.o. Pitomača i dostavljanje dokumentacije za knjiženje knjigov. servisu</w:t>
            </w:r>
          </w:p>
        </w:tc>
      </w:tr>
      <w:tr w:rsidTr="006D0DA3" w:rsidR="006D0DA3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D0DA3" w:rsidR="006D0DA3">
            <w:pPr>
              <w:jc w:val="right"/>
              <w:rPr>
                <w:rFonts w:hAnsi="Times New Roman" w:ascii="Times New Roman"/>
                <w:sz w:val="24"/>
                <w:szCs w:val="24"/>
                <w:lang w:eastAsia="en-US"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3.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D0DA3" w:rsidR="006D0DA3">
            <w:pPr>
              <w:jc w:val="both"/>
              <w:rPr>
                <w:rFonts w:hAnsi="Times New Roman" w:ascii="Times New Roman"/>
                <w:sz w:val="24"/>
                <w:szCs w:val="24"/>
                <w:lang w:eastAsia="en-US"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Svaki mjesec</w:t>
            </w:r>
          </w:p>
        </w:tc>
        <w:tc>
          <w:tcPr>
            <w:tcW w:type="dxa" w:w="72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D0DA3" w:rsidR="006D0DA3">
            <w:pPr>
              <w:jc w:val="both"/>
              <w:rPr>
                <w:rFonts w:hAnsi="Times New Roman" w:ascii="Times New Roman"/>
                <w:sz w:val="24"/>
                <w:szCs w:val="24"/>
                <w:lang w:eastAsia="en-US"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Plaćanje obveza za računovodstvene usluge i obveza za PDV prema dostavljenim PDV obrascima za prethodni mjesec putem ug. servisa</w:t>
            </w:r>
          </w:p>
        </w:tc>
      </w:tr>
    </w:tbl>
    <w:p w:rsidRDefault="006D0DA3" w:rsidP="006D0DA3" w:rsidR="006D0DA3">
      <w:pPr>
        <w:rPr>
          <w:rFonts w:hAnsi="Times New Roman" w:ascii="Times New Roman"/>
          <w:b/>
          <w:u w:val="single"/>
          <w:lang w:val="pl-PL"/>
        </w:rPr>
      </w:pPr>
    </w:p>
    <w:p w:rsidRDefault="006D0DA3" w:rsidP="006D0DA3" w:rsidR="006D0DA3">
      <w:pPr>
        <w:rPr>
          <w:rFonts w:hAnsi="Times New Roman" w:ascii="Times New Roman"/>
          <w:sz w:val="24"/>
          <w:szCs w:val="24"/>
          <w:u w:val="single"/>
          <w:lang w:val="pl-PL"/>
        </w:rPr>
      </w:pPr>
      <w:r>
        <w:rPr>
          <w:rFonts w:hAnsi="Times New Roman" w:ascii="Times New Roman"/>
          <w:sz w:val="24"/>
          <w:szCs w:val="24"/>
          <w:u w:val="single"/>
          <w:lang w:val="pl-PL"/>
        </w:rPr>
        <w:t>1.3. Postupci pred sudovima i drugim javnim tijelima s pregledom dokumentacije</w:t>
      </w:r>
    </w:p>
    <w:p w:rsidRDefault="006D0DA3" w:rsidP="006D0DA3" w:rsidR="006D0DA3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Nema sporova.</w:t>
      </w:r>
    </w:p>
    <w:p w:rsidRDefault="006D0DA3" w:rsidP="006D0DA3" w:rsidR="006D0DA3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D0DA3" w:rsidP="006D0DA3" w:rsidR="006D0DA3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D0DA3" w:rsidP="006D0DA3" w:rsidR="006D0DA3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D0DA3" w:rsidP="006D0DA3" w:rsidR="006D0DA3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D0DA3" w:rsidP="006D0DA3" w:rsidR="006D0DA3">
      <w:pPr>
        <w:rPr>
          <w:rFonts w:hAnsi="Times New Roman" w:ascii="Times New Roman"/>
          <w:b/>
          <w:sz w:val="24"/>
          <w:szCs w:val="24"/>
          <w:u w:val="single"/>
          <w:lang w:val="pl-PL"/>
        </w:rPr>
      </w:pPr>
      <w:r>
        <w:rPr>
          <w:rFonts w:hAnsi="Times New Roman" w:ascii="Times New Roman"/>
          <w:b/>
          <w:sz w:val="24"/>
          <w:szCs w:val="24"/>
          <w:u w:val="single"/>
          <w:lang w:val="pl-PL"/>
        </w:rPr>
        <w:t>1.4. Općenito mišljenje o stanju stečajnog postupka</w:t>
      </w:r>
    </w:p>
    <w:p w:rsidRDefault="006D0DA3" w:rsidP="006D0DA3" w:rsidR="006D0DA3">
      <w:pPr>
        <w:rPr>
          <w:rFonts w:hAnsi="Times New Roman" w:ascii="Times New Roman"/>
          <w:sz w:val="24"/>
          <w:szCs w:val="24"/>
          <w:lang w:val="pl-PL"/>
        </w:rPr>
      </w:pPr>
    </w:p>
    <w:p w:rsidRDefault="006D0DA3" w:rsidP="006D0DA3" w:rsidR="006D0DA3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Nekretnina stečajnog dužnika, koja je u zakupu, je u funkciji i tako se čuva, a istovremeno kroz zakupninu donosi prihod stečajnoj masi. Izvršena je procjena i pokretne imovine, te će se uskoro, zbog izmijenjenih okolonosti glede kojih se do sada čekalo, započeti prodaja nekretnine i pokretne imovine.</w:t>
      </w:r>
    </w:p>
    <w:p w:rsidRDefault="006D0DA3" w:rsidP="006D0DA3" w:rsidR="006D0DA3">
      <w:pPr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6D0DA3" w:rsidP="006D0DA3" w:rsidR="006D0DA3">
      <w:pPr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6D0DA3" w:rsidP="006D0DA3" w:rsidR="006D0DA3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II. STANJE STEČAJNE MASE</w:t>
      </w:r>
    </w:p>
    <w:p w:rsidRDefault="006D0DA3" w:rsidP="006D0DA3" w:rsidR="006D0DA3">
      <w:pPr>
        <w:rPr>
          <w:rFonts w:hAnsi="Times New Roman" w:ascii="Times New Roman"/>
          <w:sz w:val="24"/>
          <w:szCs w:val="24"/>
          <w:lang w:val="pl-PL"/>
        </w:rPr>
      </w:pPr>
    </w:p>
    <w:p w:rsidRDefault="006D0DA3" w:rsidP="006D0DA3" w:rsidR="006D0DA3">
      <w:pPr>
        <w:rPr>
          <w:rFonts w:hAnsi="Times New Roman" w:ascii="Times New Roman"/>
          <w:sz w:val="24"/>
          <w:szCs w:val="24"/>
          <w:u w:val="single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2.1. </w:t>
      </w:r>
      <w:r>
        <w:rPr>
          <w:rFonts w:hAnsi="Times New Roman" w:ascii="Times New Roman"/>
          <w:sz w:val="24"/>
          <w:szCs w:val="24"/>
          <w:u w:val="single"/>
          <w:lang w:val="pl-PL"/>
        </w:rPr>
        <w:t>Sustavan pregled predmeta stečajne mase s početka razdoblja ovog izvješća prema članku</w:t>
      </w:r>
    </w:p>
    <w:p w:rsidRDefault="006D0DA3" w:rsidP="006D0DA3" w:rsidR="006D0DA3">
      <w:pPr>
        <w:rPr>
          <w:rFonts w:hAnsi="Times New Roman" w:ascii="Times New Roman"/>
          <w:sz w:val="24"/>
          <w:szCs w:val="24"/>
          <w:u w:val="single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 xml:space="preserve">       </w:t>
      </w:r>
      <w:r>
        <w:rPr>
          <w:rFonts w:hAnsi="Times New Roman" w:ascii="Times New Roman"/>
          <w:sz w:val="24"/>
          <w:szCs w:val="24"/>
          <w:u w:val="single"/>
          <w:lang w:val="pl-PL"/>
        </w:rPr>
        <w:t>223. Stečajnog zakona</w:t>
      </w:r>
    </w:p>
    <w:p w:rsidRDefault="006D0DA3" w:rsidP="006D0DA3" w:rsidR="006D0DA3">
      <w:pPr>
        <w:rPr>
          <w:rFonts w:hAnsi="Times New Roman" w:ascii="Times New Roman"/>
          <w:sz w:val="24"/>
          <w:szCs w:val="24"/>
          <w:u w:val="single"/>
          <w:lang w:val="pl-PL"/>
        </w:rPr>
      </w:pPr>
    </w:p>
    <w:p w:rsidRDefault="006D0DA3" w:rsidP="006D0DA3" w:rsidR="006D0DA3">
      <w:pPr>
        <w:rPr>
          <w:rFonts w:hAnsi="Times New Roman" w:ascii="Times New Roman"/>
          <w:b/>
          <w:sz w:val="24"/>
          <w:szCs w:val="24"/>
          <w:u w:val="single"/>
          <w:lang w:val="pl-PL"/>
        </w:rPr>
      </w:pPr>
      <w:r>
        <w:rPr>
          <w:rFonts w:hAnsi="Times New Roman" w:ascii="Times New Roman"/>
          <w:sz w:val="24"/>
          <w:szCs w:val="24"/>
          <w:u w:val="single"/>
          <w:lang w:val="pl-PL"/>
        </w:rPr>
        <w:t xml:space="preserve"> Stečajnu masu iz ovog predmeta je </w:t>
      </w:r>
      <w:r>
        <w:rPr>
          <w:rFonts w:hAnsi="Times New Roman" w:ascii="Times New Roman"/>
          <w:b/>
          <w:sz w:val="24"/>
          <w:szCs w:val="24"/>
          <w:u w:val="single"/>
          <w:lang w:val="pl-PL"/>
        </w:rPr>
        <w:t>nekretnina</w:t>
      </w:r>
      <w:r>
        <w:rPr>
          <w:rFonts w:hAnsi="Times New Roman" w:ascii="Times New Roman"/>
          <w:sz w:val="24"/>
          <w:szCs w:val="24"/>
          <w:u w:val="single"/>
          <w:lang w:val="pl-PL"/>
        </w:rPr>
        <w:t xml:space="preserve"> koju u naravi čine  dvije zgrade, ekonomsko dvorište i oranica u Čačincima, Braće Radića 2, upisana u zk.ul. br. 2439 k.o. Čačinci, kčbr. 518 </w:t>
      </w:r>
      <w:r>
        <w:rPr>
          <w:rFonts w:hAnsi="Times New Roman" w:ascii="Times New Roman"/>
          <w:b/>
          <w:sz w:val="24"/>
          <w:szCs w:val="24"/>
          <w:u w:val="single"/>
          <w:lang w:val="pl-PL"/>
        </w:rPr>
        <w:t>procijenjene vrijednosti 1.231.200,00 kn</w:t>
      </w:r>
    </w:p>
    <w:p w:rsidRDefault="006D0DA3" w:rsidP="006D0DA3" w:rsidR="006D0DA3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u w:val="single"/>
          <w:lang w:val="pl-PL"/>
        </w:rPr>
        <w:t xml:space="preserve"> </w:t>
      </w:r>
      <w:r>
        <w:rPr>
          <w:rFonts w:hAnsi="Times New Roman" w:ascii="Times New Roman"/>
          <w:b/>
          <w:sz w:val="24"/>
          <w:szCs w:val="24"/>
          <w:u w:val="single"/>
          <w:lang w:val="pl-PL"/>
        </w:rPr>
        <w:t>i pokretna imovina</w:t>
      </w:r>
      <w:r>
        <w:rPr>
          <w:rFonts w:hAnsi="Times New Roman" w:ascii="Times New Roman"/>
          <w:sz w:val="24"/>
          <w:szCs w:val="24"/>
          <w:u w:val="single"/>
          <w:lang w:val="pl-PL"/>
        </w:rPr>
        <w:t xml:space="preserve">, koju čine:1) uredsk inamještaj i oprema procijenjene vrijednosti uključivo s PDV (PRV uklj.PDV):   4.700,00 kn, 2) proizvodna oprema i inventar PRV uklj. PDV:  49.405,00 kn, 3) montažni objekti u ekonomskom dvorištu PRV uklj. PDV: 3.500,00 kn , te sirovine i materijal PRV uklj. PDV: 31.023,00 kn </w:t>
      </w:r>
      <w:r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odnosno sveukupno pokretna imovina po procijenjenoj vrijednosti s uključenim PDV-om  88.628,00 kn. </w:t>
      </w:r>
      <w:r>
        <w:rPr>
          <w:rFonts w:hAnsi="Times New Roman" w:ascii="Times New Roman"/>
          <w:b/>
          <w:sz w:val="24"/>
          <w:szCs w:val="24"/>
          <w:lang w:val="pl-PL"/>
        </w:rPr>
        <w:t xml:space="preserve"> </w:t>
      </w:r>
    </w:p>
    <w:p w:rsidRDefault="006D0DA3" w:rsidP="006D0DA3" w:rsidR="006D0DA3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(procjena u privitku)</w:t>
      </w:r>
    </w:p>
    <w:p w:rsidRDefault="006D0DA3" w:rsidP="006D0DA3" w:rsidR="006D0DA3">
      <w:pPr>
        <w:rPr>
          <w:rFonts w:hAnsi="Times New Roman" w:ascii="Times New Roman"/>
          <w:sz w:val="24"/>
          <w:szCs w:val="24"/>
          <w:lang w:val="pl-PL"/>
        </w:rPr>
      </w:pPr>
    </w:p>
    <w:p w:rsidRDefault="006D0DA3" w:rsidP="006D0DA3" w:rsidR="006D0DA3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2.1.1. Unovčenje nekretnina </w:t>
      </w:r>
    </w:p>
    <w:p w:rsidRDefault="006D0DA3" w:rsidP="006D0DA3" w:rsidR="006D0DA3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Temeljem prethodnog izvješća i prijedloga odluke stečajnog upravitelja Trgovački sud u Bjelovaru donio je dana 18. listopada 2017. godine, pod poslovnom brojem: 1 St-182/2016-39,  rješenje o prodaji nekretnine iz ovog izvješća u stečajnom postupku. </w:t>
      </w:r>
    </w:p>
    <w:p w:rsidRDefault="006D0DA3" w:rsidP="006D0DA3" w:rsidR="006D0DA3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Prijedlog stečajnog upravitelja o načinu prodaj iznosi se u točki 3.1. ovog izvješća.</w:t>
      </w:r>
    </w:p>
    <w:p w:rsidRDefault="006D0DA3" w:rsidP="006D0DA3" w:rsidR="006D0DA3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D0DA3" w:rsidP="006D0DA3" w:rsidR="006D0DA3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D0DA3" w:rsidP="006D0DA3" w:rsidR="006D0DA3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2.1.2. Unovčenje pokretne imovine</w:t>
      </w:r>
    </w:p>
    <w:p w:rsidRDefault="006D0DA3" w:rsidP="006D0DA3" w:rsidR="006D0DA3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 odabranom sudskom vještaku izrađena je procjena vrijednosti pokretne imovine, te će se s prodajom iste krenuti odmah po usaglašavanju načina prodaje sa razlučnim vjerovnicima, a prijedlog stečajnog upravitelja iznosi se u točki 3.2.  ovog izvješća.</w:t>
      </w:r>
    </w:p>
    <w:p w:rsidRDefault="006D0DA3" w:rsidP="006D0DA3" w:rsidR="006D0DA3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D0DA3" w:rsidP="006D0DA3" w:rsidR="006D0DA3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D0DA3" w:rsidP="006D0DA3" w:rsidR="006D0DA3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2.1.3. Prihodi stečajne mase od zakupa nekretnina </w:t>
      </w:r>
    </w:p>
    <w:p w:rsidRDefault="006D0DA3" w:rsidP="006D0DA3" w:rsidR="006D0DA3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Stečajni dužnik odnosno stečajna masa ostvarila je prihode od zakupa nekretnine u ovom izvještajnom periodu od 14.000,00 kn (sveukupno od početka zakupa: 40.250,00 kn), a iz kojih sredstava za sada uspješno servisira svoje tekuće obveze. Stanje sredstava na žiro-</w:t>
      </w:r>
      <w:r>
        <w:rPr>
          <w:rFonts w:hAnsi="Times New Roman" w:ascii="Times New Roman"/>
          <w:sz w:val="24"/>
          <w:szCs w:val="24"/>
          <w:lang w:val="pl-PL"/>
        </w:rPr>
        <w:lastRenderedPageBreak/>
        <w:t xml:space="preserve">računu stečajno dužnika po zadnjem izvatku iz listopada mjeseca br. 34.  od  17.10.2017. godine je 28.337,79 kn. </w:t>
      </w:r>
    </w:p>
    <w:p w:rsidRDefault="006D0DA3" w:rsidP="006D0DA3" w:rsidR="006D0DA3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D0DA3" w:rsidP="006D0DA3" w:rsidR="006D0DA3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D0DA3" w:rsidP="006D0DA3" w:rsidR="006D0DA3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D0DA3" w:rsidP="006D0DA3" w:rsidR="006D0DA3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2.3. Promet žiro-računa od 04.07.2017. do 30.10.2017. godine – prikaz po principu blagajne</w:t>
      </w:r>
    </w:p>
    <w:p w:rsidRDefault="006D0DA3" w:rsidP="006D0DA3" w:rsidR="006D0DA3">
      <w:pPr>
        <w:jc w:val="right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kunama</w:t>
      </w:r>
    </w:p>
    <w:tbl>
      <w:tblPr>
        <w:tblStyle w:val="Reetkatablice"/>
        <w:tblW w:type="pct" w:w="5000"/>
        <w:tblInd w:type="dxa" w:w="0"/>
        <w:tblLook w:val="04A0" w:noVBand="1" w:noHBand="0" w:lastColumn="0" w:firstColumn="1" w:lastRow="0" w:firstRow="1"/>
      </w:tblPr>
      <w:tblGrid>
        <w:gridCol w:w="673"/>
        <w:gridCol w:w="3041"/>
        <w:gridCol w:w="1858"/>
        <w:gridCol w:w="1858"/>
        <w:gridCol w:w="1858"/>
      </w:tblGrid>
      <w:tr w:rsidTr="006D0DA3" w:rsidR="006D0DA3">
        <w:tc>
          <w:tcPr>
            <w:tcW w:type="pct" w:w="3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D0DA3" w:rsidR="006D0DA3">
            <w:pPr>
              <w:jc w:val="both"/>
              <w:rPr>
                <w:rFonts w:hAnsi="Times New Roman" w:ascii="Times New Roman"/>
                <w:sz w:val="20"/>
                <w:szCs w:val="20"/>
                <w:lang w:eastAsia="en-US"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r.br.</w:t>
            </w:r>
          </w:p>
        </w:tc>
        <w:tc>
          <w:tcPr>
            <w:tcW w:type="pct" w:w="16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D0DA3" w:rsidR="006D0DA3">
            <w:pPr>
              <w:jc w:val="both"/>
              <w:rPr>
                <w:rFonts w:hAnsi="Times New Roman" w:ascii="Times New Roman"/>
                <w:sz w:val="20"/>
                <w:szCs w:val="20"/>
                <w:lang w:eastAsia="en-US"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O P I S</w:t>
            </w:r>
          </w:p>
        </w:tc>
        <w:tc>
          <w:tcPr>
            <w:tcW w:type="pct" w:w="10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D0DA3" w:rsidR="006D0DA3">
            <w:pPr>
              <w:jc w:val="both"/>
              <w:rPr>
                <w:rFonts w:hAnsi="Times New Roman" w:ascii="Times New Roman"/>
                <w:sz w:val="20"/>
                <w:szCs w:val="20"/>
                <w:lang w:eastAsia="en-US"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PRIMICI</w:t>
            </w:r>
          </w:p>
        </w:tc>
        <w:tc>
          <w:tcPr>
            <w:tcW w:type="pct" w:w="10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D0DA3" w:rsidR="006D0DA3">
            <w:pPr>
              <w:jc w:val="both"/>
              <w:rPr>
                <w:rFonts w:hAnsi="Times New Roman" w:ascii="Times New Roman"/>
                <w:sz w:val="20"/>
                <w:szCs w:val="20"/>
                <w:lang w:eastAsia="en-US"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IZDACI</w:t>
            </w:r>
          </w:p>
        </w:tc>
        <w:tc>
          <w:tcPr>
            <w:tcW w:type="pct" w:w="10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D0DA3" w:rsidR="006D0DA3">
            <w:pPr>
              <w:jc w:val="both"/>
              <w:rPr>
                <w:rFonts w:hAnsi="Times New Roman" w:ascii="Times New Roman"/>
                <w:sz w:val="20"/>
                <w:szCs w:val="20"/>
                <w:lang w:eastAsia="en-US"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SALDO</w:t>
            </w:r>
          </w:p>
        </w:tc>
      </w:tr>
      <w:tr w:rsidTr="006D0DA3" w:rsidR="006D0DA3">
        <w:tc>
          <w:tcPr>
            <w:tcW w:type="pct" w:w="3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D0DA3" w:rsidR="006D0DA3">
            <w:pPr>
              <w:jc w:val="both"/>
              <w:rPr>
                <w:rFonts w:hAnsi="Times New Roman" w:ascii="Times New Roman"/>
                <w:sz w:val="20"/>
                <w:szCs w:val="20"/>
                <w:lang w:eastAsia="en-US" w:val="pl-PL"/>
              </w:rPr>
            </w:pPr>
          </w:p>
        </w:tc>
        <w:tc>
          <w:tcPr>
            <w:tcW w:type="pct" w:w="16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D0DA3" w:rsidR="006D0DA3">
            <w:pPr>
              <w:jc w:val="both"/>
              <w:rPr>
                <w:rFonts w:hAnsi="Times New Roman" w:ascii="Times New Roman"/>
                <w:b/>
                <w:sz w:val="20"/>
                <w:szCs w:val="20"/>
                <w:lang w:eastAsia="en-US" w:val="pl-PL"/>
              </w:rPr>
            </w:pPr>
            <w:r>
              <w:rPr>
                <w:rFonts w:hAnsi="Times New Roman" w:ascii="Times New Roman"/>
                <w:b/>
                <w:sz w:val="20"/>
                <w:szCs w:val="20"/>
                <w:lang w:val="pl-PL"/>
              </w:rPr>
              <w:t>1. PRIMICI</w:t>
            </w:r>
          </w:p>
        </w:tc>
        <w:tc>
          <w:tcPr>
            <w:tcW w:type="pct" w:w="10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D0DA3" w:rsidR="006D0DA3">
            <w:pPr>
              <w:jc w:val="right"/>
              <w:rPr>
                <w:rFonts w:hAnsi="Times New Roman" w:ascii="Times New Roman"/>
                <w:b/>
                <w:sz w:val="20"/>
                <w:szCs w:val="20"/>
                <w:lang w:eastAsia="en-US" w:val="pl-PL"/>
              </w:rPr>
            </w:pPr>
            <w:r>
              <w:rPr>
                <w:rFonts w:hAnsi="Times New Roman" w:ascii="Times New Roman"/>
                <w:b/>
                <w:sz w:val="20"/>
                <w:szCs w:val="20"/>
                <w:lang w:val="pl-PL"/>
              </w:rPr>
              <w:t>35.194,58</w:t>
            </w:r>
          </w:p>
        </w:tc>
        <w:tc>
          <w:tcPr>
            <w:tcW w:type="pct" w:w="10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D0DA3" w:rsidR="006D0DA3">
            <w:pPr>
              <w:jc w:val="right"/>
              <w:rPr>
                <w:rFonts w:hAnsi="Times New Roman" w:ascii="Times New Roman"/>
                <w:b/>
                <w:sz w:val="20"/>
                <w:szCs w:val="20"/>
                <w:lang w:eastAsia="en-US" w:val="pl-PL"/>
              </w:rPr>
            </w:pPr>
          </w:p>
        </w:tc>
        <w:tc>
          <w:tcPr>
            <w:tcW w:type="pct" w:w="10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D0DA3" w:rsidR="006D0DA3">
            <w:pPr>
              <w:jc w:val="both"/>
              <w:rPr>
                <w:rFonts w:hAnsi="Times New Roman" w:ascii="Times New Roman"/>
                <w:sz w:val="20"/>
                <w:szCs w:val="20"/>
                <w:lang w:eastAsia="en-US" w:val="pl-PL"/>
              </w:rPr>
            </w:pPr>
          </w:p>
        </w:tc>
      </w:tr>
      <w:tr w:rsidTr="006D0DA3" w:rsidR="006D0DA3">
        <w:tc>
          <w:tcPr>
            <w:tcW w:type="pct" w:w="3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D0DA3" w:rsidR="006D0DA3">
            <w:pPr>
              <w:jc w:val="right"/>
              <w:rPr>
                <w:rFonts w:hAnsi="Times New Roman" w:ascii="Times New Roman"/>
                <w:sz w:val="20"/>
                <w:szCs w:val="20"/>
                <w:lang w:eastAsia="en-US"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1.1.</w:t>
            </w:r>
          </w:p>
        </w:tc>
        <w:tc>
          <w:tcPr>
            <w:tcW w:type="pct" w:w="16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D0DA3" w:rsidR="006D0DA3">
            <w:pPr>
              <w:rPr>
                <w:rFonts w:hAnsi="Times New Roman" w:ascii="Times New Roman"/>
                <w:sz w:val="20"/>
                <w:szCs w:val="20"/>
                <w:lang w:eastAsia="en-US"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 xml:space="preserve">Početno stanje </w:t>
            </w:r>
          </w:p>
        </w:tc>
        <w:tc>
          <w:tcPr>
            <w:tcW w:type="pct" w:w="10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D0DA3" w:rsidR="006D0DA3">
            <w:pPr>
              <w:jc w:val="right"/>
              <w:rPr>
                <w:rFonts w:hAnsi="Times New Roman" w:ascii="Times New Roman"/>
                <w:sz w:val="20"/>
                <w:szCs w:val="20"/>
                <w:lang w:eastAsia="en-US"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21.192,71</w:t>
            </w:r>
          </w:p>
        </w:tc>
        <w:tc>
          <w:tcPr>
            <w:tcW w:type="pct" w:w="10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D0DA3" w:rsidR="006D0DA3">
            <w:pPr>
              <w:jc w:val="both"/>
              <w:rPr>
                <w:rFonts w:hAnsi="Times New Roman" w:ascii="Times New Roman"/>
                <w:sz w:val="20"/>
                <w:szCs w:val="20"/>
                <w:lang w:eastAsia="en-US" w:val="pl-PL"/>
              </w:rPr>
            </w:pPr>
          </w:p>
        </w:tc>
        <w:tc>
          <w:tcPr>
            <w:tcW w:type="pct" w:w="10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D0DA3" w:rsidR="006D0DA3">
            <w:pPr>
              <w:jc w:val="both"/>
              <w:rPr>
                <w:rFonts w:hAnsi="Times New Roman" w:ascii="Times New Roman"/>
                <w:sz w:val="20"/>
                <w:szCs w:val="20"/>
                <w:lang w:eastAsia="en-US" w:val="pl-PL"/>
              </w:rPr>
            </w:pPr>
          </w:p>
        </w:tc>
      </w:tr>
      <w:tr w:rsidTr="006D0DA3" w:rsidR="006D0DA3">
        <w:tc>
          <w:tcPr>
            <w:tcW w:type="pct" w:w="3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D0DA3" w:rsidR="006D0DA3">
            <w:pPr>
              <w:jc w:val="right"/>
              <w:rPr>
                <w:rFonts w:hAnsi="Times New Roman" w:ascii="Times New Roman"/>
                <w:sz w:val="20"/>
                <w:szCs w:val="20"/>
                <w:lang w:eastAsia="en-US"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1.2.</w:t>
            </w:r>
          </w:p>
        </w:tc>
        <w:tc>
          <w:tcPr>
            <w:tcW w:type="pct" w:w="16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D0DA3" w:rsidR="006D0DA3">
            <w:pPr>
              <w:rPr>
                <w:rFonts w:hAnsi="Times New Roman" w:ascii="Times New Roman"/>
                <w:sz w:val="20"/>
                <w:szCs w:val="20"/>
                <w:lang w:eastAsia="en-US"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Prihodi od zakupnine</w:t>
            </w:r>
          </w:p>
        </w:tc>
        <w:tc>
          <w:tcPr>
            <w:tcW w:type="pct" w:w="10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D0DA3" w:rsidR="006D0DA3">
            <w:pPr>
              <w:jc w:val="right"/>
              <w:rPr>
                <w:rFonts w:hAnsi="Times New Roman" w:ascii="Times New Roman"/>
                <w:sz w:val="20"/>
                <w:szCs w:val="20"/>
                <w:lang w:eastAsia="en-US"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14.000,00</w:t>
            </w:r>
          </w:p>
        </w:tc>
        <w:tc>
          <w:tcPr>
            <w:tcW w:type="pct" w:w="10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D0DA3" w:rsidR="006D0DA3">
            <w:pPr>
              <w:jc w:val="both"/>
              <w:rPr>
                <w:rFonts w:hAnsi="Times New Roman" w:ascii="Times New Roman"/>
                <w:sz w:val="20"/>
                <w:szCs w:val="20"/>
                <w:lang w:eastAsia="en-US" w:val="pl-PL"/>
              </w:rPr>
            </w:pPr>
          </w:p>
        </w:tc>
        <w:tc>
          <w:tcPr>
            <w:tcW w:type="pct" w:w="10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D0DA3" w:rsidR="006D0DA3">
            <w:pPr>
              <w:jc w:val="both"/>
              <w:rPr>
                <w:rFonts w:hAnsi="Times New Roman" w:ascii="Times New Roman"/>
                <w:sz w:val="20"/>
                <w:szCs w:val="20"/>
                <w:lang w:eastAsia="en-US" w:val="pl-PL"/>
              </w:rPr>
            </w:pPr>
          </w:p>
        </w:tc>
      </w:tr>
      <w:tr w:rsidTr="006D0DA3" w:rsidR="006D0DA3">
        <w:tc>
          <w:tcPr>
            <w:tcW w:type="pct" w:w="3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D0DA3" w:rsidR="006D0DA3">
            <w:pPr>
              <w:jc w:val="right"/>
              <w:rPr>
                <w:rFonts w:hAnsi="Times New Roman" w:ascii="Times New Roman"/>
                <w:sz w:val="20"/>
                <w:szCs w:val="20"/>
                <w:lang w:eastAsia="en-US"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1.3.</w:t>
            </w:r>
          </w:p>
        </w:tc>
        <w:tc>
          <w:tcPr>
            <w:tcW w:type="pct" w:w="16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D0DA3" w:rsidR="006D0DA3">
            <w:pPr>
              <w:rPr>
                <w:rFonts w:hAnsi="Times New Roman" w:ascii="Times New Roman"/>
                <w:sz w:val="20"/>
                <w:szCs w:val="20"/>
                <w:lang w:eastAsia="en-US"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Pasivna kamata</w:t>
            </w:r>
          </w:p>
        </w:tc>
        <w:tc>
          <w:tcPr>
            <w:tcW w:type="pct" w:w="10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D0DA3" w:rsidR="006D0DA3">
            <w:pPr>
              <w:jc w:val="right"/>
              <w:rPr>
                <w:rFonts w:hAnsi="Times New Roman" w:ascii="Times New Roman"/>
                <w:sz w:val="20"/>
                <w:szCs w:val="20"/>
                <w:lang w:eastAsia="en-US"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1,87</w:t>
            </w:r>
          </w:p>
        </w:tc>
        <w:tc>
          <w:tcPr>
            <w:tcW w:type="pct" w:w="10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D0DA3" w:rsidR="006D0DA3">
            <w:pPr>
              <w:jc w:val="both"/>
              <w:rPr>
                <w:rFonts w:hAnsi="Times New Roman" w:ascii="Times New Roman"/>
                <w:sz w:val="20"/>
                <w:szCs w:val="20"/>
                <w:lang w:eastAsia="en-US" w:val="pl-PL"/>
              </w:rPr>
            </w:pPr>
          </w:p>
        </w:tc>
        <w:tc>
          <w:tcPr>
            <w:tcW w:type="pct" w:w="10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D0DA3" w:rsidR="006D0DA3">
            <w:pPr>
              <w:jc w:val="both"/>
              <w:rPr>
                <w:rFonts w:hAnsi="Times New Roman" w:ascii="Times New Roman"/>
                <w:sz w:val="20"/>
                <w:szCs w:val="20"/>
                <w:lang w:eastAsia="en-US" w:val="pl-PL"/>
              </w:rPr>
            </w:pPr>
          </w:p>
        </w:tc>
      </w:tr>
      <w:tr w:rsidTr="006D0DA3" w:rsidR="006D0DA3">
        <w:tc>
          <w:tcPr>
            <w:tcW w:type="pct" w:w="3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D0DA3" w:rsidR="006D0DA3">
            <w:pPr>
              <w:jc w:val="right"/>
              <w:rPr>
                <w:rFonts w:hAnsi="Times New Roman" w:ascii="Times New Roman"/>
                <w:sz w:val="20"/>
                <w:szCs w:val="20"/>
                <w:lang w:eastAsia="en-US" w:val="pl-PL"/>
              </w:rPr>
            </w:pPr>
          </w:p>
        </w:tc>
        <w:tc>
          <w:tcPr>
            <w:tcW w:type="pct" w:w="16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D0DA3" w:rsidR="006D0DA3">
            <w:pPr>
              <w:rPr>
                <w:rFonts w:hAnsi="Times New Roman" w:ascii="Times New Roman"/>
                <w:b/>
                <w:sz w:val="20"/>
                <w:szCs w:val="20"/>
                <w:lang w:eastAsia="en-US" w:val="pl-PL"/>
              </w:rPr>
            </w:pPr>
            <w:r>
              <w:rPr>
                <w:rFonts w:hAnsi="Times New Roman" w:ascii="Times New Roman"/>
                <w:b/>
                <w:sz w:val="20"/>
                <w:szCs w:val="20"/>
                <w:lang w:val="pl-PL"/>
              </w:rPr>
              <w:t>2. IZDACI</w:t>
            </w:r>
          </w:p>
        </w:tc>
        <w:tc>
          <w:tcPr>
            <w:tcW w:type="pct" w:w="10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D0DA3" w:rsidR="006D0DA3">
            <w:pPr>
              <w:jc w:val="both"/>
              <w:rPr>
                <w:rFonts w:hAnsi="Times New Roman" w:ascii="Times New Roman"/>
                <w:sz w:val="20"/>
                <w:szCs w:val="20"/>
                <w:lang w:eastAsia="en-US" w:val="pl-PL"/>
              </w:rPr>
            </w:pPr>
          </w:p>
        </w:tc>
        <w:tc>
          <w:tcPr>
            <w:tcW w:type="pct" w:w="10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D0DA3" w:rsidR="006D0DA3">
            <w:pPr>
              <w:jc w:val="right"/>
              <w:rPr>
                <w:rFonts w:hAnsi="Times New Roman" w:ascii="Times New Roman"/>
                <w:b/>
                <w:sz w:val="20"/>
                <w:szCs w:val="20"/>
                <w:lang w:eastAsia="en-US" w:val="pl-PL"/>
              </w:rPr>
            </w:pPr>
            <w:r>
              <w:rPr>
                <w:rFonts w:hAnsi="Times New Roman" w:ascii="Times New Roman"/>
                <w:b/>
                <w:sz w:val="20"/>
                <w:szCs w:val="20"/>
                <w:lang w:val="pl-PL"/>
              </w:rPr>
              <w:t>6.856,79</w:t>
            </w:r>
          </w:p>
        </w:tc>
        <w:tc>
          <w:tcPr>
            <w:tcW w:type="pct" w:w="10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D0DA3" w:rsidR="006D0DA3">
            <w:pPr>
              <w:jc w:val="both"/>
              <w:rPr>
                <w:rFonts w:hAnsi="Times New Roman" w:ascii="Times New Roman"/>
                <w:sz w:val="20"/>
                <w:szCs w:val="20"/>
                <w:lang w:eastAsia="en-US" w:val="pl-PL"/>
              </w:rPr>
            </w:pPr>
          </w:p>
        </w:tc>
      </w:tr>
      <w:tr w:rsidTr="006D0DA3" w:rsidR="006D0DA3">
        <w:tc>
          <w:tcPr>
            <w:tcW w:type="pct" w:w="3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D0DA3" w:rsidR="006D0DA3">
            <w:pPr>
              <w:jc w:val="right"/>
              <w:rPr>
                <w:rFonts w:hAnsi="Times New Roman" w:ascii="Times New Roman"/>
                <w:sz w:val="20"/>
                <w:szCs w:val="20"/>
                <w:lang w:eastAsia="en-US"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2.1.</w:t>
            </w:r>
          </w:p>
        </w:tc>
        <w:tc>
          <w:tcPr>
            <w:tcW w:type="pct" w:w="16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D0DA3" w:rsidR="006D0DA3">
            <w:pPr>
              <w:rPr>
                <w:rFonts w:hAnsi="Times New Roman" w:ascii="Times New Roman"/>
                <w:sz w:val="20"/>
                <w:szCs w:val="20"/>
                <w:lang w:eastAsia="en-US"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Naknada troškova steč. uprav. po rješenju suda</w:t>
            </w:r>
          </w:p>
        </w:tc>
        <w:tc>
          <w:tcPr>
            <w:tcW w:type="pct" w:w="10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D0DA3" w:rsidR="006D0DA3">
            <w:pPr>
              <w:jc w:val="both"/>
              <w:rPr>
                <w:rFonts w:hAnsi="Times New Roman" w:ascii="Times New Roman"/>
                <w:sz w:val="20"/>
                <w:szCs w:val="20"/>
                <w:lang w:eastAsia="en-US" w:val="pl-PL"/>
              </w:rPr>
            </w:pPr>
          </w:p>
        </w:tc>
        <w:tc>
          <w:tcPr>
            <w:tcW w:type="pct" w:w="10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D0DA3" w:rsidR="006D0DA3">
            <w:pPr>
              <w:jc w:val="right"/>
              <w:rPr>
                <w:rFonts w:hAnsi="Times New Roman" w:ascii="Times New Roman"/>
                <w:sz w:val="20"/>
                <w:szCs w:val="20"/>
                <w:lang w:eastAsia="en-US"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2.348,05</w:t>
            </w:r>
          </w:p>
        </w:tc>
        <w:tc>
          <w:tcPr>
            <w:tcW w:type="pct" w:w="10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D0DA3" w:rsidR="006D0DA3">
            <w:pPr>
              <w:jc w:val="both"/>
              <w:rPr>
                <w:rFonts w:hAnsi="Times New Roman" w:ascii="Times New Roman"/>
                <w:sz w:val="20"/>
                <w:szCs w:val="20"/>
                <w:lang w:eastAsia="en-US" w:val="pl-PL"/>
              </w:rPr>
            </w:pPr>
          </w:p>
        </w:tc>
      </w:tr>
      <w:tr w:rsidTr="006D0DA3" w:rsidR="006D0DA3">
        <w:tc>
          <w:tcPr>
            <w:tcW w:type="pct" w:w="3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D0DA3" w:rsidR="006D0DA3">
            <w:pPr>
              <w:jc w:val="right"/>
              <w:rPr>
                <w:rFonts w:hAnsi="Times New Roman" w:ascii="Times New Roman"/>
                <w:sz w:val="20"/>
                <w:szCs w:val="20"/>
                <w:lang w:eastAsia="en-US"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2.2.</w:t>
            </w:r>
          </w:p>
        </w:tc>
        <w:tc>
          <w:tcPr>
            <w:tcW w:type="pct" w:w="16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D0DA3" w:rsidR="006D0DA3">
            <w:pPr>
              <w:rPr>
                <w:rFonts w:hAnsi="Times New Roman" w:ascii="Times New Roman"/>
                <w:sz w:val="20"/>
                <w:szCs w:val="20"/>
                <w:lang w:eastAsia="en-US"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Doprinosi i porezi za 2.1.</w:t>
            </w:r>
          </w:p>
        </w:tc>
        <w:tc>
          <w:tcPr>
            <w:tcW w:type="pct" w:w="10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D0DA3" w:rsidR="006D0DA3">
            <w:pPr>
              <w:jc w:val="both"/>
              <w:rPr>
                <w:rFonts w:hAnsi="Times New Roman" w:ascii="Times New Roman"/>
                <w:sz w:val="20"/>
                <w:szCs w:val="20"/>
                <w:lang w:eastAsia="en-US" w:val="pl-PL"/>
              </w:rPr>
            </w:pPr>
          </w:p>
        </w:tc>
        <w:tc>
          <w:tcPr>
            <w:tcW w:type="pct" w:w="10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D0DA3" w:rsidR="006D0DA3">
            <w:pPr>
              <w:jc w:val="right"/>
              <w:rPr>
                <w:rFonts w:hAnsi="Times New Roman" w:ascii="Times New Roman"/>
                <w:sz w:val="20"/>
                <w:szCs w:val="20"/>
                <w:lang w:eastAsia="en-US"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1.344,29</w:t>
            </w:r>
          </w:p>
        </w:tc>
        <w:tc>
          <w:tcPr>
            <w:tcW w:type="pct" w:w="10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D0DA3" w:rsidR="006D0DA3">
            <w:pPr>
              <w:jc w:val="both"/>
              <w:rPr>
                <w:rFonts w:hAnsi="Times New Roman" w:ascii="Times New Roman"/>
                <w:sz w:val="20"/>
                <w:szCs w:val="20"/>
                <w:lang w:eastAsia="en-US" w:val="pl-PL"/>
              </w:rPr>
            </w:pPr>
          </w:p>
        </w:tc>
      </w:tr>
      <w:tr w:rsidTr="006D0DA3" w:rsidR="006D0DA3">
        <w:tc>
          <w:tcPr>
            <w:tcW w:type="pct" w:w="3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D0DA3" w:rsidR="006D0DA3">
            <w:pPr>
              <w:jc w:val="right"/>
              <w:rPr>
                <w:rFonts w:hAnsi="Times New Roman" w:ascii="Times New Roman"/>
                <w:sz w:val="20"/>
                <w:szCs w:val="20"/>
                <w:lang w:eastAsia="en-US"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2.3.</w:t>
            </w:r>
          </w:p>
        </w:tc>
        <w:tc>
          <w:tcPr>
            <w:tcW w:type="pct" w:w="16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D0DA3" w:rsidR="006D0DA3">
            <w:pPr>
              <w:rPr>
                <w:rFonts w:hAnsi="Times New Roman" w:ascii="Times New Roman"/>
                <w:sz w:val="20"/>
                <w:szCs w:val="20"/>
                <w:lang w:eastAsia="en-US"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Računovodstvene usluge  po ugovoru s Profit-consult j.d.o.o. Ferdinandovac</w:t>
            </w:r>
          </w:p>
        </w:tc>
        <w:tc>
          <w:tcPr>
            <w:tcW w:type="pct" w:w="10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D0DA3" w:rsidR="006D0DA3">
            <w:pPr>
              <w:jc w:val="both"/>
              <w:rPr>
                <w:rFonts w:hAnsi="Times New Roman" w:ascii="Times New Roman"/>
                <w:sz w:val="20"/>
                <w:szCs w:val="20"/>
                <w:lang w:eastAsia="en-US" w:val="pl-PL"/>
              </w:rPr>
            </w:pPr>
          </w:p>
        </w:tc>
        <w:tc>
          <w:tcPr>
            <w:tcW w:type="pct" w:w="10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D0DA3" w:rsidR="006D0DA3">
            <w:pPr>
              <w:jc w:val="right"/>
              <w:rPr>
                <w:rFonts w:hAnsi="Times New Roman" w:ascii="Times New Roman"/>
                <w:sz w:val="20"/>
                <w:szCs w:val="20"/>
                <w:lang w:eastAsia="en-US"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1.600,00</w:t>
            </w:r>
          </w:p>
        </w:tc>
        <w:tc>
          <w:tcPr>
            <w:tcW w:type="pct" w:w="10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D0DA3" w:rsidR="006D0DA3">
            <w:pPr>
              <w:jc w:val="both"/>
              <w:rPr>
                <w:rFonts w:hAnsi="Times New Roman" w:ascii="Times New Roman"/>
                <w:sz w:val="20"/>
                <w:szCs w:val="20"/>
                <w:lang w:eastAsia="en-US" w:val="pl-PL"/>
              </w:rPr>
            </w:pPr>
          </w:p>
        </w:tc>
      </w:tr>
      <w:tr w:rsidTr="006D0DA3" w:rsidR="006D0DA3">
        <w:tc>
          <w:tcPr>
            <w:tcW w:type="pct" w:w="3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D0DA3" w:rsidR="006D0DA3">
            <w:pPr>
              <w:jc w:val="right"/>
              <w:rPr>
                <w:rFonts w:hAnsi="Times New Roman" w:ascii="Times New Roman"/>
                <w:sz w:val="20"/>
                <w:szCs w:val="20"/>
                <w:lang w:eastAsia="en-US"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2.4.</w:t>
            </w:r>
          </w:p>
        </w:tc>
        <w:tc>
          <w:tcPr>
            <w:tcW w:type="pct" w:w="16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D0DA3" w:rsidR="006D0DA3">
            <w:pPr>
              <w:rPr>
                <w:rFonts w:hAnsi="Times New Roman" w:ascii="Times New Roman"/>
                <w:sz w:val="20"/>
                <w:szCs w:val="20"/>
                <w:lang w:eastAsia="en-US"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PDV</w:t>
            </w:r>
          </w:p>
        </w:tc>
        <w:tc>
          <w:tcPr>
            <w:tcW w:type="pct" w:w="10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D0DA3" w:rsidR="006D0DA3">
            <w:pPr>
              <w:jc w:val="both"/>
              <w:rPr>
                <w:rFonts w:hAnsi="Times New Roman" w:ascii="Times New Roman"/>
                <w:sz w:val="20"/>
                <w:szCs w:val="20"/>
                <w:lang w:eastAsia="en-US" w:val="pl-PL"/>
              </w:rPr>
            </w:pPr>
          </w:p>
        </w:tc>
        <w:tc>
          <w:tcPr>
            <w:tcW w:type="pct" w:w="10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D0DA3" w:rsidR="006D0DA3">
            <w:pPr>
              <w:jc w:val="right"/>
              <w:rPr>
                <w:rFonts w:hAnsi="Times New Roman" w:ascii="Times New Roman"/>
                <w:sz w:val="20"/>
                <w:szCs w:val="20"/>
                <w:lang w:eastAsia="en-US"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1.400,00</w:t>
            </w:r>
          </w:p>
        </w:tc>
        <w:tc>
          <w:tcPr>
            <w:tcW w:type="pct" w:w="10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D0DA3" w:rsidR="006D0DA3">
            <w:pPr>
              <w:jc w:val="both"/>
              <w:rPr>
                <w:rFonts w:hAnsi="Times New Roman" w:ascii="Times New Roman"/>
                <w:sz w:val="20"/>
                <w:szCs w:val="20"/>
                <w:lang w:eastAsia="en-US" w:val="pl-PL"/>
              </w:rPr>
            </w:pPr>
          </w:p>
        </w:tc>
      </w:tr>
      <w:tr w:rsidTr="006D0DA3" w:rsidR="006D0DA3">
        <w:tc>
          <w:tcPr>
            <w:tcW w:type="pct" w:w="3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D0DA3" w:rsidR="006D0DA3">
            <w:pPr>
              <w:jc w:val="right"/>
              <w:rPr>
                <w:rFonts w:hAnsi="Times New Roman" w:ascii="Times New Roman"/>
                <w:sz w:val="20"/>
                <w:szCs w:val="20"/>
                <w:lang w:eastAsia="en-US"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2.5.</w:t>
            </w:r>
          </w:p>
        </w:tc>
        <w:tc>
          <w:tcPr>
            <w:tcW w:type="pct" w:w="16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D0DA3" w:rsidR="006D0DA3">
            <w:pPr>
              <w:rPr>
                <w:rFonts w:hAnsi="Times New Roman" w:ascii="Times New Roman"/>
                <w:sz w:val="20"/>
                <w:szCs w:val="20"/>
                <w:lang w:eastAsia="en-US"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Naknada banci</w:t>
            </w:r>
          </w:p>
        </w:tc>
        <w:tc>
          <w:tcPr>
            <w:tcW w:type="pct" w:w="10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D0DA3" w:rsidR="006D0DA3">
            <w:pPr>
              <w:jc w:val="both"/>
              <w:rPr>
                <w:rFonts w:hAnsi="Times New Roman" w:ascii="Times New Roman"/>
                <w:sz w:val="20"/>
                <w:szCs w:val="20"/>
                <w:lang w:eastAsia="en-US" w:val="pl-PL"/>
              </w:rPr>
            </w:pPr>
          </w:p>
        </w:tc>
        <w:tc>
          <w:tcPr>
            <w:tcW w:type="pct" w:w="10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D0DA3" w:rsidR="006D0DA3">
            <w:pPr>
              <w:jc w:val="right"/>
              <w:rPr>
                <w:rFonts w:hAnsi="Times New Roman" w:ascii="Times New Roman"/>
                <w:sz w:val="20"/>
                <w:szCs w:val="20"/>
                <w:lang w:eastAsia="en-US"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164,45</w:t>
            </w:r>
          </w:p>
        </w:tc>
        <w:tc>
          <w:tcPr>
            <w:tcW w:type="pct" w:w="10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D0DA3" w:rsidR="006D0DA3">
            <w:pPr>
              <w:jc w:val="both"/>
              <w:rPr>
                <w:rFonts w:hAnsi="Times New Roman" w:ascii="Times New Roman"/>
                <w:sz w:val="20"/>
                <w:szCs w:val="20"/>
                <w:lang w:eastAsia="en-US" w:val="pl-PL"/>
              </w:rPr>
            </w:pPr>
          </w:p>
        </w:tc>
      </w:tr>
      <w:tr w:rsidTr="006D0DA3" w:rsidR="006D0DA3">
        <w:tc>
          <w:tcPr>
            <w:tcW w:type="pct" w:w="3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D0DA3" w:rsidR="006D0DA3">
            <w:pPr>
              <w:jc w:val="right"/>
              <w:rPr>
                <w:rFonts w:hAnsi="Times New Roman" w:ascii="Times New Roman"/>
                <w:b/>
                <w:sz w:val="20"/>
                <w:szCs w:val="20"/>
                <w:lang w:eastAsia="en-US" w:val="pl-PL"/>
              </w:rPr>
            </w:pPr>
          </w:p>
        </w:tc>
        <w:tc>
          <w:tcPr>
            <w:tcW w:type="pct" w:w="16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D0DA3" w:rsidR="006D0DA3">
            <w:pPr>
              <w:rPr>
                <w:rFonts w:hAnsi="Times New Roman" w:ascii="Times New Roman"/>
                <w:b/>
                <w:sz w:val="20"/>
                <w:szCs w:val="20"/>
                <w:lang w:eastAsia="en-US" w:val="pl-PL"/>
              </w:rPr>
            </w:pPr>
            <w:r>
              <w:rPr>
                <w:rFonts w:hAnsi="Times New Roman" w:ascii="Times New Roman"/>
                <w:b/>
                <w:sz w:val="20"/>
                <w:szCs w:val="20"/>
                <w:lang w:val="pl-PL"/>
              </w:rPr>
              <w:t>Promet ukupno:</w:t>
            </w:r>
          </w:p>
        </w:tc>
        <w:tc>
          <w:tcPr>
            <w:tcW w:type="pct" w:w="10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D0DA3" w:rsidR="006D0DA3">
            <w:pPr>
              <w:jc w:val="right"/>
              <w:rPr>
                <w:rFonts w:hAnsi="Times New Roman" w:ascii="Times New Roman"/>
                <w:b/>
                <w:sz w:val="20"/>
                <w:szCs w:val="20"/>
                <w:lang w:eastAsia="en-US" w:val="pl-PL"/>
              </w:rPr>
            </w:pPr>
            <w:r>
              <w:rPr>
                <w:rFonts w:hAnsi="Times New Roman" w:ascii="Times New Roman"/>
                <w:b/>
                <w:sz w:val="20"/>
                <w:szCs w:val="20"/>
                <w:lang w:val="pl-PL"/>
              </w:rPr>
              <w:t>35.194,58</w:t>
            </w:r>
          </w:p>
        </w:tc>
        <w:tc>
          <w:tcPr>
            <w:tcW w:type="pct" w:w="10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D0DA3" w:rsidR="006D0DA3">
            <w:pPr>
              <w:jc w:val="right"/>
              <w:rPr>
                <w:rFonts w:hAnsi="Times New Roman" w:ascii="Times New Roman"/>
                <w:b/>
                <w:sz w:val="20"/>
                <w:szCs w:val="20"/>
                <w:lang w:eastAsia="en-US" w:val="pl-PL"/>
              </w:rPr>
            </w:pPr>
            <w:r>
              <w:rPr>
                <w:rFonts w:hAnsi="Times New Roman" w:ascii="Times New Roman"/>
                <w:b/>
                <w:sz w:val="20"/>
                <w:szCs w:val="20"/>
                <w:lang w:val="pl-PL"/>
              </w:rPr>
              <w:t>6.856,79</w:t>
            </w:r>
          </w:p>
        </w:tc>
        <w:tc>
          <w:tcPr>
            <w:tcW w:type="pct" w:w="10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D0DA3" w:rsidR="006D0DA3">
            <w:pPr>
              <w:jc w:val="right"/>
              <w:rPr>
                <w:rFonts w:hAnsi="Times New Roman" w:ascii="Times New Roman"/>
                <w:b/>
                <w:sz w:val="20"/>
                <w:szCs w:val="20"/>
                <w:lang w:eastAsia="en-US" w:val="pl-PL"/>
              </w:rPr>
            </w:pPr>
            <w:r>
              <w:rPr>
                <w:rFonts w:hAnsi="Times New Roman" w:ascii="Times New Roman"/>
                <w:b/>
                <w:sz w:val="20"/>
                <w:szCs w:val="20"/>
                <w:lang w:val="pl-PL"/>
              </w:rPr>
              <w:t>28.337,79</w:t>
            </w:r>
          </w:p>
        </w:tc>
      </w:tr>
    </w:tbl>
    <w:p w:rsidRDefault="006D0DA3" w:rsidP="006D0DA3" w:rsidR="006D0DA3">
      <w:pPr>
        <w:jc w:val="both"/>
        <w:rPr>
          <w:rFonts w:hAnsi="Times New Roman" w:ascii="Times New Roman"/>
          <w:sz w:val="20"/>
          <w:szCs w:val="20"/>
          <w:lang w:val="pl-PL"/>
        </w:rPr>
      </w:pPr>
      <w:r>
        <w:rPr>
          <w:rFonts w:hAnsi="Times New Roman" w:ascii="Times New Roman"/>
          <w:sz w:val="20"/>
          <w:szCs w:val="20"/>
          <w:lang w:val="pl-PL"/>
        </w:rPr>
        <w:t>Izvor podataka: Izvodi sa žiro računa Stečajne mase iza VITAFLORA d.o.o. u stečaju od broja 20 do broja 34.</w:t>
      </w:r>
    </w:p>
    <w:p w:rsidRDefault="006D0DA3" w:rsidP="006D0DA3" w:rsidR="006D0DA3">
      <w:pPr>
        <w:rPr>
          <w:rFonts w:hAnsi="Times New Roman" w:ascii="Times New Roman"/>
          <w:sz w:val="24"/>
          <w:szCs w:val="24"/>
          <w:lang w:val="pl-PL"/>
        </w:rPr>
      </w:pPr>
    </w:p>
    <w:p w:rsidRDefault="006D0DA3" w:rsidP="006D0DA3" w:rsidR="006D0DA3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III. RADNJE KOJE ĆE SE PODUZETI U NAREDNOM RAZDOBLJU</w:t>
      </w:r>
    </w:p>
    <w:p w:rsidRDefault="006D0DA3" w:rsidP="006D0DA3" w:rsidR="006D0DA3">
      <w:pPr>
        <w:rPr>
          <w:rFonts w:hAnsi="Times New Roman" w:ascii="Times New Roman"/>
          <w:b/>
          <w:sz w:val="24"/>
          <w:szCs w:val="24"/>
          <w:lang w:val="pl-PL"/>
        </w:rPr>
      </w:pPr>
    </w:p>
    <w:p w:rsidRDefault="006D0DA3" w:rsidP="006D0DA3" w:rsidR="006D0DA3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3.1. Planirane radnje za naredno razdoblje od 02.11.2017. do 02.02.2018. godine:</w:t>
      </w:r>
    </w:p>
    <w:p w:rsidRDefault="006D0DA3" w:rsidP="006D0DA3" w:rsidR="006D0DA3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Završetak prodaje nekretnine i pokretne imovine stečajnog dužnika.</w:t>
      </w:r>
    </w:p>
    <w:p w:rsidRDefault="006D0DA3" w:rsidP="006D0DA3" w:rsidR="006D0DA3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Popis i zbrinjavanje registraturne građe stečajnog dužnika.</w:t>
      </w:r>
    </w:p>
    <w:p w:rsidRDefault="006D0DA3" w:rsidP="006D0DA3" w:rsidR="006D0DA3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Izrada završnog računa stečajnog upravitelja.</w:t>
      </w:r>
    </w:p>
    <w:p w:rsidRDefault="006D0DA3" w:rsidP="006D0DA3" w:rsidR="006D0DA3">
      <w:pPr>
        <w:rPr>
          <w:rFonts w:hAnsi="Times New Roman" w:ascii="Times New Roman"/>
          <w:sz w:val="24"/>
          <w:szCs w:val="24"/>
          <w:lang w:val="pl-PL"/>
        </w:rPr>
      </w:pPr>
    </w:p>
    <w:p w:rsidRDefault="006D0DA3" w:rsidP="006D0DA3" w:rsidR="006D0DA3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3.2. Prijedlog odluka o načinu prodaje nekretnine i pokretne imovine</w:t>
      </w:r>
    </w:p>
    <w:p w:rsidRDefault="006D0DA3" w:rsidP="006D0DA3" w:rsidR="006D0DA3">
      <w:pPr>
        <w:spacing w:after="0"/>
        <w:rPr>
          <w:rFonts w:eastAsia="Times New Roman" w:hAnsi="Times New Roman" w:ascii="Times New Roman"/>
          <w:bCs/>
          <w:lang w:eastAsia="hr-HR"/>
        </w:rPr>
      </w:pPr>
    </w:p>
    <w:p w:rsidRDefault="006D0DA3" w:rsidP="006D0DA3" w:rsidR="006D0DA3">
      <w:pPr>
        <w:spacing w:after="0"/>
        <w:rPr>
          <w:rFonts w:eastAsia="Times New Roman" w:hAnsi="Times New Roman" w:ascii="Times New Roman"/>
          <w:b/>
          <w:bCs/>
          <w:lang w:eastAsia="hr-HR"/>
        </w:rPr>
      </w:pPr>
      <w:r>
        <w:rPr>
          <w:rFonts w:eastAsia="Times New Roman" w:hAnsi="Times New Roman" w:ascii="Times New Roman"/>
          <w:b/>
          <w:bCs/>
          <w:lang w:eastAsia="hr-HR"/>
        </w:rPr>
        <w:t>3.2.1. Prijedlog načina prodaje nekretnine</w:t>
      </w:r>
    </w:p>
    <w:p w:rsidRDefault="006D0DA3" w:rsidP="006D0DA3" w:rsidR="006D0DA3">
      <w:pPr>
        <w:spacing w:after="0"/>
        <w:rPr>
          <w:rFonts w:eastAsia="Times New Roman" w:hAnsi="Times New Roman" w:ascii="Times New Roman"/>
          <w:b/>
          <w:bCs/>
          <w:lang w:eastAsia="hr-HR"/>
        </w:rPr>
      </w:pPr>
    </w:p>
    <w:p w:rsidRDefault="006D0DA3" w:rsidP="006D0DA3" w:rsidR="006D0DA3">
      <w:pPr>
        <w:rPr>
          <w:rFonts w:hAnsi="Times New Roman" w:ascii="Times New Roman"/>
          <w:sz w:val="24"/>
          <w:szCs w:val="24"/>
          <w:u w:val="single"/>
          <w:lang w:val="pl-PL"/>
        </w:rPr>
      </w:pPr>
      <w:r>
        <w:rPr>
          <w:rFonts w:hAnsi="Times New Roman" w:ascii="Times New Roman"/>
          <w:sz w:val="24"/>
          <w:szCs w:val="24"/>
          <w:u w:val="single"/>
          <w:lang w:val="pl-PL"/>
        </w:rPr>
        <w:t>Predlažem da stečajni sudac objavi zaključak o prodaji nekretnine putem Trgovačkog suda u Bjelovaru odnosno prvu javnu usmenu dražbu s uvjetima prodaje sukladnim s člankom 247. , stavkom (5) i (6) Stečjanog zakona (NN 71/15) i odredi ročište  u prosincu mjesecu 2017. godine izuzev datuma: 5., 6. i 8. prosinca.</w:t>
      </w:r>
    </w:p>
    <w:p w:rsidRDefault="006D0DA3" w:rsidP="006D0DA3" w:rsidR="006D0DA3">
      <w:pPr>
        <w:rPr>
          <w:rFonts w:hAnsi="Times New Roman" w:ascii="Times New Roman"/>
          <w:sz w:val="24"/>
          <w:szCs w:val="24"/>
          <w:u w:val="single"/>
          <w:lang w:val="pl-PL"/>
        </w:rPr>
      </w:pPr>
    </w:p>
    <w:p w:rsidRDefault="006D0DA3" w:rsidP="006D0DA3" w:rsidR="006D0DA3">
      <w:pPr>
        <w:spacing w:after="0"/>
        <w:rPr>
          <w:rFonts w:eastAsia="Times New Roman" w:hAnsi="Times New Roman" w:ascii="Times New Roman"/>
          <w:b/>
          <w:bCs/>
          <w:lang w:eastAsia="hr-HR"/>
        </w:rPr>
      </w:pPr>
      <w:r>
        <w:rPr>
          <w:rFonts w:eastAsia="Times New Roman" w:hAnsi="Times New Roman" w:ascii="Times New Roman"/>
          <w:b/>
          <w:bCs/>
          <w:lang w:eastAsia="hr-HR"/>
        </w:rPr>
        <w:t>3.2.1. Prijedlog načina prodaje pokretne imovine</w:t>
      </w:r>
    </w:p>
    <w:p w:rsidRDefault="006D0DA3" w:rsidP="006D0DA3" w:rsidR="006D0DA3">
      <w:pPr>
        <w:rPr>
          <w:rFonts w:hAnsi="Times New Roman" w:ascii="Times New Roman"/>
          <w:sz w:val="24"/>
          <w:szCs w:val="24"/>
          <w:u w:val="single"/>
          <w:lang w:val="pl-PL"/>
        </w:rPr>
      </w:pPr>
    </w:p>
    <w:p w:rsidRDefault="006D0DA3" w:rsidP="006D0DA3" w:rsidR="006D0DA3">
      <w:pPr>
        <w:rPr>
          <w:rFonts w:hAnsi="Times New Roman" w:ascii="Times New Roman"/>
          <w:sz w:val="24"/>
          <w:szCs w:val="24"/>
          <w:u w:val="single"/>
          <w:lang w:val="pl-PL"/>
        </w:rPr>
      </w:pPr>
      <w:r>
        <w:rPr>
          <w:rFonts w:hAnsi="Times New Roman" w:ascii="Times New Roman"/>
          <w:sz w:val="24"/>
          <w:szCs w:val="24"/>
          <w:u w:val="single"/>
          <w:lang w:val="pl-PL"/>
        </w:rPr>
        <w:t xml:space="preserve">Predlažem da prodaju pokretne imovine oglašavanjem u Glasu Slavonije 4 x na 1/8 stranice s uvjetima prodaje kao što je predloženo u točki 3.2.1. ovog izvješća za prodaju nekretnine. </w:t>
      </w:r>
    </w:p>
    <w:p w:rsidRDefault="006D0DA3" w:rsidP="006D0DA3" w:rsidR="006D0DA3">
      <w:pPr>
        <w:rPr>
          <w:rFonts w:hAnsi="Times New Roman" w:ascii="Times New Roman"/>
          <w:sz w:val="24"/>
          <w:szCs w:val="24"/>
          <w:u w:val="single"/>
          <w:lang w:val="pl-PL"/>
        </w:rPr>
      </w:pPr>
      <w:r>
        <w:rPr>
          <w:rFonts w:hAnsi="Times New Roman" w:ascii="Times New Roman"/>
          <w:sz w:val="24"/>
          <w:szCs w:val="24"/>
          <w:u w:val="single"/>
          <w:lang w:val="pl-PL"/>
        </w:rPr>
        <w:lastRenderedPageBreak/>
        <w:t>Prodaju putem prikupaljanja pisanih ponuda provodi stečajni upravitelj, a ponude se otvaraju kod javnog bilježnika.</w:t>
      </w:r>
    </w:p>
    <w:p w:rsidRDefault="006D0DA3" w:rsidP="006D0DA3" w:rsidR="006D0DA3">
      <w:pPr>
        <w:rPr>
          <w:rFonts w:hAnsi="Times New Roman" w:ascii="Times New Roman"/>
          <w:sz w:val="24"/>
          <w:szCs w:val="24"/>
          <w:u w:val="single"/>
          <w:lang w:val="pl-PL"/>
        </w:rPr>
      </w:pPr>
    </w:p>
    <w:p w:rsidRDefault="006D0DA3" w:rsidP="006D0DA3" w:rsidR="006D0DA3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Mjesto i datum: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 xml:space="preserve">        Stečajni upravitelj:</w:t>
      </w:r>
    </w:p>
    <w:p w:rsidRDefault="006D0DA3" w:rsidP="006D0DA3" w:rsidR="006D0DA3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Osijek, 02.11.2017..g.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 xml:space="preserve">           Mijo Rončević</w:t>
      </w:r>
    </w:p>
    <w:p w:rsidRDefault="006D0DA3" w:rsidP="006D0DA3" w:rsidR="006D0DA3">
      <w:pPr>
        <w:rPr>
          <w:rFonts w:hAnsi="Times New Roman" w:ascii="Times New Roman"/>
          <w:sz w:val="18"/>
          <w:szCs w:val="18"/>
          <w:lang w:val="pl-PL"/>
        </w:rPr>
      </w:pPr>
    </w:p>
    <w:p w:rsidRDefault="006D0DA3" w:rsidP="006D0DA3" w:rsidR="006D0DA3">
      <w:pPr>
        <w:rPr>
          <w:rFonts w:hAnsi="Times New Roman" w:ascii="Times New Roman"/>
          <w:sz w:val="18"/>
          <w:szCs w:val="18"/>
          <w:lang w:val="pl-PL"/>
        </w:rPr>
      </w:pPr>
      <w:r>
        <w:rPr>
          <w:rFonts w:hAnsi="Times New Roman" w:ascii="Times New Roman"/>
          <w:sz w:val="18"/>
          <w:szCs w:val="18"/>
          <w:lang w:val="pl-PL"/>
        </w:rPr>
        <w:t>Prilozi: kao u tekstu (procjena 1x u izvorniku i 2xpreslike)</w:t>
      </w:r>
    </w:p>
    <w:p w:rsidRDefault="006D0DA3" w:rsidP="006D0DA3" w:rsidR="006D0DA3">
      <w:pPr>
        <w:rPr>
          <w:rFonts w:hAnsi="Times New Roman" w:ascii="Times New Roman"/>
          <w:sz w:val="18"/>
          <w:szCs w:val="18"/>
          <w:u w:val="single"/>
          <w:lang w:val="pl-PL"/>
        </w:rPr>
      </w:pPr>
      <w:r>
        <w:rPr>
          <w:rFonts w:hAnsi="Times New Roman" w:ascii="Times New Roman"/>
          <w:sz w:val="18"/>
          <w:szCs w:val="18"/>
          <w:u w:val="single"/>
          <w:lang w:val="pl-PL"/>
        </w:rPr>
        <w:t>Dostavljeno u 3 primjerka!</w:t>
      </w:r>
    </w:p>
    <w:p w:rsidRDefault="00E91889" w:rsidR="00E91889"/>
    <w:sectPr w:rsidR="00E9188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0DA3"/>
    <w:rsid w:val="003B012B"/>
    <w:rsid w:val="005E0122"/>
    <w:rsid w:val="006D0DA3"/>
    <w:rsid w:val="00E91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0DA3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D0DA3"/>
    <w:pPr>
      <w:spacing w:lineRule="auto" w:line="240" w:after="0"/>
    </w:pPr>
    <w:rPr>
      <w:rFonts w:cs="Times New Roman" w:eastAsia="Calibri" w:hAnsi="Calibri" w:ascii="Calibri"/>
    </w:rPr>
  </w:style>
  <w:style w:styleId="Reetkatablice" w:type="table">
    <w:name w:val="Table Grid"/>
    <w:basedOn w:val="Obinatablica"/>
    <w:uiPriority w:val="59"/>
    <w:rsid w:val="006D0DA3"/>
    <w:pPr>
      <w:spacing w:lineRule="auto" w:line="240" w:after="0"/>
    </w:pPr>
    <w:rPr>
      <w:rFonts w:eastAsiaTheme="minorEastAsia"/>
      <w:lang w:eastAsia="zh-CN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E01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01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01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01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01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0DA3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D0DA3"/>
    <w:pPr>
      <w:spacing w:after="0" w:line="240" w:lineRule="auto"/>
    </w:pPr>
    <w:rPr>
      <w:rFonts w:ascii="Calibri" w:cs="Times New Roman" w:eastAsia="Calibri" w:hAnsi="Calibri"/>
    </w:rPr>
  </w:style>
  <w:style w:styleId="Reetkatablice" w:type="table">
    <w:name w:val="Table Grid"/>
    <w:basedOn w:val="Obinatablica"/>
    <w:uiPriority w:val="59"/>
    <w:rsid w:val="006D0DA3"/>
    <w:pPr>
      <w:spacing w:after="0" w:line="240" w:lineRule="auto"/>
    </w:pPr>
    <w:rPr>
      <w:rFonts w:eastAsiaTheme="minorEastAsia"/>
      <w:lang w:eastAsia="zh-CN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E01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01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01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01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01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5859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St-182/2016-40</izvorni_sadrzaj>
    <derivirana_varijabla naziv="DomainObject.Oznaka_1">St-182/2016-40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</izvorni_sadrzaj>
    <derivirana_varijabla naziv="DomainObject.Predmet.Broj_1">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srpnja 2016.</izvorni_sadrzaj>
    <derivirana_varijabla naziv="DomainObject.Predmet.DatumRjesavanja_1">14. srpnja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St-182/2016</izvorni_sadrzaj>
    <derivirana_varijabla naziv="DomainObject.Predmet.OznakaBroj_1">St-182/2016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Branka</izvorni_sadrzaj>
    <derivirana_varijabla naziv="DomainObject.Predmet.PredmetRijesio.Ime_1">Branka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Pleskalt</izvorni_sadrzaj>
    <derivirana_varijabla naziv="DomainObject.Predmet.PredmetRijesio.Prezime_1">Pleskalt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VITAFLORA društvo s ograničenom odgovornošću za proizvodnju i trgovinu, Čačinci</izvorni_sadrzaj>
    <derivirana_varijabla naziv="DomainObject.Predmet.ProtustrankaFormated_1">  Stečajna masa iza VITAFLORA društvo s ograničenom odgovornošću za proizvodnju i trgovinu, Čačinci</derivirana_varijabla>
  </DomainObject.Predmet.ProtustrankaFormated>
  <DomainObject.Predmet.ProtustrankaFormatedOIB>
    <izvorni_sadrzaj>  Stečajna masa iza VITAFLORA društvo s ograničenom odgovornošću za proizvodnju i trgovinu, Čačinci, OIB 24736040978</izvorni_sadrzaj>
    <derivirana_varijabla naziv="DomainObject.Predmet.ProtustrankaFormatedOIB_1">  Stečajna masa iza VITAFLORA društvo s ograničenom odgovornošću za proizvodnju i trgovinu, Čačinci, OIB 24736040978</derivirana_varijabla>
  </DomainObject.Predmet.ProtustrankaFormatedOIB>
  <DomainObject.Predmet.ProtustrankaFormatedWithAdress>
    <izvorni_sadrzaj> Stečajna masa iza VITAFLORA društvo s ograničenom odgovornošću za proizvodnju i trgovinu, Čačinci, Vijenac I. Meštrovića 74., 31000 Osijek</izvorni_sadrzaj>
    <derivirana_varijabla naziv="DomainObject.Predmet.ProtustrankaFormatedWithAdress_1"> Stečajna masa iza VITAFLORA društvo s ograničenom odgovornošću za proizvodnju i trgovinu, Čačinci, Vijenac I. Meštrovića 74., 31000 Osijek</derivirana_varijabla>
  </DomainObject.Predmet.ProtustrankaFormatedWithAdress>
  <DomainObject.Predmet.ProtustrankaFormatedWithAdressOIB>
    <izvorni_sadrzaj> Stečajna masa iza VITAFLORA društvo s ograničenom odgovornošću za proizvodnju i trgovinu, Čačinci, OIB 24736040978, Vijenac I. Meštrovića 74., 31000 Osijek</izvorni_sadrzaj>
    <derivirana_varijabla naziv="DomainObject.Predmet.ProtustrankaFormatedWithAdressOIB_1"> Stečajna masa iza VITAFLORA društvo s ograničenom odgovornošću za proizvodnju i trgovinu, Čačinci, OIB 24736040978, Vijenac I. Meštrovića 74., 31000 Osijek</derivirana_varijabla>
  </DomainObject.Predmet.ProtustrankaFormatedWithAdressOIB>
  <DomainObject.Predmet.ProtustrankaWithAdress>
    <izvorni_sadrzaj>Stečajna masa iza VITAFLORA društvo s ograničenom odgovornošću za proizvodnju i trgovinu, Čačinci Vijenac I. Meštrovića 74., 31000 Osijek</izvorni_sadrzaj>
    <derivirana_varijabla naziv="DomainObject.Predmet.ProtustrankaWithAdress_1">Stečajna masa iza VITAFLORA društvo s ograničenom odgovornošću za proizvodnju i trgovinu, Čačinci Vijenac I. Meštrovića 74., 31000 Osijek</derivirana_varijabla>
  </DomainObject.Predmet.ProtustrankaWithAdress>
  <DomainObject.Predmet.ProtustrankaWithAdressOIB>
    <izvorni_sadrzaj>Stečajna masa iza VITAFLORA društvo s ograničenom odgovornošću za proizvodnju i trgovinu, Čačinci, OIB 24736040978, Vijenac I. Meštrovića 74., 31000 Osijek</izvorni_sadrzaj>
    <derivirana_varijabla naziv="DomainObject.Predmet.ProtustrankaWithAdressOIB_1">Stečajna masa iza VITAFLORA društvo s ograničenom odgovornošću za proizvodnju i trgovinu, Čačinci, OIB 24736040978, Vijenac I. Meštrovića 74., 31000 Osijek</derivirana_varijabla>
  </DomainObject.Predmet.ProtustrankaWithAdressOIB>
  <DomainObject.Predmet.ProtustrankaNazivFormated>
    <izvorni_sadrzaj>Stečajna masa iza VITAFLORA društvo s ograničenom odgovornošću za proizvodnju i trgovinu, Čačinci</izvorni_sadrzaj>
    <derivirana_varijabla naziv="DomainObject.Predmet.ProtustrankaNazivFormated_1">Stečajna masa iza VITAFLORA društvo s ograničenom odgovornošću za proizvodnju i trgovinu, Čačinci</derivirana_varijabla>
  </DomainObject.Predmet.ProtustrankaNazivFormated>
  <DomainObject.Predmet.ProtustrankaNazivFormatedOIB>
    <izvorni_sadrzaj>Stečajna masa iza VITAFLORA društvo s ograničenom odgovornošću za proizvodnju i trgovinu, Čačinci, OIB 24736040978</izvorni_sadrzaj>
    <derivirana_varijabla naziv="DomainObject.Predmet.ProtustrankaNazivFormatedOIB_1">Stečajna masa iza VITAFLORA društvo s ograničenom odgovornošću za proizvodnju i trgovinu, Čačinci, OIB 24736040978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Addiko bank d.d.</izvorni_sadrzaj>
    <derivirana_varijabla naziv="DomainObject.Predmet.StrankaFormated_1">  FINA, RC ZAGREB, Podružnica Bjelovar; Addiko bank d.d.</derivirana_varijabla>
  </DomainObject.Predmet.StrankaFormated>
  <DomainObject.Predmet.StrankaFormatedOIB>
    <izvorni_sadrzaj>  FINA, RC ZAGREB, Podružnica Bjelovar, OIB 85821130368; Addiko bank d.d., OIB 14036333877</izvorni_sadrzaj>
    <derivirana_varijabla naziv="DomainObject.Predmet.StrankaFormatedOIB_1">  FINA, RC ZAGREB, Podružnica Bjelovar, OIB 85821130368; Addiko bank d.d., OIB 14036333877</derivirana_varijabla>
  </DomainObject.Predmet.StrankaFormatedOIB>
  <DomainObject.Predmet.StrankaFormatedWithAdress>
    <izvorni_sadrzaj> FINA, RC ZAGREB, Podružnica Bjelovar, F. Supila 4, 43000 Bjelovar; Addiko bank d.d., Slavonska 6., 10000 Zagreb</izvorni_sadrzaj>
    <derivirana_varijabla naziv="DomainObject.Predmet.StrankaFormatedWithAdress_1"> FINA, RC ZAGREB, Podružnica Bjelovar, F. Supila 4, 43000 Bjelovar; Addiko bank d.d., Slavonska 6., 10000 Zagreb</derivirana_varijabla>
  </DomainObject.Predmet.StrankaFormatedWithAdress>
  <DomainObject.Predmet.StrankaFormatedWithAdressOIB>
    <izvorni_sadrzaj> FINA, RC ZAGREB, Podružnica Bjelovar, OIB 85821130368, F. Supila 4, 43000 Bjelovar; Addiko bank d.d., OIB 14036333877, Slavonska 6., 10000 Zagreb</izvorni_sadrzaj>
    <derivirana_varijabla naziv="DomainObject.Predmet.StrankaFormatedWithAdressOIB_1"> FINA, RC ZAGREB, Podružnica Bjelovar, OIB 85821130368, F. Supila 4, 43000 Bjelovar; Addiko bank d.d., OIB 14036333877, Slavonska 6., 10000 Zagreb</derivirana_varijabla>
  </DomainObject.Predmet.StrankaFormatedWithAdressOIB>
  <DomainObject.Predmet.StrankaWithAdress>
    <izvorni_sadrzaj>FINA, RC ZAGREB, Podružnica Bjelovar F. Supila 4,43000 Bjelovar,Addiko bank d.d. Slavonska 6.,10000 Zagreb</izvorni_sadrzaj>
    <derivirana_varijabla naziv="DomainObject.Predmet.StrankaWithAdress_1">FINA, RC ZAGREB, Podružnica Bjelovar F. Supila 4,43000 Bjelovar,Addiko bank d.d. Slavonska 6.,10000 Zagreb</derivirana_varijabla>
  </DomainObject.Predmet.StrankaWithAdress>
  <DomainObject.Predmet.StrankaWithAdressOIB>
    <izvorni_sadrzaj>FINA, RC ZAGREB, Podružnica Bjelovar, OIB 85821130368, F. Supila 4,43000 Bjelovar,Addiko bank d.d., OIB 14036333877, Slavonska 6.,10000 Zagreb</izvorni_sadrzaj>
    <derivirana_varijabla naziv="DomainObject.Predmet.StrankaWithAdressOIB_1">FINA, RC ZAGREB, Podružnica Bjelovar, OIB 85821130368, F. Supila 4,43000 Bjelovar,Addiko bank d.d., OIB 14036333877, Slavonska 6.,10000 Zagreb</derivirana_varijabla>
  </DomainObject.Predmet.StrankaWithAdressOIB>
  <DomainObject.Predmet.StrankaNazivFormated>
    <izvorni_sadrzaj>FINA, RC ZAGREB, Podružnica Bjelovar,Addiko bank d.d.</izvorni_sadrzaj>
    <derivirana_varijabla naziv="DomainObject.Predmet.StrankaNazivFormated_1">FINA, RC ZAGREB, Podružnica Bjelovar,Addiko bank d.d.</derivirana_varijabla>
  </DomainObject.Predmet.StrankaNazivFormated>
  <DomainObject.Predmet.StrankaNazivFormatedOIB>
    <izvorni_sadrzaj>FINA, RC ZAGREB, Podružnica Bjelovar, OIB 85821130368,Addiko bank d.d., OIB 14036333877</izvorni_sadrzaj>
    <derivirana_varijabla naziv="DomainObject.Predmet.StrankaNazivFormatedOIB_1">FINA, RC ZAGREB, Podružnica Bjelovar, OIB 85821130368,Addiko bank d.d., OIB 14036333877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  <item>Addiko bank d.d.</item>
    </izvorni_sadrzaj>
    <derivirana_varijabla naziv="DomainObject.Predmet.StrankaListFormated_1">
      <item>FINA, RC ZAGREB, Podružnica Bjelovar</item>
      <item>Addiko bank d.d.</item>
    </derivirana_varijabla>
  </DomainObject.Predmet.StrankaListFormated>
  <DomainObject.Predmet.StrankaListFormatedOIB>
    <izvorni_sadrzaj>
      <item>FINA, RC ZAGREB, Podružnica Bjelovar, OIB 85821130368</item>
      <item>Addiko bank d.d., OIB 14036333877</item>
    </izvorni_sadrzaj>
    <derivirana_varijabla naziv="DomainObject.Predmet.StrankaListFormatedOIB_1">
      <item>FINA, RC ZAGREB, Podružnica Bjelovar, OIB 85821130368</item>
      <item>Addiko bank d.d., OIB 14036333877</item>
    </derivirana_varijabla>
  </DomainObject.Predmet.StrankaListFormatedOIB>
  <DomainObject.Predmet.StrankaListFormatedWithAdress>
    <izvorni_sadrzaj>
      <item>FINA, RC ZAGREB, Podružnica Bjelovar, F. Supila 4, 43000 Bjelovar</item>
      <item>Addiko bank d.d., Slavonska 6., 10000 Zagreb</item>
    </izvorni_sadrzaj>
    <derivirana_varijabla naziv="DomainObject.Predmet.StrankaListFormatedWithAdress_1">
      <item>FINA, RC ZAGREB, Podružnica Bjelovar, F. Supila 4, 43000 Bjelovar</item>
      <item>Addiko bank d.d., Slavonska 6., 10000 Zagreb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Addiko bank d.d., OIB 14036333877, Slavonska 6., 10000 Zagreb</item>
    </izvorni_sadrzaj>
    <derivirana_varijabla naziv="DomainObject.Predmet.StrankaListFormatedWithAdressOIB_1">
      <item>FINA, RC ZAGREB, Podružnica Bjelovar, OIB 85821130368, F. Supila 4, 43000 Bjelovar</item>
      <item>Addiko bank d.d., OIB 14036333877, Slavonska 6., 10000 Zagreb</item>
    </derivirana_varijabla>
  </DomainObject.Predmet.StrankaListFormatedWithAdressOIB>
  <DomainObject.Predmet.StrankaListNazivFormated>
    <izvorni_sadrzaj>
      <item>FINA, RC ZAGREB, Podružnica Bjelovar</item>
      <item>Addiko bank d.d.</item>
    </izvorni_sadrzaj>
    <derivirana_varijabla naziv="DomainObject.Predmet.StrankaListNazivFormated_1">
      <item>FINA, RC ZAGREB, Podružnica Bjelovar</item>
      <item>Addiko bank d.d.</item>
    </derivirana_varijabla>
  </DomainObject.Predmet.StrankaListNazivFormated>
  <DomainObject.Predmet.StrankaListNazivFormatedOIB>
    <izvorni_sadrzaj>
      <item>FINA, RC ZAGREB, Podružnica Bjelovar, OIB 85821130368</item>
      <item>Addiko bank d.d., OIB 14036333877</item>
    </izvorni_sadrzaj>
    <derivirana_varijabla naziv="DomainObject.Predmet.StrankaListNazivFormatedOIB_1">
      <item>FINA, RC ZAGREB, Podružnica Bjelovar, OIB 85821130368</item>
      <item>Addiko bank d.d., OIB 14036333877</item>
    </derivirana_varijabla>
  </DomainObject.Predmet.StrankaListNazivFormatedOIB>
  <DomainObject.Predmet.ProtuStrankaListFormated>
    <izvorni_sadrzaj>
      <item>Stečajna masa iza VITAFLORA društvo s ograničenom odgovornošću za proizvodnju i trgovinu, Čačinci</item>
    </izvorni_sadrzaj>
    <derivirana_varijabla naziv="DomainObject.Predmet.ProtuStrankaListFormated_1">
      <item>Stečajna masa iza VITAFLORA društvo s ograničenom odgovornošću za proizvodnju i trgovinu, Čačinci</item>
    </derivirana_varijabla>
  </DomainObject.Predmet.ProtuStrankaListFormated>
  <DomainObject.Predmet.ProtuStrankaListFormatedOIB>
    <izvorni_sadrzaj>
      <item>Stečajna masa iza VITAFLORA društvo s ograničenom odgovornošću za proizvodnju i trgovinu, Čačinci, OIB 24736040978</item>
    </izvorni_sadrzaj>
    <derivirana_varijabla naziv="DomainObject.Predmet.ProtuStrankaListFormatedOIB_1">
      <item>Stečajna masa iza VITAFLORA društvo s ograničenom odgovornošću za proizvodnju i trgovinu, Čačinci, OIB 24736040978</item>
    </derivirana_varijabla>
  </DomainObject.Predmet.ProtuStrankaListFormatedOIB>
  <DomainObject.Predmet.ProtuStrankaListFormatedWithAdress>
    <izvorni_sadrzaj>
      <item>Stečajna masa iza VITAFLORA društvo s ograničenom odgovornošću za proizvodnju i trgovinu, Čačinci, Vijenac I. Meštrovića 74., 31000 Osijek</item>
    </izvorni_sadrzaj>
    <derivirana_varijabla naziv="DomainObject.Predmet.ProtuStrankaListFormatedWithAdress_1">
      <item>Stečajna masa iza VITAFLORA društvo s ograničenom odgovornošću za proizvodnju i trgovinu, Čačinci, Vijenac I. Meštrovića 74., 31000 Osijek</item>
    </derivirana_varijabla>
  </DomainObject.Predmet.ProtuStrankaListFormatedWithAdress>
  <DomainObject.Predmet.ProtuStrankaListFormatedWithAdressOIB>
    <izvorni_sadrzaj>
      <item>Stečajna masa iza VITAFLORA društvo s ograničenom odgovornošću za proizvodnju i trgovinu, Čačinci, OIB 24736040978, Vijenac I. Meštrovića 74., 31000 Osijek</item>
    </izvorni_sadrzaj>
    <derivirana_varijabla naziv="DomainObject.Predmet.ProtuStrankaListFormatedWithAdressOIB_1">
      <item>Stečajna masa iza VITAFLORA društvo s ograničenom odgovornošću za proizvodnju i trgovinu, Čačinci, OIB 24736040978, Vijenac I. Meštrovića 74., 31000 Osijek</item>
    </derivirana_varijabla>
  </DomainObject.Predmet.ProtuStrankaListFormatedWithAdressOIB>
  <DomainObject.Predmet.ProtuStrankaListNazivFormated>
    <izvorni_sadrzaj>
      <item>Stečajna masa iza VITAFLORA društvo s ograničenom odgovornošću za proizvodnju i trgovinu, Čačinci</item>
    </izvorni_sadrzaj>
    <derivirana_varijabla naziv="DomainObject.Predmet.ProtuStrankaListNazivFormated_1">
      <item>Stečajna masa iza VITAFLORA društvo s ograničenom odgovornošću za proizvodnju i trgovinu, Čačinci</item>
    </derivirana_varijabla>
  </DomainObject.Predmet.ProtuStrankaListNazivFormated>
  <DomainObject.Predmet.ProtuStrankaListNazivFormatedOIB>
    <izvorni_sadrzaj>
      <item>Stečajna masa iza VITAFLORA društvo s ograničenom odgovornošću za proizvodnju i trgovinu, Čačinci, OIB 24736040978</item>
    </izvorni_sadrzaj>
    <derivirana_varijabla naziv="DomainObject.Predmet.ProtuStrankaListNazivFormatedOIB_1">
      <item>Stečajna masa iza VITAFLORA društvo s ograničenom odgovornošću za proizvodnju i trgovinu, Čačinci, OIB 24736040978</item>
    </derivirana_varijabla>
  </DomainObject.Predmet.ProtuStrankaListNazivFormatedOIB>
  <DomainObject.Predmet.OstaliListFormated>
    <izvorni_sadrzaj>
      <item>Miško Šimon</item>
      <item>ŽDO U BJELOVARU</item>
      <item>POREZNA UPRAVA U VIROVITICI</item>
      <item>sudski registar-ovdje</item>
      <item>Općinski sud u Virovitici,Stalna služba u Slatini</item>
      <item>Addiko bank d.d.</item>
    </izvorni_sadrzaj>
    <derivirana_varijabla naziv="DomainObject.Predmet.OstaliListFormated_1">
      <item>Miško Šimon</item>
      <item>ŽDO U BJELOVARU</item>
      <item>POREZNA UPRAVA U VIROVITICI</item>
      <item>sudski registar-ovdje</item>
      <item>Općinski sud u Virovitici,Stalna služba u Slatini</item>
      <item>Addiko bank d.d.</item>
    </derivirana_varijabla>
  </DomainObject.Predmet.OstaliListFormated>
  <DomainObject.Predmet.OstaliListFormatedOIB>
    <izvorni_sadrzaj>
      <item>Miško Šimon, OIB 62802176478</item>
      <item>ŽDO U BJELOVARU, OIB 86821435474</item>
      <item>POREZNA UPRAVA U VIROVITICI</item>
      <item>sudski registar-ovdje</item>
      <item>Općinski sud u Virovitici,Stalna služba u Slatini</item>
      <item>Addiko bank d.d., OIB 14036333877</item>
    </izvorni_sadrzaj>
    <derivirana_varijabla naziv="DomainObject.Predmet.OstaliListFormatedOIB_1">
      <item>Miško Šimon, OIB 62802176478</item>
      <item>ŽDO U BJELOVARU, OIB 86821435474</item>
      <item>POREZNA UPRAVA U VIROVITICI</item>
      <item>sudski registar-ovdje</item>
      <item>Općinski sud u Virovitici,Stalna služba u Slatini</item>
      <item>Addiko bank d.d., OIB 14036333877</item>
    </derivirana_varijabla>
  </DomainObject.Predmet.OstaliListFormatedOIB>
  <DomainObject.Predmet.OstaliListFormatedWithAdress>
    <izvorni_sadrzaj>
      <item>Miško Šimon, Manastirska 5/a., 33515 Duzluk</item>
      <item>ŽDO U BJELOVARU</item>
      <item>POREZNA UPRAVA U VIROVITICI</item>
      <item>sudski registar-ovdje</item>
      <item>Općinski sud u Virovitici,Stalna služba u Slatini, ., 33520 Slatina</item>
      <item>Addiko bank d.d., Slavonska 6., 10000 Zagreb</item>
    </izvorni_sadrzaj>
    <derivirana_varijabla naziv="DomainObject.Predmet.OstaliListFormatedWithAdress_1">
      <item>Miško Šimon, Manastirska 5/a., 33515 Duzluk</item>
      <item>ŽDO U BJELOVARU</item>
      <item>POREZNA UPRAVA U VIROVITICI</item>
      <item>sudski registar-ovdje</item>
      <item>Općinski sud u Virovitici,Stalna služba u Slatini, ., 33520 Slatina</item>
      <item>Addiko bank d.d., Slavonska 6., 10000 Zagreb</item>
    </derivirana_varijabla>
  </DomainObject.Predmet.OstaliListFormatedWithAdress>
  <DomainObject.Predmet.OstaliListFormatedWithAdressOIB>
    <izvorni_sadrzaj>
      <item>Miško Šimon, OIB 62802176478, Manastirska 5/a., 33515 Duzluk</item>
      <item>ŽDO U BJELOVARU, OIB 86821435474</item>
      <item>POREZNA UPRAVA U VIROVITICI</item>
      <item>sudski registar-ovdje</item>
      <item>Općinski sud u Virovitici,Stalna služba u Slatini, ., 33520 Slatina</item>
      <item>Addiko bank d.d., OIB 14036333877, Slavonska 6., 10000 Zagreb</item>
    </izvorni_sadrzaj>
    <derivirana_varijabla naziv="DomainObject.Predmet.OstaliListFormatedWithAdressOIB_1">
      <item>Miško Šimon, OIB 62802176478, Manastirska 5/a., 33515 Duzluk</item>
      <item>ŽDO U BJELOVARU, OIB 86821435474</item>
      <item>POREZNA UPRAVA U VIROVITICI</item>
      <item>sudski registar-ovdje</item>
      <item>Općinski sud u Virovitici,Stalna služba u Slatini, ., 33520 Slatina</item>
      <item>Addiko bank d.d., OIB 14036333877, Slavonska 6., 10000 Zagreb</item>
    </derivirana_varijabla>
  </DomainObject.Predmet.OstaliListFormatedWithAdressOIB>
  <DomainObject.Predmet.OstaliListNazivFormated>
    <izvorni_sadrzaj>
      <item>Miško Šimon</item>
      <item>ŽDO U BJELOVARU</item>
      <item>POREZNA UPRAVA U VIROVITICI</item>
      <item>sudski registar-ovdje</item>
      <item>Općinski sud u Virovitici,Stalna služba u Slatini</item>
      <item>Addiko bank d.d.</item>
    </izvorni_sadrzaj>
    <derivirana_varijabla naziv="DomainObject.Predmet.OstaliListNazivFormated_1">
      <item>Miško Šimon</item>
      <item>ŽDO U BJELOVARU</item>
      <item>POREZNA UPRAVA U VIROVITICI</item>
      <item>sudski registar-ovdje</item>
      <item>Općinski sud u Virovitici,Stalna služba u Slatini</item>
      <item>Addiko bank d.d.</item>
    </derivirana_varijabla>
  </DomainObject.Predmet.OstaliListNazivFormated>
  <DomainObject.Predmet.OstaliListNazivFormatedOIB>
    <izvorni_sadrzaj>
      <item>Miško Šimon, OIB 62802176478</item>
      <item>ŽDO U BJELOVARU, OIB 86821435474</item>
      <item>POREZNA UPRAVA U VIROVITICI</item>
      <item>sudski registar-ovdje</item>
      <item>Općinski sud u Virovitici,Stalna služba u Slatini</item>
      <item>Addiko bank d.d., OIB 14036333877</item>
    </izvorni_sadrzaj>
    <derivirana_varijabla naziv="DomainObject.Predmet.OstaliListNazivFormatedOIB_1">
      <item>Miško Šimon, OIB 62802176478</item>
      <item>ŽDO U BJELOVARU, OIB 86821435474</item>
      <item>POREZNA UPRAVA U VIROVITICI</item>
      <item>sudski registar-ovdje</item>
      <item>Općinski sud u Virovitici,Stalna služba u Slatini</item>
      <item>Addiko bank d.d.,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2017.</izvorni_sadrzaj>
    <derivirana_varijabla naziv="DomainObject.Datum_1">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Stečajna masa iza VITAFLORA društvo s ograničenom odgovornošću za proizvodnju i trgovinu, Čačinci</izvorni_sadrzaj>
    <derivirana_varijabla naziv="DomainObject.Predmet.ProtustrankaIDrugi_1">Stečajna masa iza VITAFLORA društvo s ograničenom odgovornošću za proizvodnju i trgovinu, Čačinci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Stečajna masa iza VITAFLORA društvo s ograničenom odgovornošću za proizvodnju i trgovinu, Čačinci, OIB 24736040978, Vijenac I. Meštrovića 74., 31000 Osijek</izvorni_sadrzaj>
    <derivirana_varijabla naziv="DomainObject.Predmet.ProtustrankaIDrugiAdressOIB_1">Stečajna masa iza VITAFLORA društvo s ograničenom odgovornošću za proizvodnju i trgovinu, Čačinci, OIB 24736040978, Vijenac I. Meštrovića 74.,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srpnja 2016.</izvorni_sadrzaj>
    <derivirana_varijabla naziv="DomainObject.Predmet.OdlukaRjesenje.DatumDonosenjaOdluke_1">13. srpnja 2016.</derivirana_varijabla>
  </DomainObject.Predmet.OdlukaRjesenje.DatumDonosenjaOdluke>
  <DomainObject.Predmet.OdlukaRjesenje.DatumPravomocnosti>
    <izvorni_sadrzaj>1. kolovoza 2016.</izvorni_sadrzaj>
    <derivirana_varijabla naziv="DomainObject.Predmet.OdlukaRjesenje.DatumPravomocnosti_1">1. kolovoza 2016.</derivirana_varijabla>
  </DomainObject.Predmet.OdlukaRjesenje.DatumPravomocnosti>
  <DomainObject.Predmet.OdlukaRjesenje.Oznaka>
    <izvorni_sadrzaj>St-182/2016-9</izvorni_sadrzaj>
    <derivirana_varijabla naziv="DomainObject.Predmet.OdlukaRjesenje.Oznaka_1">St-182/2016-9</derivirana_varijabla>
  </DomainObject.Predmet.OdlukaRjesenje.Oznaka>
  <DomainObject.Predmet.SudioniciListNaziv>
    <izvorni_sadrzaj>
      <item>FINA, RC ZAGREB, Podružnica Bjelovar</item>
      <item>Stečajna masa iza VITAFLORA društvo s ograničenom odgovornošću za proizvodnju i trgovinu, Čačinci</item>
      <item>Miško Šimon</item>
      <item>ŽDO U BJELOVARU</item>
      <item>POREZNA UPRAVA U VIROVITICI</item>
      <item>sudski registar-ovdje</item>
      <item>Općinski sud u Virovitici,Stalna služba u Slatini</item>
      <item>Addiko bank d.d.</item>
      <item>Addiko bank d.d.</item>
    </izvorni_sadrzaj>
    <derivirana_varijabla naziv="DomainObject.Predmet.SudioniciListNaziv_1">
      <item>FINA, RC ZAGREB, Podružnica Bjelovar</item>
      <item>Stečajna masa iza VITAFLORA društvo s ograničenom odgovornošću za proizvodnju i trgovinu, Čačinci</item>
      <item>Miško Šimon</item>
      <item>ŽDO U BJELOVARU</item>
      <item>POREZNA UPRAVA U VIROVITICI</item>
      <item>sudski registar-ovdje</item>
      <item>Općinski sud u Virovitici,Stalna služba u Slatini</item>
      <item>Addiko bank d.d.</item>
      <item>Addiko bank d.d.</item>
    </derivirana_varijabla>
  </DomainObject.Predmet.SudioniciListNaziv>
  <DomainObject.Predmet.SudioniciListAdressOIB>
    <izvorni_sadrzaj>
      <item>FINA, RC ZAGREB, Podružnica Bjelovar, OIB 85821130368, F. Supila 4,43000 Bjelovar</item>
      <item>Stečajna masa iza VITAFLORA društvo s ograničenom odgovornošću za proizvodnju i trgovinu, Čačinci, OIB 24736040978, Vijenac I. Meštrovića 74.,31000 Osijek</item>
      <item>Miško Šimon, OIB 62802176478, Manastirska 5/a.,33515 Duzluk</item>
      <item>ŽDO U BJELOVARU, OIB 86821435474</item>
      <item>POREZNA UPRAVA U VIROVITICI</item>
      <item>sudski registar-ovdje</item>
      <item>Općinski sud u Virovitici,Stalna služba u Slatini, .,33520 Slatina</item>
      <item>Addiko bank d.d., OIB 14036333877, Slavonska 6.,10000 Zagreb</item>
      <item>Addiko bank d.d., OIB 14036333877, Slavonska 6.,10000 Zagreb</item>
    </izvorni_sadrzaj>
    <derivirana_varijabla naziv="DomainObject.Predmet.SudioniciListAdressOIB_1">
      <item>FINA, RC ZAGREB, Podružnica Bjelovar, OIB 85821130368, F. Supila 4,43000 Bjelovar</item>
      <item>Stečajna masa iza VITAFLORA društvo s ograničenom odgovornošću za proizvodnju i trgovinu, Čačinci, OIB 24736040978, Vijenac I. Meštrovića 74.,31000 Osijek</item>
      <item>Miško Šimon, OIB 62802176478, Manastirska 5/a.,33515 Duzluk</item>
      <item>ŽDO U BJELOVARU, OIB 86821435474</item>
      <item>POREZNA UPRAVA U VIROVITICI</item>
      <item>sudski registar-ovdje</item>
      <item>Općinski sud u Virovitici,Stalna služba u Slatini, .,33520 Slatina</item>
      <item>Addiko bank d.d., OIB 14036333877, Slavonska 6.,10000 Zagreb</item>
      <item>Addiko bank d.d., OIB 14036333877, Slavonska 6.,10000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24736040978</item>
      <item>, OIB 62802176478</item>
      <item>, OIB 86821435474</item>
      <item>, OIB null</item>
      <item>, OIB null</item>
      <item>, OIB null</item>
      <item>, OIB 14036333877</item>
      <item>, OIB 14036333877</item>
    </izvorni_sadrzaj>
    <derivirana_varijabla naziv="DomainObject.Predmet.SudioniciListNazivOIB_1">
      <item>, OIB 85821130368</item>
      <item>, OIB 24736040978</item>
      <item>, OIB 62802176478</item>
      <item>, OIB 86821435474</item>
      <item>, OIB null</item>
      <item>, OIB null</item>
      <item>, OIB null</item>
      <item>, OIB 14036333877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804</properties:Words>
  <properties:Characters>4788</properties:Characters>
  <properties:Lines>202</properties:Lines>
  <properties:Paragraphs>105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2017-11-08T13:52:00Z</dcterms:created>
  <dc:creator>Vesna Dragišić</dc:creator>
  <cp:lastModifiedBy>Vesna Dragišić</cp:lastModifiedBy>
  <dcterms:modified xmlns:xsi="http://www.w3.org/2001/XMLSchema-instance" xsi:type="dcterms:W3CDTF">2017-11-08T13:59:00Z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St-182/2016-40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