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82b6" w14:paraId="f4382b6" w:rsidRDefault="00B73DD6" w:rsidP="00B73DD6" w:rsidR="00B73DD6">
      <w:pPr>
        <w:pStyle w:val="Bezproreda"/>
        <w:jc w:val="center"/>
        <w15:collapsed w:val="false"/>
        <w:rPr>
          <w:rFonts w:hAnsi="Century Gothic" w:ascii="Century Gothic"/>
          <w:noProof/>
        </w:rPr>
      </w:pPr>
      <w:bookmarkStart w:name="_GoBack" w:id="0"/>
      <w:bookmarkEnd w:id="0"/>
      <w:r>
        <w:rPr>
          <w:rFonts w:hAnsi="Century Gothic" w:ascii="Century Gothic"/>
        </w:rPr>
        <w:t>MEDI TORANJ društvo s ograničenom odgovornošću</w:t>
      </w:r>
      <w:r>
        <w:rPr>
          <w:rFonts w:hAnsi="Century Gothic" w:ascii="Century Gothic"/>
          <w:noProof/>
        </w:rPr>
        <w:t xml:space="preserve"> za medicinsku djelatnost, </w:t>
      </w:r>
    </w:p>
    <w:p w:rsidRDefault="00B73DD6" w:rsidP="00B73DD6" w:rsidR="00B73DD6">
      <w:pPr>
        <w:pStyle w:val="Bezproreda"/>
        <w:jc w:val="center"/>
        <w:rPr>
          <w:rFonts w:hAnsi="Century Gothic" w:ascii="Century Gothic"/>
          <w:noProof/>
        </w:rPr>
      </w:pPr>
      <w:r>
        <w:rPr>
          <w:rFonts w:hAnsi="Century Gothic" w:ascii="Century Gothic"/>
          <w:noProof/>
        </w:rPr>
        <w:t>usluge i trgovinu u stečaju, Zagreb, Ksaverska cesta 59</w:t>
      </w:r>
    </w:p>
    <w:p w:rsidRDefault="00B73DD6" w:rsidP="00B73DD6" w:rsidR="00B73DD6">
      <w:pPr>
        <w:pStyle w:val="Bezproreda"/>
        <w:jc w:val="center"/>
        <w:rPr>
          <w:rFonts w:hAnsi="Century Gothic" w:ascii="Century Gothic"/>
          <w:color w:themeShade="BF" w:themeColor="accent2" w:val="943634"/>
        </w:rPr>
      </w:pPr>
      <w:r>
        <w:rPr>
          <w:rFonts w:hAnsi="Century Gothic" w:ascii="Century Gothic"/>
        </w:rPr>
        <w:t xml:space="preserve">OIB: </w:t>
      </w:r>
      <w:r>
        <w:rPr>
          <w:rFonts w:hAnsi="Century Gothic" w:ascii="Century Gothic"/>
          <w:noProof/>
        </w:rPr>
        <w:t>29683817092</w:t>
      </w:r>
      <w:r>
        <w:rPr>
          <w:rFonts w:hAnsi="Century Gothic" w:ascii="Century Gothic"/>
        </w:rPr>
        <w:t xml:space="preserve">,  MBS: </w:t>
      </w:r>
      <w:r>
        <w:rPr>
          <w:rFonts w:hAnsi="Century Gothic" w:ascii="Century Gothic"/>
          <w:lang w:val="pl-PL"/>
        </w:rPr>
        <w:t>080753391,  1</w:t>
      </w:r>
      <w:r>
        <w:rPr>
          <w:rFonts w:hAnsi="Century Gothic" w:ascii="Century Gothic"/>
        </w:rPr>
        <w:t xml:space="preserve"> St-389/2017</w:t>
      </w:r>
    </w:p>
    <w:p w:rsidRDefault="00B73DD6" w:rsidP="00B73DD6" w:rsidR="00B73DD6">
      <w:pPr>
        <w:pStyle w:val="Bezproreda"/>
        <w:jc w:val="both"/>
        <w:rPr>
          <w:rFonts w:hAnsi="Century Gothic" w:ascii="Century Gothic"/>
          <w:color w:themeShade="BF" w:themeColor="accent2" w:val="943634"/>
          <w:u w:val="double"/>
        </w:rPr>
      </w:pPr>
      <w:r>
        <w:rPr>
          <w:rFonts w:hAnsi="Century Gothic" w:ascii="Century Gothic"/>
          <w:color w:themeShade="BF" w:themeColor="accent2" w:val="943634"/>
          <w:u w:val="double"/>
        </w:rPr>
        <w:t>_______________________________________________________________________________</w:t>
      </w:r>
    </w:p>
    <w:p w:rsidRDefault="00B73DD6" w:rsidP="00B73DD6" w:rsidR="00B73DD6">
      <w:pPr>
        <w:pStyle w:val="Bezproreda"/>
        <w:jc w:val="both"/>
        <w:rPr>
          <w:rFonts w:hAnsi="Century Gothic" w:ascii="Century Gothic"/>
          <w:color w:themeShade="BF" w:themeColor="accent2" w:val="943634"/>
        </w:rPr>
      </w:pPr>
    </w:p>
    <w:p w:rsidRDefault="00B73DD6" w:rsidP="00B73DD6" w:rsidR="00B73DD6">
      <w:pPr>
        <w:jc w:val="center"/>
        <w:rPr>
          <w:rFonts w:hAnsi="Century Gothic" w:ascii="Century Gothic"/>
          <w:sz w:val="32"/>
          <w:szCs w:val="32"/>
        </w:rPr>
      </w:pPr>
      <w:r>
        <w:rPr>
          <w:rFonts w:eastAsia="Times New Roman" w:hAnsi="Century Gothic" w:ascii="Century Gothic"/>
          <w:b/>
          <w:sz w:val="32"/>
          <w:szCs w:val="32"/>
          <w:lang w:eastAsia="hr-HR"/>
        </w:rPr>
        <w:t>PREGLED IMOVINE I OBVEZA</w:t>
      </w:r>
    </w:p>
    <w:tbl>
      <w:tblPr>
        <w:tblW w:type="dxa" w:w="9360"/>
        <w:jc w:val="center"/>
        <w:tblLayout w:type="fixed"/>
        <w:tblLook w:val="04A0" w:noVBand="1" w:noHBand="0" w:lastColumn="0" w:firstColumn="1" w:lastRow="0" w:firstRow="1"/>
      </w:tblPr>
      <w:tblGrid>
        <w:gridCol w:w="710"/>
        <w:gridCol w:w="5525"/>
        <w:gridCol w:w="3125"/>
      </w:tblGrid>
      <w:tr w:rsidTr="00B73DD6" w:rsidR="00B73DD6">
        <w:trPr>
          <w:trHeight w:val="809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B73DD6" w:rsidR="00B73DD6">
            <w:pPr>
              <w:jc w:val="center"/>
              <w:rPr>
                <w:rFonts w:hAnsi="Century Gothic" w:ascii="Century Gothic"/>
                <w:sz w:val="20"/>
                <w:szCs w:val="20"/>
              </w:rPr>
            </w:pPr>
          </w:p>
          <w:p w:rsidRDefault="00B73DD6" w:rsidR="00B73DD6">
            <w:pPr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r.br.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B73DD6" w:rsidR="00B73DD6">
            <w:pPr>
              <w:jc w:val="center"/>
              <w:rPr>
                <w:rFonts w:hAnsi="Century Gothic" w:ascii="Century Gothic"/>
                <w:b/>
                <w:sz w:val="20"/>
                <w:szCs w:val="20"/>
              </w:rPr>
            </w:pPr>
          </w:p>
          <w:p w:rsidRDefault="00B73DD6" w:rsidR="00B73DD6">
            <w:pPr>
              <w:jc w:val="center"/>
              <w:rPr>
                <w:rFonts w:hAnsi="Century Gothic" w:ascii="Century Gothic"/>
                <w:b/>
                <w:sz w:val="20"/>
                <w:szCs w:val="20"/>
              </w:rPr>
            </w:pPr>
            <w:r>
              <w:rPr>
                <w:rFonts w:hAnsi="Century Gothic" w:ascii="Century Gothic"/>
                <w:b/>
                <w:sz w:val="20"/>
                <w:szCs w:val="20"/>
              </w:rPr>
              <w:t>imovina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B73DD6" w:rsidR="00B73DD6">
            <w:pPr>
              <w:spacing w:lineRule="auto" w:line="240" w:after="0"/>
              <w:jc w:val="center"/>
              <w:rPr>
                <w:rFonts w:eastAsiaTheme="minorHAnsi" w:hAnsi="Century Gothic" w:ascii="Century Gothic"/>
                <w:b/>
                <w:sz w:val="20"/>
                <w:szCs w:val="20"/>
              </w:rPr>
            </w:pPr>
          </w:p>
          <w:p w:rsidRDefault="00B73DD6" w:rsidR="00B73DD6">
            <w:pPr>
              <w:spacing w:lineRule="auto" w:line="240" w:after="0"/>
              <w:jc w:val="center"/>
              <w:rPr>
                <w:rFonts w:eastAsiaTheme="minorHAnsi" w:hAnsi="Century Gothic" w:ascii="Century Gothic"/>
                <w:b/>
                <w:caps/>
                <w:sz w:val="20"/>
                <w:szCs w:val="20"/>
              </w:rPr>
            </w:pPr>
            <w:r>
              <w:rPr>
                <w:rFonts w:eastAsiaTheme="minorHAnsi" w:hAnsi="Century Gothic" w:ascii="Century Gothic"/>
                <w:b/>
                <w:sz w:val="20"/>
                <w:szCs w:val="20"/>
              </w:rPr>
              <w:t>knjigovodstvena</w:t>
            </w:r>
          </w:p>
          <w:p w:rsidRDefault="00B73DD6" w:rsidR="00B73DD6">
            <w:pPr>
              <w:jc w:val="center"/>
              <w:rPr>
                <w:rFonts w:hAnsi="Century Gothic" w:ascii="Century Gothic"/>
                <w:b/>
                <w:sz w:val="20"/>
                <w:szCs w:val="20"/>
              </w:rPr>
            </w:pPr>
            <w:r>
              <w:rPr>
                <w:rFonts w:eastAsiaTheme="minorHAnsi" w:hAnsi="Century Gothic" w:ascii="Century Gothic"/>
                <w:b/>
                <w:sz w:val="20"/>
                <w:szCs w:val="20"/>
              </w:rPr>
              <w:t>vrijednost u kn</w:t>
            </w:r>
          </w:p>
        </w:tc>
      </w:tr>
      <w:tr w:rsidTr="00B73DD6" w:rsidR="00B73DD6">
        <w:trPr>
          <w:trHeight w:val="3274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B73DD6" w:rsidR="00B73DD6">
            <w:pPr>
              <w:spacing w:lineRule="auto" w:line="288"/>
              <w:rPr>
                <w:rFonts w:cs="Tahoma" w:hAnsi="Century Gothic" w:ascii="Century Gothic"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iCs/>
                <w:sz w:val="20"/>
                <w:szCs w:val="20"/>
              </w:rPr>
              <w:t>1.</w:t>
            </w:r>
          </w:p>
          <w:p w:rsidRDefault="00B73DD6" w:rsidR="00B73DD6">
            <w:pPr>
              <w:spacing w:lineRule="auto" w:line="288"/>
              <w:jc w:val="center"/>
              <w:rPr>
                <w:rFonts w:cs="Tahoma" w:hAnsi="Century Gothic" w:ascii="Century Gothic"/>
                <w:iCs/>
                <w:sz w:val="20"/>
                <w:szCs w:val="20"/>
              </w:rPr>
            </w:pP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B73DD6" w:rsidR="00B73DD6">
            <w:pPr>
              <w:pStyle w:val="Bezproreda"/>
              <w:spacing w:lineRule="auto" w:line="256"/>
              <w:jc w:val="both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 xml:space="preserve">nekretnina upisana u 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 xml:space="preserve">zemljišne knjige koje vodi Općinski sud u  Zadru, Zemljišno knjižni odjel, u </w:t>
            </w:r>
            <w:proofErr w:type="spellStart"/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zk</w:t>
            </w:r>
            <w:proofErr w:type="spellEnd"/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 xml:space="preserve">. ul. br. 7395 k.o. Zadar, </w:t>
            </w:r>
            <w:proofErr w:type="spellStart"/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čkbr</w:t>
            </w:r>
            <w:proofErr w:type="spellEnd"/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. 1803/2 kuća, garaža i dvor 522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dvor 349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kuća 138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zemljišta pod zgradom 35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neodvojivo povezano s vlasništvom posebnih dijelova nekretnine</w:t>
            </w:r>
            <w:r>
              <w:rPr>
                <w:rFonts w:hAnsi="Century Gothic" w:ascii="Century Gothic"/>
                <w:sz w:val="20"/>
                <w:szCs w:val="20"/>
              </w:rPr>
              <w:t xml:space="preserve"> kako slijedi:  </w:t>
            </w:r>
          </w:p>
          <w:p w:rsidRDefault="00B73DD6" w:rsidR="00B73DD6">
            <w:pPr>
              <w:spacing w:lineRule="auto" w:line="240" w:after="0"/>
              <w:ind w:firstLine="708"/>
              <w:jc w:val="both"/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- 5. suvlasnički dio: 291/1000 etažno vlasništvo (E-1) etažna jedinica oznake "S1"-stambeni prostor koji se nalazi u suterenu a sastoji se od ulaznog prostora, kuhinje s blagovaonicom i dnevnim boravkom, kupaonice i dvije spavaće sobe ukupne korisne površine 102,97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korisne vrijednosti površine 102,97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. Sporedni dio stana "S1" je spremište korisne površine 2,55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 a korisne vrijednosti površine 0,89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. Ukupna korisna površina stambenog prostora "S1" i sporednog dijela je 105,52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ukupna korisna vrijednost površina je 103,86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u grafičkom dijelu elaborata označeno crvenom bojom;</w:t>
            </w:r>
          </w:p>
          <w:p w:rsidRDefault="00B73DD6" w:rsidR="00B73DD6">
            <w:pPr>
              <w:spacing w:lineRule="auto" w:line="240" w:after="0"/>
              <w:ind w:firstLine="708"/>
              <w:jc w:val="both"/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- 6. suvlasnički dio: 300/1000 etažno vlasništvo (E-2) etažna jedinica oznake "S2"-stambeni prostor koji se nalazi u prizemlju i suterenu zgrade, a sastoji se u  prizemlju od ulaznog prostora s garderobom, kuhinjom s blagovaonicom i dnevnim boravkom, kupaonice i dvije spavaće sobe, korisne površine 81,44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korisne vrijednosti površine 81,44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. Sporedni dio stana "S2" u suterenu je garaža, korisne površine 20,37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korisne vrijednosti površine 10,19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u prizemlju natkriveni i nenatkriveni dio terase, korisne površine 46,58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korisne vrijednosti površine 15,11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. Ukupna korisna površina stambenog prostora "S2" i sporednog dijela je 148,39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 xml:space="preserve"> a ukupna korisna vrijednost površina je 106,73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u grafičkom dijelu elaborata označeno zelenom bojom;</w:t>
            </w:r>
          </w:p>
          <w:p w:rsidRDefault="00B73DD6" w:rsidR="00B73DD6">
            <w:pPr>
              <w:spacing w:lineRule="auto" w:line="240" w:after="0"/>
              <w:ind w:firstLine="708"/>
              <w:jc w:val="both"/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- 7. suvlasnički dio: 249/1000 etažno vlasništvo (E-3) etažno jedinica oznake "S3" –stambeni prostor koji se nalazi na prvom katu zgrade, a sastoji se od ulaznog prostora s garderobom, kuhinje s blagovaonicom i dnevnim boravkom, kupaonice i dvije spavaće sobe, korisne površine 81,44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korisne vrijednosti površine 81,44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. Sporedni dio stana "S3" je natkrivena terasa, korisne površine 14,66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korisne vrijednosti površine 7,33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. Ukupna korisna površina stambenog prostora "S3" i sporednog dijela je 96,10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 xml:space="preserve">, a ukupna korisna vrijednost površina 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lastRenderedPageBreak/>
              <w:t>je 88,77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u grafičkom dijelu elaborata označeno plavom bojom;</w:t>
            </w:r>
          </w:p>
          <w:p w:rsidRDefault="00B73DD6" w:rsidR="00B73DD6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- 8. suvlasnički dio 160/1000 etažno vlasništvo (E-4) etažna jedinica oznake "S4" – stambeni prostor koji se nalazi na drugom katu, a sastoji se od kuhinje s  blagovaonicom i dnevnim boravkom, spavaće sobe, kupaonice, korisne površine 34,46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korisne vrijednosti površine 34,20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. Sporedni dio stana "S4" su natkriveni i nenatkriveni dijelovi terase, korisne površine 71,55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korisne vrijednosti površine 22,80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. Ukupna korisna površina stambenog prostora "S4" i sporednog dijela je 106,01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a ukupna korisna vrijednost površina je 57,00 m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vertAlign w:val="superscript"/>
                <w:lang w:eastAsia="hr-HR"/>
              </w:rPr>
              <w:t>2</w:t>
            </w:r>
            <w:r>
              <w:rPr>
                <w:rFonts w:cs="Times New Roman" w:eastAsia="Times New Roman" w:hAnsi="Century Gothic" w:ascii="Century Gothic"/>
                <w:sz w:val="20"/>
                <w:szCs w:val="20"/>
                <w:lang w:eastAsia="hr-HR"/>
              </w:rPr>
              <w:t>, u grafičkom dijelu elaborata označeno narančastom bojom.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B73DD6" w:rsidR="00B73DD6">
            <w:pPr>
              <w:spacing w:lineRule="auto" w:line="240" w:after="0"/>
              <w:jc w:val="center"/>
              <w:rPr>
                <w:rFonts w:eastAsiaTheme="minorHAnsi" w:cs="Arial" w:hAnsi="Century Gothic" w:ascii="Century Gothic"/>
                <w:sz w:val="20"/>
                <w:szCs w:val="20"/>
              </w:rPr>
            </w:pPr>
          </w:p>
          <w:p w:rsidRDefault="00B73DD6" w:rsidR="00B73DD6">
            <w:pPr>
              <w:spacing w:lineRule="auto" w:line="240" w:after="0"/>
              <w:jc w:val="center"/>
              <w:rPr>
                <w:rFonts w:eastAsiaTheme="minorHAnsi" w:cs="Arial" w:hAnsi="Century Gothic" w:ascii="Century Gothic"/>
                <w:sz w:val="20"/>
                <w:szCs w:val="20"/>
              </w:rPr>
            </w:pPr>
            <w:r>
              <w:rPr>
                <w:rFonts w:eastAsiaTheme="minorHAnsi" w:cs="Arial" w:hAnsi="Century Gothic" w:ascii="Century Gothic"/>
                <w:sz w:val="20"/>
                <w:szCs w:val="20"/>
              </w:rPr>
              <w:t xml:space="preserve"> </w:t>
            </w:r>
          </w:p>
          <w:p w:rsidRDefault="00B73DD6" w:rsidR="00B73DD6">
            <w:pPr>
              <w:spacing w:lineRule="auto" w:line="288"/>
              <w:jc w:val="center"/>
              <w:rPr>
                <w:rFonts w:cs="Tahoma" w:hAnsi="Tahoma" w:ascii="Tahoma"/>
                <w:sz w:val="20"/>
                <w:szCs w:val="20"/>
              </w:rPr>
            </w:pPr>
          </w:p>
          <w:p w:rsidRDefault="00B73DD6" w:rsidR="00B73DD6">
            <w:pPr>
              <w:spacing w:lineRule="auto" w:line="288"/>
              <w:jc w:val="center"/>
              <w:rPr>
                <w:rFonts w:cs="Tahoma" w:hAnsi="Tahoma" w:ascii="Tahoma"/>
                <w:sz w:val="20"/>
                <w:szCs w:val="20"/>
              </w:rPr>
            </w:pPr>
          </w:p>
          <w:p w:rsidRDefault="00B73DD6" w:rsidR="00B73DD6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sz w:val="20"/>
                <w:szCs w:val="20"/>
              </w:rPr>
              <w:t>1.003.600,00</w:t>
            </w:r>
          </w:p>
          <w:p w:rsidRDefault="00B73DD6" w:rsidR="00B73DD6">
            <w:pPr>
              <w:spacing w:lineRule="auto" w:line="288"/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B73DD6" w:rsidR="00B73DD6">
        <w:trPr>
          <w:trHeight w:val="456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B73DD6" w:rsidR="00B73DD6">
            <w:pPr>
              <w:spacing w:lineRule="auto" w:line="288"/>
              <w:jc w:val="center"/>
              <w:rPr>
                <w:rFonts w:cs="Tahoma" w:hAnsi="Century Gothic" w:ascii="Century Gothic"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iCs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B73DD6" w:rsidR="00B73DD6">
            <w:pPr>
              <w:spacing w:lineRule="auto" w:line="288"/>
              <w:rPr>
                <w:rFonts w:cs="Tahoma" w:hAnsi="Century Gothic" w:ascii="Century Gothic"/>
                <w:sz w:val="20"/>
                <w:szCs w:val="20"/>
              </w:rPr>
            </w:pPr>
            <w:r>
              <w:rPr>
                <w:rFonts w:cs="Tahoma" w:hAnsi="Century Gothic" w:ascii="Century Gothic"/>
                <w:sz w:val="20"/>
                <w:szCs w:val="20"/>
              </w:rPr>
              <w:t xml:space="preserve">potraživanja  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B73DD6" w:rsidR="00B73DD6">
            <w:pPr>
              <w:spacing w:lineRule="auto" w:line="288"/>
              <w:jc w:val="right"/>
              <w:rPr>
                <w:rFonts w:cs="Tahoma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10.600,00</w:t>
            </w:r>
          </w:p>
        </w:tc>
      </w:tr>
      <w:tr w:rsidTr="00B73DD6" w:rsidR="00B73DD6">
        <w:trPr>
          <w:trHeight w:val="39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  <w:hideMark/>
          </w:tcPr>
          <w:p w:rsidRDefault="00B73DD6" w:rsidR="00B73DD6">
            <w:pPr>
              <w:spacing w:lineRule="auto" w:line="288"/>
              <w:jc w:val="both"/>
              <w:rPr>
                <w:rFonts w:cs="Tahoma" w:hAnsi="Century Gothic" w:ascii="Century Gothic"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  <w:hideMark/>
          </w:tcPr>
          <w:p w:rsidRDefault="00B73DD6" w:rsidR="00B73DD6">
            <w:pPr>
              <w:spacing w:lineRule="auto" w:line="288"/>
              <w:jc w:val="both"/>
              <w:rPr>
                <w:rFonts w:cs="Tahoma" w:hAnsi="Century Gothic" w:ascii="Century Gothic"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b/>
                <w:bCs/>
                <w:iCs/>
                <w:sz w:val="20"/>
                <w:szCs w:val="20"/>
              </w:rPr>
              <w:t>imovina ukupno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  <w:hideMark/>
          </w:tcPr>
          <w:p w:rsidRDefault="00B73DD6" w:rsidR="00B73DD6">
            <w:pPr>
              <w:spacing w:lineRule="auto" w:line="288"/>
              <w:jc w:val="right"/>
              <w:rPr>
                <w:rFonts w:cs="Tahoma" w:hAnsi="Century Gothic" w:ascii="Century Gothic"/>
                <w:b/>
                <w:i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sz w:val="20"/>
                <w:szCs w:val="20"/>
              </w:rPr>
              <w:t xml:space="preserve"> 1.014.200,00</w:t>
            </w:r>
          </w:p>
        </w:tc>
      </w:tr>
      <w:tr w:rsidTr="00B73DD6" w:rsidR="00B73DD6">
        <w:trPr>
          <w:trHeight w:val="699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B73DD6" w:rsidR="00B73DD6">
            <w:pPr>
              <w:spacing w:lineRule="auto" w:line="288"/>
              <w:jc w:val="both"/>
              <w:rPr>
                <w:rFonts w:cs="Tahoma" w:hAnsi="Century Gothic" w:ascii="Century Gothic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B73DD6" w:rsidR="00B73DD6">
            <w:pPr>
              <w:pStyle w:val="Bezproreda"/>
              <w:spacing w:lineRule="auto" w:line="256"/>
              <w:rPr>
                <w:rFonts w:eastAsiaTheme="minorEastAsia" w:cs="Tahoma" w:hAnsi="Century Gothic" w:ascii="Century Gothic"/>
                <w:b/>
                <w:bCs/>
                <w:iCs/>
                <w:sz w:val="20"/>
                <w:szCs w:val="20"/>
              </w:rPr>
            </w:pPr>
          </w:p>
          <w:p w:rsidRDefault="00B73DD6" w:rsidR="00B73DD6">
            <w:pPr>
              <w:pStyle w:val="Bezproreda"/>
              <w:spacing w:lineRule="auto" w:line="256"/>
              <w:jc w:val="center"/>
              <w:rPr>
                <w:rFonts w:hAnsi="Century Gothic" w:ascii="Century Gothic"/>
                <w:b/>
                <w:sz w:val="20"/>
                <w:szCs w:val="20"/>
              </w:rPr>
            </w:pPr>
            <w:r>
              <w:rPr>
                <w:rFonts w:hAnsi="Century Gothic" w:ascii="Century Gothic"/>
                <w:b/>
                <w:sz w:val="20"/>
                <w:szCs w:val="20"/>
              </w:rPr>
              <w:t>obveze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B73DD6" w:rsidR="00B73DD6">
            <w:pPr>
              <w:spacing w:lineRule="auto" w:line="288"/>
              <w:jc w:val="center"/>
              <w:rPr>
                <w:rFonts w:hAnsi="Century Gothic" w:ascii="Century Gothic"/>
                <w:b/>
                <w:sz w:val="20"/>
                <w:szCs w:val="20"/>
              </w:rPr>
            </w:pPr>
          </w:p>
        </w:tc>
      </w:tr>
      <w:tr w:rsidTr="00B73DD6" w:rsidR="00B73DD6">
        <w:trPr>
          <w:trHeight w:val="39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center"/>
              <w:rPr>
                <w:rFonts w:cs="Tahoma" w:hAnsi="Century Gothic" w:ascii="Century Gothic"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iCs/>
                <w:sz w:val="20"/>
                <w:szCs w:val="20"/>
              </w:rPr>
              <w:t>1.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both"/>
              <w:rPr>
                <w:rFonts w:cs="Tahoma" w:hAnsi="Century Gothic" w:ascii="Century Gothic"/>
                <w:sz w:val="20"/>
                <w:szCs w:val="20"/>
              </w:rPr>
            </w:pPr>
            <w:r>
              <w:rPr>
                <w:rFonts w:cs="Tahoma" w:hAnsi="Century Gothic" w:ascii="Century Gothic"/>
                <w:sz w:val="20"/>
                <w:szCs w:val="20"/>
              </w:rPr>
              <w:t xml:space="preserve"> Obveze za zajmove, depozite i slično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right"/>
              <w:rPr>
                <w:rFonts w:cs="Tahoma" w:hAnsi="Century Gothic" w:ascii="Century Gothic"/>
                <w:sz w:val="20"/>
                <w:szCs w:val="20"/>
              </w:rPr>
            </w:pPr>
            <w:r>
              <w:rPr>
                <w:rFonts w:cs="Tahoma" w:hAnsi="Century Gothic" w:ascii="Century Gothic"/>
                <w:sz w:val="20"/>
                <w:szCs w:val="20"/>
              </w:rPr>
              <w:t xml:space="preserve">306.200,00 </w:t>
            </w:r>
          </w:p>
        </w:tc>
      </w:tr>
      <w:tr w:rsidTr="00B73DD6" w:rsidR="00B73DD6">
        <w:trPr>
          <w:trHeight w:val="39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center"/>
              <w:rPr>
                <w:rFonts w:cs="Tahoma" w:hAnsi="Century Gothic" w:ascii="Century Gothic"/>
                <w:bCs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both"/>
              <w:rPr>
                <w:rFonts w:cs="Tahoma" w:hAnsi="Century Gothic" w:ascii="Century Gothic"/>
                <w:sz w:val="20"/>
                <w:szCs w:val="20"/>
              </w:rPr>
            </w:pPr>
            <w:r>
              <w:rPr>
                <w:rFonts w:cs="Tahoma" w:hAnsi="Century Gothic" w:ascii="Century Gothic"/>
                <w:sz w:val="20"/>
                <w:szCs w:val="20"/>
              </w:rPr>
              <w:t>obveze prema bankama i drugim financijskim institucijama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Century Gothic" w:ascii="Century Gothic"/>
                <w:sz w:val="20"/>
                <w:szCs w:val="20"/>
              </w:rPr>
              <w:t xml:space="preserve">851.800,00 </w:t>
            </w:r>
          </w:p>
        </w:tc>
      </w:tr>
      <w:tr w:rsidTr="00B73DD6" w:rsidR="00B73DD6">
        <w:trPr>
          <w:trHeight w:val="571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center"/>
              <w:rPr>
                <w:rFonts w:cs="Tahoma" w:hAnsi="Century Gothic" w:ascii="Century Gothic"/>
                <w:bCs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both"/>
              <w:rPr>
                <w:rFonts w:cs="Tahoma" w:hAnsi="Century Gothic" w:ascii="Century Gothic"/>
                <w:sz w:val="20"/>
                <w:szCs w:val="20"/>
              </w:rPr>
            </w:pPr>
            <w:r>
              <w:rPr>
                <w:rFonts w:cs="Tahoma" w:hAnsi="Century Gothic" w:ascii="Century Gothic"/>
                <w:sz w:val="20"/>
                <w:szCs w:val="20"/>
              </w:rPr>
              <w:t xml:space="preserve"> obveze za poreze i doprinose i slična davanja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right"/>
              <w:rPr>
                <w:rFonts w:cs="Tahoma" w:hAnsi="Century Gothic" w:ascii="Century Gothic"/>
                <w:sz w:val="20"/>
                <w:szCs w:val="20"/>
              </w:rPr>
            </w:pPr>
            <w:r>
              <w:rPr>
                <w:rFonts w:cs="Tahoma" w:hAnsi="Century Gothic" w:ascii="Century Gothic"/>
                <w:sz w:val="20"/>
                <w:szCs w:val="20"/>
              </w:rPr>
              <w:t xml:space="preserve">4.500,00 </w:t>
            </w:r>
          </w:p>
        </w:tc>
      </w:tr>
      <w:tr w:rsidTr="00B73DD6" w:rsidR="00B73DD6">
        <w:trPr>
          <w:trHeight w:val="39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center"/>
              <w:rPr>
                <w:rFonts w:cs="Tahoma" w:hAnsi="Century Gothic" w:ascii="Century Gothic"/>
                <w:bCs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both"/>
              <w:rPr>
                <w:rFonts w:cs="Tahoma" w:hAnsi="Century Gothic" w:ascii="Century Gothic"/>
                <w:sz w:val="20"/>
                <w:szCs w:val="20"/>
              </w:rPr>
            </w:pPr>
            <w:r>
              <w:rPr>
                <w:rFonts w:cs="Tahoma" w:hAnsi="Century Gothic" w:ascii="Century Gothic"/>
                <w:sz w:val="20"/>
                <w:szCs w:val="20"/>
              </w:rPr>
              <w:t>ostale kratkoročne obveze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73DD6" w:rsidR="00B73DD6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Century Gothic" w:ascii="Century Gothic"/>
                <w:sz w:val="20"/>
                <w:szCs w:val="20"/>
              </w:rPr>
              <w:t xml:space="preserve"> 18.800,00</w:t>
            </w:r>
          </w:p>
        </w:tc>
      </w:tr>
      <w:tr w:rsidTr="00B73DD6" w:rsidR="00B73DD6">
        <w:trPr>
          <w:trHeight w:val="39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  <w:hideMark/>
          </w:tcPr>
          <w:p w:rsidRDefault="00B73DD6" w:rsidR="00B73DD6">
            <w:pPr>
              <w:spacing w:lineRule="auto" w:line="288"/>
              <w:jc w:val="both"/>
              <w:rPr>
                <w:rFonts w:cs="Tahoma" w:hAnsi="Century Gothic" w:ascii="Century Gothic"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  <w:hideMark/>
          </w:tcPr>
          <w:p w:rsidRDefault="00B73DD6" w:rsidR="00B73DD6">
            <w:pPr>
              <w:spacing w:lineRule="auto" w:line="288"/>
              <w:jc w:val="both"/>
              <w:rPr>
                <w:rFonts w:cs="Tahoma" w:hAnsi="Century Gothic" w:ascii="Century Gothic"/>
                <w:b/>
                <w:iCs/>
                <w:sz w:val="20"/>
                <w:szCs w:val="20"/>
              </w:rPr>
            </w:pPr>
            <w:r>
              <w:rPr>
                <w:rFonts w:cs="Tahoma" w:hAnsi="Century Gothic" w:ascii="Century Gothic"/>
                <w:b/>
                <w:iCs/>
                <w:sz w:val="20"/>
                <w:szCs w:val="20"/>
              </w:rPr>
              <w:t>obveze ukupno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  <w:hideMark/>
          </w:tcPr>
          <w:p w:rsidRDefault="00B73DD6" w:rsidR="00B73DD6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0"/>
                <w:szCs w:val="20"/>
              </w:rPr>
            </w:pPr>
            <w:r>
              <w:rPr>
                <w:rFonts w:cs="Times New Roman" w:eastAsia="Times New Roman" w:hAnsi="Century Gothic" w:ascii="Century Gothic"/>
                <w:b/>
                <w:sz w:val="20"/>
                <w:szCs w:val="20"/>
              </w:rPr>
              <w:t>1.181.300,00</w:t>
            </w:r>
            <w:r>
              <w:rPr>
                <w:rFonts w:cs="Tahoma" w:hAnsi="Century Gothic" w:ascii="Century Gothic"/>
                <w:b/>
                <w:sz w:val="20"/>
                <w:szCs w:val="20"/>
              </w:rPr>
              <w:t xml:space="preserve"> </w:t>
            </w:r>
          </w:p>
        </w:tc>
      </w:tr>
    </w:tbl>
    <w:p w:rsidRDefault="00B73DD6" w:rsidP="00B73DD6" w:rsidR="00B73DD6">
      <w:pPr>
        <w:spacing w:lineRule="auto" w:line="240" w:after="8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3DD6" w:rsidP="00B73DD6" w:rsidR="00B73DD6">
      <w:pPr>
        <w:pStyle w:val="Bezproreda"/>
        <w:tabs>
          <w:tab w:pos="8789" w:val="right"/>
        </w:tabs>
        <w:ind w:hanging="5670" w:left="5670"/>
        <w:rPr>
          <w:rFonts w:hAnsi="Century Gothic" w:ascii="Century Gothic"/>
          <w:sz w:val="24"/>
          <w:szCs w:val="24"/>
        </w:rPr>
      </w:pPr>
      <w:r>
        <w:rPr>
          <w:rFonts w:hAnsi="Century Gothic" w:ascii="Century Gothic"/>
          <w:sz w:val="24"/>
          <w:szCs w:val="24"/>
        </w:rPr>
        <w:t>Križevci, 28. prosinca 2017.                            Stečajni upravitelj:</w:t>
      </w:r>
    </w:p>
    <w:p w:rsidRDefault="00B73DD6" w:rsidP="00B73DD6" w:rsidR="00B73DD6">
      <w:pPr>
        <w:pStyle w:val="Bezproreda"/>
        <w:tabs>
          <w:tab w:pos="5954" w:val="left"/>
          <w:tab w:pos="6237" w:val="left"/>
          <w:tab w:pos="8789" w:val="right"/>
        </w:tabs>
        <w:rPr>
          <w:rFonts w:hAnsi="Century Gothic" w:ascii="Century Gothic"/>
          <w:sz w:val="24"/>
          <w:szCs w:val="24"/>
        </w:rPr>
      </w:pPr>
      <w:r>
        <w:rPr>
          <w:rFonts w:hAnsi="Century Gothic" w:ascii="Century Gothic"/>
          <w:sz w:val="24"/>
          <w:szCs w:val="24"/>
        </w:rPr>
        <w:t xml:space="preserve">                                                                          Darko Šket</w:t>
      </w:r>
    </w:p>
    <w:p w:rsidRDefault="00B73DD6" w:rsidP="00B73DD6" w:rsidR="00B73DD6">
      <w:pPr>
        <w:pStyle w:val="Bezproreda"/>
        <w:tabs>
          <w:tab w:pos="8789" w:val="right"/>
        </w:tabs>
        <w:ind w:hanging="5670" w:left="5670"/>
        <w:rPr>
          <w:rFonts w:hAnsi="Times New Roman" w:ascii="Times New Roman"/>
          <w:sz w:val="24"/>
          <w:szCs w:val="24"/>
        </w:rPr>
      </w:pPr>
      <w:r>
        <w:rPr>
          <w:rFonts w:hAnsi="Century Gothic" w:ascii="Century Gothic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</w:t>
      </w:r>
    </w:p>
    <w:p w:rsidRDefault="00B73DD6" w:rsidP="00B73DD6" w:rsidR="00B73DD6">
      <w:pPr>
        <w:pStyle w:val="Bezproreda"/>
        <w:tabs>
          <w:tab w:pos="8505" w:val="right"/>
        </w:tabs>
        <w:ind w:hanging="4962" w:left="825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</w:t>
      </w:r>
      <w:r>
        <w:rPr>
          <w:rFonts w:eastAsiaTheme="minorEastAsia" w:cs="Tahoma" w:hAnsi="Century Gothic" w:ascii="Century Gothic"/>
          <w:noProof/>
          <w:lang w:eastAsia="hr-HR"/>
        </w:rPr>
        <w:drawing>
          <wp:inline distR="0" distL="0" distB="0" distT="0">
            <wp:extent cy="1264920" cx="1496060"/>
            <wp:effectExtent b="0" r="8890" t="0" l="0"/>
            <wp:docPr descr="../IMG_3953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../IMG_3953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64920" cx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DD6" w:rsidP="00B73DD6" w:rsidR="00B73DD6">
      <w:pPr>
        <w:ind w:left="6372"/>
        <w:rPr>
          <w:rFonts w:hAnsi="Century Gothic" w:ascii="Century Gothic"/>
          <w:sz w:val="24"/>
          <w:szCs w:val="24"/>
        </w:rPr>
      </w:pPr>
    </w:p>
    <w:p w:rsidRDefault="00B73DD6" w:rsidP="00B73DD6" w:rsidR="00B73DD6">
      <w:pPr>
        <w:ind w:left="6372"/>
        <w:rPr>
          <w:rFonts w:hAnsi="Century Gothic" w:ascii="Century Gothic"/>
          <w:sz w:val="24"/>
          <w:szCs w:val="24"/>
        </w:rPr>
      </w:pPr>
    </w:p>
    <w:p w:rsidRDefault="005A3FB1" w:rsidR="005A3FB1"/>
    <w:sectPr w:rsidR="005A3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DD6"/>
    <w:rsid w:val="005A3FB1"/>
    <w:rsid w:val="00903C26"/>
    <w:rsid w:val="009912C8"/>
    <w:rsid w:val="00B7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3DD6"/>
    <w:pPr>
      <w:spacing w:after="160"/>
    </w:pPr>
    <w:rPr>
      <w:rFonts w:eastAsiaTheme="minorEastAsia"/>
      <w:sz w:val="21"/>
      <w:szCs w:val="21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3DD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3D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3DD6"/>
    <w:rPr>
      <w:rFonts w:eastAsiaTheme="minorEastAsia"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2C8"/>
    <w:rPr>
      <w:rFonts w:hAnsi="Century Gothic" w:ascii="Century Gothic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2C8"/>
    <w:rPr>
      <w:rFonts w:cs="Times New Roman" w:hAnsi="Century Gothic" w:ascii="Century Gothic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2C8"/>
    <w:rPr>
      <w:rFonts w:cs="Times New Roman" w:hAnsi="Century Gothic" w:ascii="Century Gothic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3DD6"/>
    <w:pPr>
      <w:spacing w:after="160"/>
    </w:pPr>
    <w:rPr>
      <w:rFonts w:eastAsiaTheme="minorEastAsia"/>
      <w:sz w:val="21"/>
      <w:szCs w:val="21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3DD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3D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3DD6"/>
    <w:rPr>
      <w:rFonts w:ascii="Tahoma" w:cs="Tahoma" w:eastAsiaTheme="minorEastAsi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2C8"/>
    <w:rPr>
      <w:rFonts w:ascii="Century Gothic" w:hAnsi="Century Gothic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2C8"/>
    <w:rPr>
      <w:rFonts w:ascii="Century Gothic" w:cs="Times New Roman" w:hAnsi="Century Gothic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2C8"/>
    <w:rPr>
      <w:rFonts w:ascii="Century Gothic" w:cs="Times New Roman" w:hAnsi="Century Gothic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St-389/2017-13</izvorni_sadrzaj>
    <derivirana_varijabla naziv="DomainObject.Oznaka_1">St-389/2017-13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29683817092</item>
      <item>, OIB 93465924400</item>
      <item>, OIB 52634238587</item>
      <item>, OIB 86821435474</item>
      <item>, OIB null</item>
    </izvorni_sadrzaj>
    <derivirana_varijabla naziv="DomainObject.Predmet.SudioniciListNazivOIB_1">
      <item>, OIB 29683817092</item>
      <item>, OIB 93465924400</item>
      <item>, OIB 52634238587</item>
      <item>, OIB 86821435474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3088</properties:Characters>
  <properties:Lines>112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2017-12-29T12:42:00Z</dcterms:created>
  <dc:creator>Vesna Dragišić</dc:creator>
  <cp:lastModifiedBy>Vesna Dragišić</cp:lastModifiedBy>
  <dcterms:modified xmlns:xsi="http://www.w3.org/2001/XMLSchema-instance" xsi:type="dcterms:W3CDTF">2017-12-29T12:53:00Z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St-389/2017-13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