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eeb11" w14:paraId="b8eeb11" w:rsidRDefault="005F0C99" w:rsidR="007F42A9" w:rsidRPr="005C4FA5">
      <w:pPr>
        <w:pStyle w:val="Naslov2"/>
        <w15:collapsed w:val="false"/>
        <w:rPr>
          <w:rFonts w:cs="Tahoma" w:hAnsi="Tahoma" w:ascii="Tahoma"/>
          <w:iCs/>
          <w:sz w:val="26"/>
          <w:szCs w:val="26"/>
        </w:rPr>
      </w:pPr>
      <w:bookmarkStart w:name="_GoBack" w:id="0"/>
      <w:bookmarkEnd w:id="0"/>
      <w:r w:rsidRPr="005C4FA5">
        <w:rPr>
          <w:rFonts w:cs="Tahoma" w:hAnsi="Tahoma" w:ascii="Tahoma"/>
          <w:iCs/>
          <w:sz w:val="26"/>
          <w:szCs w:val="26"/>
        </w:rPr>
        <w:t>BETEX d.o.o.u stečaju</w:t>
      </w:r>
      <w:r w:rsidR="00CA1D68" w:rsidRPr="005C4FA5">
        <w:rPr>
          <w:rFonts w:cs="Tahoma" w:hAnsi="Tahoma" w:ascii="Tahoma"/>
          <w:iCs/>
          <w:sz w:val="26"/>
          <w:szCs w:val="26"/>
        </w:rPr>
        <w:t xml:space="preserve">  </w:t>
      </w:r>
    </w:p>
    <w:p w:rsidRDefault="00CA1D68" w:rsidR="007F42A9" w:rsidRPr="005C4FA5">
      <w:pPr>
        <w:pStyle w:val="Naslov2"/>
        <w:rPr>
          <w:rFonts w:cs="Tahoma" w:hAnsi="Tahoma" w:ascii="Tahoma"/>
          <w:sz w:val="26"/>
          <w:szCs w:val="26"/>
        </w:rPr>
      </w:pPr>
      <w:r w:rsidRPr="005C4FA5">
        <w:rPr>
          <w:rFonts w:cs="Tahoma" w:hAnsi="Tahoma" w:ascii="Tahoma"/>
          <w:sz w:val="26"/>
          <w:szCs w:val="26"/>
        </w:rPr>
        <w:t xml:space="preserve"> 40</w:t>
      </w:r>
      <w:r w:rsidR="005F0C99" w:rsidRPr="005C4FA5">
        <w:rPr>
          <w:rFonts w:cs="Tahoma" w:hAnsi="Tahoma" w:ascii="Tahoma"/>
          <w:sz w:val="26"/>
          <w:szCs w:val="26"/>
        </w:rPr>
        <w:t>319</w:t>
      </w:r>
      <w:r w:rsidRPr="005C4FA5">
        <w:rPr>
          <w:rFonts w:cs="Tahoma" w:hAnsi="Tahoma" w:ascii="Tahoma"/>
          <w:sz w:val="26"/>
          <w:szCs w:val="26"/>
        </w:rPr>
        <w:t xml:space="preserve"> </w:t>
      </w:r>
      <w:r w:rsidR="005F0C99" w:rsidRPr="005C4FA5">
        <w:rPr>
          <w:rFonts w:cs="Tahoma" w:hAnsi="Tahoma" w:ascii="Tahoma"/>
          <w:sz w:val="26"/>
          <w:szCs w:val="26"/>
        </w:rPr>
        <w:t>Belica</w:t>
      </w:r>
      <w:r w:rsidRPr="005C4FA5">
        <w:rPr>
          <w:rFonts w:cs="Tahoma" w:hAnsi="Tahoma" w:ascii="Tahoma"/>
          <w:sz w:val="26"/>
          <w:szCs w:val="26"/>
        </w:rPr>
        <w:t xml:space="preserve">, </w:t>
      </w:r>
      <w:r w:rsidR="005F0C99" w:rsidRPr="005C4FA5">
        <w:rPr>
          <w:rFonts w:cs="Tahoma" w:hAnsi="Tahoma" w:ascii="Tahoma"/>
          <w:sz w:val="26"/>
          <w:szCs w:val="26"/>
        </w:rPr>
        <w:t>Braće Radića 48</w:t>
      </w:r>
    </w:p>
    <w:p w:rsidRDefault="007F42A9" w:rsidP="00570841" w:rsidR="007F42A9" w:rsidRPr="005C4FA5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Tahoma" w:hAnsi="Tahoma" w:ascii="Tahoma"/>
          <w:sz w:val="26"/>
          <w:szCs w:val="26"/>
        </w:rPr>
      </w:pPr>
    </w:p>
    <w:p w:rsidRDefault="00B3649F" w:rsidP="0034582B" w:rsidR="00B3649F" w:rsidRPr="005C4FA5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Tahoma" w:hAnsi="Tahoma" w:ascii="Tahoma"/>
          <w:b/>
          <w:bCs/>
          <w:sz w:val="26"/>
          <w:szCs w:val="26"/>
        </w:rPr>
      </w:pPr>
      <w:r w:rsidRPr="005C4FA5">
        <w:rPr>
          <w:rFonts w:cs="Tahoma" w:hAnsi="Tahoma" w:ascii="Tahoma"/>
          <w:b/>
          <w:bCs/>
          <w:sz w:val="26"/>
          <w:szCs w:val="26"/>
        </w:rPr>
        <w:t xml:space="preserve">Stečajni upravitelj:  </w:t>
      </w:r>
      <w:r w:rsidR="005F0C99" w:rsidRPr="005C4FA5">
        <w:rPr>
          <w:rFonts w:cs="Tahoma" w:hAnsi="Tahoma" w:ascii="Tahoma"/>
          <w:b/>
          <w:bCs/>
          <w:sz w:val="26"/>
          <w:szCs w:val="26"/>
        </w:rPr>
        <w:t>Zvonko Hrain</w:t>
      </w:r>
      <w:r w:rsidRPr="005C4FA5">
        <w:rPr>
          <w:rFonts w:cs="Tahoma" w:hAnsi="Tahoma" w:ascii="Tahoma"/>
          <w:b/>
          <w:bCs/>
          <w:sz w:val="26"/>
          <w:szCs w:val="26"/>
        </w:rPr>
        <w:t xml:space="preserve">, 42000 Varaždin, </w:t>
      </w:r>
      <w:r w:rsidR="005F0C99" w:rsidRPr="005C4FA5">
        <w:rPr>
          <w:rFonts w:cs="Tahoma" w:hAnsi="Tahoma" w:ascii="Tahoma"/>
          <w:b/>
          <w:bCs/>
          <w:sz w:val="26"/>
          <w:szCs w:val="26"/>
        </w:rPr>
        <w:t>Zagrebačka</w:t>
      </w:r>
      <w:r w:rsidRPr="005C4FA5">
        <w:rPr>
          <w:rFonts w:cs="Tahoma" w:hAnsi="Tahoma" w:ascii="Tahoma"/>
          <w:b/>
          <w:bCs/>
          <w:sz w:val="26"/>
          <w:szCs w:val="26"/>
        </w:rPr>
        <w:t xml:space="preserve"> </w:t>
      </w:r>
      <w:r w:rsidR="005F0C99" w:rsidRPr="005C4FA5">
        <w:rPr>
          <w:rFonts w:cs="Tahoma" w:hAnsi="Tahoma" w:ascii="Tahoma"/>
          <w:b/>
          <w:bCs/>
          <w:sz w:val="26"/>
          <w:szCs w:val="26"/>
        </w:rPr>
        <w:t>51</w:t>
      </w:r>
      <w:r w:rsidRPr="005C4FA5">
        <w:rPr>
          <w:rFonts w:cs="Tahoma" w:hAnsi="Tahoma" w:ascii="Tahoma"/>
          <w:b/>
          <w:bCs/>
          <w:sz w:val="26"/>
          <w:szCs w:val="26"/>
        </w:rPr>
        <w:t>,</w:t>
      </w:r>
      <w:r w:rsidR="003A0619" w:rsidRPr="005C4FA5">
        <w:rPr>
          <w:rFonts w:cs="Tahoma" w:hAnsi="Tahoma" w:ascii="Tahoma"/>
          <w:b/>
          <w:bCs/>
          <w:sz w:val="26"/>
          <w:szCs w:val="26"/>
        </w:rPr>
        <w:t xml:space="preserve">       </w:t>
      </w:r>
      <w:r w:rsidRPr="005C4FA5">
        <w:rPr>
          <w:rFonts w:cs="Tahoma" w:hAnsi="Tahoma" w:ascii="Tahoma"/>
          <w:b/>
          <w:bCs/>
          <w:sz w:val="26"/>
          <w:szCs w:val="26"/>
        </w:rPr>
        <w:t xml:space="preserve"> </w:t>
      </w:r>
    </w:p>
    <w:p w:rsidRDefault="004E0C17" w:rsidP="004E0C17" w:rsidR="004E0C17" w:rsidRPr="005C4FA5">
      <w:pPr>
        <w:jc w:val="both"/>
        <w:rPr>
          <w:rFonts w:cs="Tahoma" w:hAnsi="Tahoma" w:ascii="Tahoma"/>
          <w:sz w:val="26"/>
          <w:szCs w:val="26"/>
        </w:rPr>
      </w:pPr>
    </w:p>
    <w:p w:rsidRDefault="004E0C17" w:rsidP="004E0C17" w:rsidR="004E0C17" w:rsidRPr="005C4FA5">
      <w:pPr>
        <w:jc w:val="both"/>
        <w:rPr>
          <w:rFonts w:cs="Tahoma" w:hAnsi="Tahoma" w:ascii="Tahoma"/>
          <w:sz w:val="24"/>
          <w:szCs w:val="24"/>
        </w:rPr>
      </w:pPr>
    </w:p>
    <w:p w:rsidRDefault="00FD7DC9" w:rsidP="004E0C17" w:rsidR="00FD7DC9" w:rsidRPr="005C4FA5">
      <w:pPr>
        <w:jc w:val="both"/>
        <w:rPr>
          <w:rFonts w:cs="Tahoma" w:hAnsi="Tahoma" w:ascii="Tahoma"/>
          <w:sz w:val="24"/>
          <w:szCs w:val="24"/>
        </w:rPr>
      </w:pPr>
    </w:p>
    <w:p w:rsidRDefault="00EE2609" w:rsidP="00EE2609" w:rsidR="00EE2609" w:rsidRPr="005C4FA5">
      <w:pPr>
        <w:tabs>
          <w:tab w:pos="7725" w:val="left"/>
        </w:tabs>
        <w:jc w:val="right"/>
        <w:rPr>
          <w:rFonts w:cs="Tahoma" w:hAnsi="Tahoma" w:ascii="Tahoma"/>
          <w:b/>
          <w:sz w:val="24"/>
          <w:szCs w:val="24"/>
        </w:rPr>
      </w:pPr>
      <w:r w:rsidRPr="005C4FA5">
        <w:rPr>
          <w:rFonts w:cs="Tahoma" w:hAnsi="Tahoma" w:ascii="Tahoma"/>
          <w:b/>
          <w:sz w:val="24"/>
          <w:szCs w:val="24"/>
        </w:rPr>
        <w:t>TRGOVAČKI SUD U VARAŽDINU</w:t>
      </w:r>
    </w:p>
    <w:p w:rsidRDefault="00EE2609" w:rsidP="00EE2609" w:rsidR="00FD7DC9" w:rsidRPr="005C4FA5">
      <w:pPr>
        <w:tabs>
          <w:tab w:pos="7725" w:val="left"/>
        </w:tabs>
        <w:jc w:val="right"/>
        <w:rPr>
          <w:rFonts w:cs="Tahoma" w:hAnsi="Tahoma" w:ascii="Tahoma"/>
          <w:b/>
          <w:sz w:val="24"/>
          <w:szCs w:val="24"/>
        </w:rPr>
      </w:pPr>
      <w:r w:rsidRPr="005C4FA5">
        <w:rPr>
          <w:rFonts w:cs="Tahoma" w:hAnsi="Tahoma" w:ascii="Tahoma"/>
          <w:b/>
          <w:sz w:val="24"/>
          <w:szCs w:val="24"/>
        </w:rPr>
        <w:t xml:space="preserve">Poslovni broj : St-88/13  </w:t>
      </w:r>
    </w:p>
    <w:p w:rsidRDefault="00FA3B02" w:rsidP="00EE2609" w:rsidR="00FA3B02" w:rsidRPr="005C4FA5">
      <w:pPr>
        <w:jc w:val="right"/>
        <w:rPr>
          <w:rFonts w:cs="Tahoma" w:hAnsi="Tahoma" w:ascii="Tahoma"/>
          <w:b/>
          <w:sz w:val="24"/>
          <w:szCs w:val="24"/>
        </w:rPr>
      </w:pPr>
    </w:p>
    <w:p w:rsidRDefault="005F0C99" w:rsidP="004E0C17" w:rsidR="00055CF4" w:rsidRPr="005C4FA5">
      <w:pPr>
        <w:jc w:val="both"/>
        <w:rPr>
          <w:rFonts w:cs="Tahoma" w:hAnsi="Tahoma" w:ascii="Tahoma"/>
          <w:b/>
          <w:sz w:val="24"/>
          <w:szCs w:val="24"/>
        </w:rPr>
      </w:pPr>
      <w:r w:rsidRPr="005C4FA5">
        <w:rPr>
          <w:rFonts w:cs="Tahoma" w:hAnsi="Tahoma" w:ascii="Tahoma"/>
          <w:b/>
          <w:sz w:val="24"/>
          <w:szCs w:val="24"/>
        </w:rPr>
        <w:t>P</w:t>
      </w:r>
      <w:r w:rsidR="00EE2609" w:rsidRPr="005C4FA5">
        <w:rPr>
          <w:rFonts w:cs="Tahoma" w:hAnsi="Tahoma" w:ascii="Tahoma"/>
          <w:b/>
          <w:sz w:val="24"/>
          <w:szCs w:val="24"/>
        </w:rPr>
        <w:t>odnesak stečajnog upravitelja</w:t>
      </w:r>
      <w:r w:rsidRPr="005C4FA5">
        <w:rPr>
          <w:rFonts w:cs="Tahoma" w:hAnsi="Tahoma" w:ascii="Tahoma"/>
          <w:b/>
          <w:sz w:val="24"/>
          <w:szCs w:val="24"/>
        </w:rPr>
        <w:t xml:space="preserve"> </w:t>
      </w:r>
    </w:p>
    <w:p w:rsidRDefault="00C70695" w:rsidP="004E0C17" w:rsidR="00C70695" w:rsidRPr="005C4FA5">
      <w:pPr>
        <w:jc w:val="both"/>
        <w:rPr>
          <w:rFonts w:cs="Tahoma" w:hAnsi="Tahoma" w:ascii="Tahoma"/>
          <w:b/>
          <w:sz w:val="24"/>
          <w:szCs w:val="24"/>
        </w:rPr>
      </w:pPr>
    </w:p>
    <w:p w:rsidRDefault="00C70695" w:rsidP="00C70695" w:rsidR="00C70695" w:rsidRPr="005C4FA5">
      <w:pPr>
        <w:spacing w:lineRule="auto" w:line="288"/>
        <w:jc w:val="both"/>
        <w:rPr>
          <w:rFonts w:cs="Tahoma" w:hAnsi="Tahoma" w:ascii="Tahoma"/>
          <w:b/>
          <w:sz w:val="24"/>
          <w:szCs w:val="24"/>
        </w:rPr>
      </w:pPr>
    </w:p>
    <w:p w:rsidRDefault="00C70695" w:rsidP="00C00132" w:rsidR="00C70695" w:rsidRPr="005C4FA5">
      <w:pPr>
        <w:spacing w:lineRule="auto" w:line="288"/>
        <w:jc w:val="both"/>
        <w:rPr>
          <w:rFonts w:cs="Tahoma" w:hAnsi="Tahoma" w:ascii="Tahoma"/>
          <w:sz w:val="24"/>
          <w:szCs w:val="24"/>
        </w:rPr>
      </w:pPr>
      <w:r w:rsidRPr="005C4FA5">
        <w:rPr>
          <w:rFonts w:cs="Tahoma" w:hAnsi="Tahoma" w:ascii="Tahoma"/>
          <w:sz w:val="24"/>
          <w:szCs w:val="24"/>
        </w:rPr>
        <w:t>U stečajnom postupku koji se vodi kod Trgovačkog suda u Varaždinu pod brojem St-88/13 nad TD BETEX d.o.o. u stečaju, Belica,</w:t>
      </w:r>
      <w:r w:rsidR="00F83A19" w:rsidRPr="005C4FA5">
        <w:rPr>
          <w:rFonts w:cs="Tahoma" w:hAnsi="Tahoma" w:ascii="Tahoma"/>
          <w:sz w:val="24"/>
          <w:szCs w:val="24"/>
        </w:rPr>
        <w:t xml:space="preserve"> </w:t>
      </w:r>
      <w:r w:rsidRPr="005C4FA5">
        <w:rPr>
          <w:rFonts w:cs="Tahoma" w:hAnsi="Tahoma" w:ascii="Tahoma"/>
          <w:sz w:val="24"/>
          <w:szCs w:val="24"/>
        </w:rPr>
        <w:t xml:space="preserve">B. Radića 48, na temelju suglasnosti odbora vjerovnika, stečajni upravitelj, sukladno </w:t>
      </w:r>
      <w:r w:rsidR="002349CD" w:rsidRPr="005C4FA5">
        <w:rPr>
          <w:rFonts w:cs="Tahoma" w:hAnsi="Tahoma" w:ascii="Tahoma"/>
          <w:sz w:val="24"/>
          <w:szCs w:val="24"/>
        </w:rPr>
        <w:t>č</w:t>
      </w:r>
      <w:r w:rsidRPr="005C4FA5">
        <w:rPr>
          <w:rFonts w:cs="Tahoma" w:hAnsi="Tahoma" w:ascii="Tahoma"/>
          <w:sz w:val="24"/>
          <w:szCs w:val="24"/>
        </w:rPr>
        <w:t>l. 184. st.2. Stečajnog zakona,</w:t>
      </w:r>
      <w:r w:rsidR="001D1159" w:rsidRPr="005C4FA5">
        <w:rPr>
          <w:rFonts w:cs="Tahoma" w:hAnsi="Tahoma" w:ascii="Tahoma"/>
          <w:sz w:val="24"/>
          <w:szCs w:val="24"/>
        </w:rPr>
        <w:t xml:space="preserve"> </w:t>
      </w:r>
      <w:r w:rsidRPr="005C4FA5">
        <w:rPr>
          <w:rFonts w:cs="Tahoma" w:hAnsi="Tahoma" w:ascii="Tahoma"/>
          <w:sz w:val="24"/>
          <w:szCs w:val="24"/>
        </w:rPr>
        <w:t>objavljuje</w:t>
      </w:r>
      <w:r w:rsidR="00F83A19" w:rsidRPr="005C4FA5">
        <w:rPr>
          <w:rFonts w:cs="Tahoma" w:hAnsi="Tahoma" w:ascii="Tahoma"/>
          <w:sz w:val="24"/>
          <w:szCs w:val="24"/>
        </w:rPr>
        <w:t xml:space="preserve"> </w:t>
      </w:r>
      <w:r w:rsidR="00EE2609" w:rsidRPr="005C4FA5">
        <w:rPr>
          <w:rFonts w:cs="Tahoma" w:hAnsi="Tahoma" w:ascii="Tahoma"/>
          <w:sz w:val="24"/>
          <w:szCs w:val="24"/>
        </w:rPr>
        <w:t>V</w:t>
      </w:r>
      <w:r w:rsidR="0068775C" w:rsidRPr="005C4FA5">
        <w:rPr>
          <w:rFonts w:cs="Tahoma" w:hAnsi="Tahoma" w:ascii="Tahoma"/>
          <w:sz w:val="24"/>
          <w:szCs w:val="24"/>
        </w:rPr>
        <w:t>I</w:t>
      </w:r>
      <w:r w:rsidR="00F83A19" w:rsidRPr="005C4FA5">
        <w:rPr>
          <w:rFonts w:cs="Tahoma" w:hAnsi="Tahoma" w:ascii="Tahoma"/>
          <w:sz w:val="24"/>
          <w:szCs w:val="24"/>
        </w:rPr>
        <w:t>.</w:t>
      </w:r>
      <w:r w:rsidR="00EE2609" w:rsidRPr="005C4FA5">
        <w:rPr>
          <w:rFonts w:cs="Tahoma" w:hAnsi="Tahoma" w:ascii="Tahoma"/>
          <w:sz w:val="24"/>
          <w:szCs w:val="24"/>
        </w:rPr>
        <w:t xml:space="preserve"> </w:t>
      </w:r>
      <w:r w:rsidRPr="005C4FA5">
        <w:rPr>
          <w:rFonts w:cs="Tahoma" w:hAnsi="Tahoma" w:ascii="Tahoma"/>
          <w:sz w:val="24"/>
          <w:szCs w:val="24"/>
        </w:rPr>
        <w:t>djelomičnu diobu za namirenje tražbina stečajnih vjerovnika I. višeg isplatnog reda</w:t>
      </w:r>
      <w:r w:rsidR="005C4FA5" w:rsidRPr="005C4FA5">
        <w:rPr>
          <w:rFonts w:cs="Tahoma" w:hAnsi="Tahoma" w:ascii="Tahoma"/>
          <w:sz w:val="24"/>
          <w:szCs w:val="24"/>
        </w:rPr>
        <w:t xml:space="preserve"> </w:t>
      </w:r>
      <w:r w:rsidRPr="005C4FA5">
        <w:rPr>
          <w:rFonts w:cs="Tahoma" w:hAnsi="Tahoma" w:ascii="Tahoma"/>
          <w:sz w:val="24"/>
          <w:szCs w:val="24"/>
        </w:rPr>
        <w:t>.</w:t>
      </w:r>
    </w:p>
    <w:p w:rsidRDefault="002349CD" w:rsidP="00C00132" w:rsidR="002349CD" w:rsidRPr="005C4FA5">
      <w:pPr>
        <w:spacing w:lineRule="auto" w:line="288"/>
        <w:rPr>
          <w:rFonts w:cs="Tahoma" w:hAnsi="Tahoma" w:ascii="Tahoma"/>
          <w:sz w:val="24"/>
          <w:szCs w:val="24"/>
        </w:rPr>
      </w:pPr>
    </w:p>
    <w:p w:rsidRDefault="00EE2609" w:rsidP="00C00132" w:rsidR="00C70695" w:rsidRPr="005C4FA5">
      <w:pPr>
        <w:spacing w:lineRule="auto" w:line="288"/>
        <w:rPr>
          <w:rFonts w:cs="Tahoma" w:hAnsi="Tahoma" w:ascii="Tahoma"/>
          <w:sz w:val="24"/>
          <w:szCs w:val="24"/>
        </w:rPr>
      </w:pPr>
      <w:r w:rsidRPr="005C4FA5">
        <w:rPr>
          <w:rFonts w:cs="Tahoma" w:hAnsi="Tahoma" w:ascii="Tahoma"/>
          <w:sz w:val="24"/>
          <w:szCs w:val="24"/>
        </w:rPr>
        <w:t xml:space="preserve">S obzirom da ostvarena novčana sredstva na računu stečajnog dužnika to omogućuju, predlaže se da se tražbine I. višeg isplatnog reda u </w:t>
      </w:r>
      <w:r w:rsidR="00887EF2" w:rsidRPr="005C4FA5">
        <w:rPr>
          <w:rFonts w:cs="Tahoma" w:hAnsi="Tahoma" w:ascii="Tahoma"/>
          <w:sz w:val="24"/>
          <w:szCs w:val="24"/>
        </w:rPr>
        <w:t xml:space="preserve"> V</w:t>
      </w:r>
      <w:r w:rsidR="005C4FA5" w:rsidRPr="005C4FA5">
        <w:rPr>
          <w:rFonts w:cs="Tahoma" w:hAnsi="Tahoma" w:ascii="Tahoma"/>
          <w:sz w:val="24"/>
          <w:szCs w:val="24"/>
        </w:rPr>
        <w:t>I</w:t>
      </w:r>
      <w:r w:rsidR="00887EF2" w:rsidRPr="005C4FA5">
        <w:rPr>
          <w:rFonts w:cs="Tahoma" w:hAnsi="Tahoma" w:ascii="Tahoma"/>
          <w:sz w:val="24"/>
          <w:szCs w:val="24"/>
        </w:rPr>
        <w:t xml:space="preserve">. djelomičnoj </w:t>
      </w:r>
      <w:r w:rsidRPr="005C4FA5">
        <w:rPr>
          <w:rFonts w:cs="Tahoma" w:hAnsi="Tahoma" w:ascii="Tahoma"/>
          <w:sz w:val="24"/>
          <w:szCs w:val="24"/>
        </w:rPr>
        <w:t xml:space="preserve">diobi  namire u ukupnom iznosu od </w:t>
      </w:r>
      <w:r w:rsidR="005C4FA5" w:rsidRPr="005C4FA5">
        <w:rPr>
          <w:rFonts w:cs="Tahoma" w:hAnsi="Tahoma" w:ascii="Tahoma"/>
          <w:sz w:val="24"/>
          <w:szCs w:val="24"/>
        </w:rPr>
        <w:t>747</w:t>
      </w:r>
      <w:r w:rsidRPr="005C4FA5">
        <w:rPr>
          <w:rFonts w:cs="Tahoma" w:hAnsi="Tahoma" w:ascii="Tahoma"/>
          <w:sz w:val="24"/>
          <w:szCs w:val="24"/>
        </w:rPr>
        <w:t>.</w:t>
      </w:r>
      <w:r w:rsidR="005C4FA5" w:rsidRPr="005C4FA5">
        <w:rPr>
          <w:rFonts w:cs="Tahoma" w:hAnsi="Tahoma" w:ascii="Tahoma"/>
          <w:sz w:val="24"/>
          <w:szCs w:val="24"/>
        </w:rPr>
        <w:t>542,89</w:t>
      </w:r>
      <w:r w:rsidRPr="005C4FA5">
        <w:rPr>
          <w:rFonts w:cs="Tahoma" w:hAnsi="Tahoma" w:ascii="Tahoma"/>
          <w:sz w:val="24"/>
          <w:szCs w:val="24"/>
        </w:rPr>
        <w:t xml:space="preserve"> kn</w:t>
      </w:r>
      <w:r w:rsidR="00C70695" w:rsidRPr="005C4FA5">
        <w:rPr>
          <w:rFonts w:cs="Tahoma" w:hAnsi="Tahoma" w:ascii="Tahoma"/>
          <w:sz w:val="24"/>
          <w:szCs w:val="24"/>
        </w:rPr>
        <w:t>,</w:t>
      </w:r>
      <w:r w:rsidR="002349CD" w:rsidRPr="005C4FA5">
        <w:rPr>
          <w:rFonts w:cs="Tahoma" w:hAnsi="Tahoma" w:ascii="Tahoma"/>
          <w:sz w:val="24"/>
          <w:szCs w:val="24"/>
        </w:rPr>
        <w:t xml:space="preserve"> </w:t>
      </w:r>
      <w:r w:rsidR="00C70695" w:rsidRPr="005C4FA5">
        <w:rPr>
          <w:rFonts w:cs="Tahoma" w:hAnsi="Tahoma" w:ascii="Tahoma"/>
          <w:sz w:val="24"/>
          <w:szCs w:val="24"/>
        </w:rPr>
        <w:t xml:space="preserve">odnosno </w:t>
      </w:r>
      <w:r w:rsidRPr="005C4FA5">
        <w:rPr>
          <w:rFonts w:cs="Tahoma" w:hAnsi="Tahoma" w:ascii="Tahoma"/>
          <w:sz w:val="24"/>
          <w:szCs w:val="24"/>
        </w:rPr>
        <w:t xml:space="preserve">namirenje od </w:t>
      </w:r>
      <w:r w:rsidR="005C4FA5" w:rsidRPr="005C4FA5">
        <w:rPr>
          <w:rFonts w:cs="Tahoma" w:hAnsi="Tahoma" w:ascii="Tahoma"/>
          <w:sz w:val="24"/>
          <w:szCs w:val="24"/>
        </w:rPr>
        <w:t>6</w:t>
      </w:r>
      <w:r w:rsidRPr="005C4FA5">
        <w:rPr>
          <w:rFonts w:cs="Tahoma" w:hAnsi="Tahoma" w:ascii="Tahoma"/>
          <w:sz w:val="24"/>
          <w:szCs w:val="24"/>
        </w:rPr>
        <w:t xml:space="preserve"> </w:t>
      </w:r>
      <w:r w:rsidR="00C70695" w:rsidRPr="005C4FA5">
        <w:rPr>
          <w:rFonts w:cs="Tahoma" w:hAnsi="Tahoma" w:ascii="Tahoma"/>
          <w:sz w:val="24"/>
          <w:szCs w:val="24"/>
        </w:rPr>
        <w:t>%</w:t>
      </w:r>
      <w:r w:rsidRPr="005C4FA5">
        <w:rPr>
          <w:rFonts w:cs="Tahoma" w:hAnsi="Tahoma" w:ascii="Tahoma"/>
          <w:sz w:val="24"/>
          <w:szCs w:val="24"/>
        </w:rPr>
        <w:t xml:space="preserve"> priznatih tražbina</w:t>
      </w:r>
      <w:r w:rsidR="00F52C39" w:rsidRPr="005C4FA5">
        <w:rPr>
          <w:rFonts w:cs="Tahoma" w:hAnsi="Tahoma" w:ascii="Tahoma"/>
          <w:sz w:val="24"/>
          <w:szCs w:val="24"/>
        </w:rPr>
        <w:t>.</w:t>
      </w:r>
      <w:r w:rsidR="00DB193E" w:rsidRPr="005C4FA5">
        <w:rPr>
          <w:rFonts w:cs="Tahoma" w:hAnsi="Tahoma" w:ascii="Tahoma"/>
          <w:sz w:val="24"/>
          <w:szCs w:val="24"/>
        </w:rPr>
        <w:t xml:space="preserve"> </w:t>
      </w:r>
    </w:p>
    <w:p w:rsidRDefault="00FD7DC9" w:rsidP="00C00132" w:rsidR="00FD7DC9" w:rsidRPr="005C4FA5">
      <w:pPr>
        <w:spacing w:lineRule="auto" w:line="288"/>
        <w:rPr>
          <w:rFonts w:cs="Tahoma" w:hAnsi="Tahoma" w:ascii="Tahoma"/>
          <w:sz w:val="24"/>
          <w:szCs w:val="24"/>
        </w:rPr>
      </w:pPr>
    </w:p>
    <w:p w:rsidRDefault="00FA5AE4" w:rsidP="00FA5AE4" w:rsidR="00FA5AE4" w:rsidRPr="005C4FA5">
      <w:pPr>
        <w:spacing w:lineRule="auto" w:line="288"/>
        <w:rPr>
          <w:rFonts w:cs="Tahoma" w:hAnsi="Tahoma" w:ascii="Tahoma"/>
          <w:sz w:val="24"/>
          <w:szCs w:val="24"/>
        </w:rPr>
      </w:pPr>
      <w:r w:rsidRPr="005C4FA5">
        <w:rPr>
          <w:rFonts w:cs="Tahoma" w:hAnsi="Tahoma" w:ascii="Tahoma"/>
          <w:sz w:val="24"/>
          <w:szCs w:val="24"/>
        </w:rPr>
        <w:t>Stečajni vjerovnici mogu u roku od 8 (osam) dana od dana objave ovog oglasa podnijeti stečajnom sucu prigovor na diobeni popis prema čl.190.SZ.</w:t>
      </w:r>
    </w:p>
    <w:p w:rsidRDefault="00FA5AE4" w:rsidP="00FA5AE4" w:rsidR="00FA5AE4" w:rsidRPr="005C4FA5">
      <w:pPr>
        <w:spacing w:lineRule="auto" w:line="288"/>
        <w:rPr>
          <w:rFonts w:cs="Tahoma" w:hAnsi="Tahoma" w:ascii="Tahoma"/>
          <w:sz w:val="24"/>
          <w:szCs w:val="24"/>
        </w:rPr>
      </w:pPr>
    </w:p>
    <w:p w:rsidRDefault="00FA5AE4" w:rsidP="00C00132" w:rsidR="00FA5AE4" w:rsidRPr="005C4FA5">
      <w:pPr>
        <w:spacing w:lineRule="auto" w:line="288"/>
        <w:rPr>
          <w:rFonts w:cs="Tahoma" w:hAnsi="Tahoma" w:ascii="Tahoma"/>
          <w:sz w:val="24"/>
          <w:szCs w:val="24"/>
        </w:rPr>
      </w:pPr>
    </w:p>
    <w:p w:rsidRDefault="00EE2609" w:rsidP="00C00132" w:rsidR="005F0C99" w:rsidRPr="005C4FA5">
      <w:pPr>
        <w:spacing w:lineRule="auto" w:line="288"/>
        <w:rPr>
          <w:rFonts w:cs="Tahoma" w:hAnsi="Tahoma" w:ascii="Tahoma"/>
          <w:sz w:val="24"/>
          <w:szCs w:val="24"/>
        </w:rPr>
      </w:pPr>
      <w:r w:rsidRPr="005C4FA5">
        <w:rPr>
          <w:rFonts w:cs="Tahoma" w:hAnsi="Tahoma" w:ascii="Tahoma"/>
          <w:sz w:val="24"/>
          <w:szCs w:val="24"/>
        </w:rPr>
        <w:t>Prijedlog diobenog popisa V</w:t>
      </w:r>
      <w:r w:rsidR="005C4FA5" w:rsidRPr="005C4FA5">
        <w:rPr>
          <w:rFonts w:cs="Tahoma" w:hAnsi="Tahoma" w:ascii="Tahoma"/>
          <w:sz w:val="24"/>
          <w:szCs w:val="24"/>
        </w:rPr>
        <w:t>I</w:t>
      </w:r>
      <w:r w:rsidRPr="005C4FA5">
        <w:rPr>
          <w:rFonts w:cs="Tahoma" w:hAnsi="Tahoma" w:ascii="Tahoma"/>
          <w:sz w:val="24"/>
          <w:szCs w:val="24"/>
        </w:rPr>
        <w:t xml:space="preserve">. djelomične diobe dostavlja se sudu i u elektroničkom obliku radi objave na -e-Oglasnoj ploči suda ,a pismeno izrađeni prijedlog diobnog popisa dostavlja se i radi izlaganja u sudskoj pisarnici. </w:t>
      </w:r>
    </w:p>
    <w:p w:rsidRDefault="005F0C99" w:rsidP="00C00132" w:rsidR="005F0C99" w:rsidRPr="005C4FA5">
      <w:pPr>
        <w:spacing w:lineRule="auto" w:line="288"/>
        <w:rPr>
          <w:rFonts w:cs="Tahoma" w:hAnsi="Tahoma" w:ascii="Tahoma"/>
          <w:sz w:val="24"/>
          <w:szCs w:val="24"/>
        </w:rPr>
      </w:pPr>
    </w:p>
    <w:p w:rsidRDefault="005F0C99" w:rsidP="001F5C11" w:rsidR="005F0C99" w:rsidRPr="005C4FA5">
      <w:pPr>
        <w:spacing w:lineRule="auto" w:line="288"/>
        <w:jc w:val="both"/>
        <w:rPr>
          <w:rFonts w:cs="Tahoma" w:hAnsi="Tahoma" w:ascii="Tahoma"/>
          <w:sz w:val="24"/>
          <w:szCs w:val="24"/>
        </w:rPr>
      </w:pPr>
    </w:p>
    <w:p w:rsidRDefault="00A164E1" w:rsidP="005139DD" w:rsidR="005F0C99" w:rsidRPr="005C4FA5">
      <w:pPr>
        <w:tabs>
          <w:tab w:pos="3631" w:val="left"/>
        </w:tabs>
        <w:spacing w:lineRule="auto" w:line="288"/>
        <w:jc w:val="both"/>
        <w:rPr>
          <w:rFonts w:cs="Tahoma" w:hAnsi="Tahoma" w:ascii="Tahoma"/>
          <w:sz w:val="24"/>
          <w:szCs w:val="24"/>
        </w:rPr>
      </w:pPr>
      <w:r w:rsidRPr="005C4FA5">
        <w:rPr>
          <w:rFonts w:cs="Tahoma" w:hAnsi="Tahoma" w:ascii="Tahoma"/>
          <w:sz w:val="24"/>
          <w:szCs w:val="24"/>
        </w:rPr>
        <w:tab/>
      </w:r>
    </w:p>
    <w:p w:rsidRDefault="00C70695" w:rsidP="00FD7DC9" w:rsidR="005F0C99" w:rsidRPr="005C4FA5">
      <w:pPr>
        <w:spacing w:lineRule="auto" w:line="288"/>
        <w:jc w:val="both"/>
        <w:rPr>
          <w:rFonts w:cs="Tahoma" w:hAnsi="Tahoma" w:ascii="Tahoma"/>
          <w:sz w:val="24"/>
          <w:szCs w:val="24"/>
        </w:rPr>
      </w:pPr>
      <w:r w:rsidRPr="005C4FA5">
        <w:rPr>
          <w:rFonts w:cs="Tahoma" w:hAnsi="Tahoma" w:ascii="Tahoma"/>
          <w:sz w:val="24"/>
          <w:szCs w:val="24"/>
        </w:rPr>
        <w:t xml:space="preserve">                                                                                   </w:t>
      </w:r>
      <w:r w:rsidR="005C4FA5">
        <w:rPr>
          <w:rFonts w:cs="Tahoma" w:hAnsi="Tahoma" w:ascii="Tahoma"/>
          <w:sz w:val="24"/>
          <w:szCs w:val="24"/>
        </w:rPr>
        <w:t xml:space="preserve">za </w:t>
      </w:r>
      <w:r w:rsidRPr="005C4FA5">
        <w:rPr>
          <w:rFonts w:cs="Tahoma" w:hAnsi="Tahoma" w:ascii="Tahoma"/>
          <w:sz w:val="24"/>
          <w:szCs w:val="24"/>
        </w:rPr>
        <w:t>BETEX d.o.o.</w:t>
      </w:r>
      <w:r w:rsidR="00AF410A" w:rsidRPr="005C4FA5">
        <w:rPr>
          <w:rFonts w:cs="Tahoma" w:hAnsi="Tahoma" w:ascii="Tahoma"/>
          <w:sz w:val="24"/>
          <w:szCs w:val="24"/>
        </w:rPr>
        <w:t xml:space="preserve"> </w:t>
      </w:r>
      <w:r w:rsidRPr="005C4FA5">
        <w:rPr>
          <w:rFonts w:cs="Tahoma" w:hAnsi="Tahoma" w:ascii="Tahoma"/>
          <w:sz w:val="24"/>
          <w:szCs w:val="24"/>
        </w:rPr>
        <w:t>u stečaju</w:t>
      </w:r>
    </w:p>
    <w:p w:rsidRDefault="005C4FA5" w:rsidP="00FD7DC9" w:rsidR="005F0C99" w:rsidRPr="005C4FA5">
      <w:pPr>
        <w:spacing w:lineRule="auto" w:line="288"/>
        <w:jc w:val="both"/>
        <w:rPr>
          <w:rFonts w:cs="Tahoma" w:hAnsi="Tahoma" w:ascii="Tahoma"/>
          <w:sz w:val="24"/>
          <w:szCs w:val="24"/>
        </w:rPr>
      </w:pPr>
      <w:r>
        <w:rPr>
          <w:rFonts w:cs="Tahoma" w:hAnsi="Tahoma" w:ascii="Tahoma"/>
          <w:sz w:val="24"/>
          <w:szCs w:val="24"/>
        </w:rPr>
        <w:t xml:space="preserve">                                                                            stečajni upravitelj Zvonko Hrain</w:t>
      </w:r>
    </w:p>
    <w:p w:rsidRDefault="005F0C99" w:rsidP="00FD7DC9" w:rsidR="005F0C99" w:rsidRPr="00C70695">
      <w:pPr>
        <w:spacing w:lineRule="auto" w:line="288"/>
        <w:jc w:val="both"/>
        <w:rPr>
          <w:rFonts w:cs="Arial" w:hAnsi="Century Gothic" w:ascii="Century Gothic"/>
          <w:sz w:val="24"/>
          <w:szCs w:val="24"/>
        </w:rPr>
      </w:pPr>
    </w:p>
    <w:p w:rsidRDefault="005F0C99" w:rsidP="00FD7DC9" w:rsidR="005F0C99" w:rsidRPr="00C70695">
      <w:pPr>
        <w:spacing w:lineRule="auto" w:line="288"/>
        <w:jc w:val="both"/>
        <w:rPr>
          <w:rFonts w:cs="Arial" w:hAnsi="Century Gothic" w:ascii="Century Gothic"/>
          <w:sz w:val="24"/>
          <w:szCs w:val="24"/>
        </w:rPr>
      </w:pPr>
    </w:p>
    <w:p w:rsidRDefault="005F0C99" w:rsidP="00FD7DC9" w:rsidR="005F0C99" w:rsidRPr="00C70695">
      <w:pPr>
        <w:spacing w:lineRule="auto" w:line="288"/>
        <w:jc w:val="both"/>
        <w:rPr>
          <w:rFonts w:cs="Arial" w:hAnsi="Century Gothic" w:ascii="Century Gothic"/>
          <w:sz w:val="24"/>
          <w:szCs w:val="24"/>
        </w:rPr>
      </w:pPr>
    </w:p>
    <w:p w:rsidRDefault="005F0C99" w:rsidP="00FD7DC9" w:rsidR="005F0C99" w:rsidRPr="00C70695">
      <w:pPr>
        <w:spacing w:lineRule="auto" w:line="288"/>
        <w:jc w:val="both"/>
        <w:rPr>
          <w:rFonts w:cs="Arial" w:hAnsi="Century Gothic" w:ascii="Century Gothic"/>
          <w:sz w:val="24"/>
          <w:szCs w:val="24"/>
        </w:rPr>
      </w:pPr>
    </w:p>
    <w:p w:rsidRDefault="005F0C99" w:rsidP="00FD7DC9" w:rsidR="005F0C99" w:rsidRPr="00C70695">
      <w:pPr>
        <w:spacing w:lineRule="auto" w:line="288"/>
        <w:jc w:val="both"/>
        <w:rPr>
          <w:rFonts w:cs="Arial" w:hAnsi="Century Gothic" w:ascii="Century Gothic"/>
          <w:sz w:val="24"/>
          <w:szCs w:val="24"/>
        </w:rPr>
      </w:pPr>
    </w:p>
    <w:sectPr w:rsidSect="00FD7DC9" w:rsidR="005F0C99" w:rsidRPr="00C70695">
      <w:footerReference w:type="default" r:id="rId10"/>
      <w:pgSz w:h="16838" w:w="11906"/>
      <w:pgMar w:gutter="0" w:footer="720" w:header="720" w:left="1418" w:bottom="1021" w:right="1418" w:top="102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668" w:rsidR="00E75668">
      <w:r>
        <w:separator/>
      </w:r>
    </w:p>
  </w:endnote>
  <w:endnote w:id="0" w:type="continuationSeparator">
    <w:p w:rsidRDefault="00E75668" w:rsidR="00E756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DBF" w:rsidR="00862DBF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__________________________________________________________________________________</w:t>
    </w:r>
  </w:p>
  <w:p w:rsidRDefault="00862DBF" w:rsidR="00862DBF" w:rsidRPr="00A164E1">
    <w:pPr>
      <w:pStyle w:val="Podnoje"/>
      <w:rPr>
        <w:rFonts w:hAnsi="Century Gothic" w:ascii="Century Gothic"/>
      </w:rPr>
    </w:pPr>
    <w:r w:rsidRPr="00A164E1">
      <w:rPr>
        <w:rFonts w:hAnsi="Century Gothic" w:ascii="Century Gothic"/>
      </w:rPr>
      <w:t xml:space="preserve">U Varaždinu, </w:t>
    </w:r>
    <w:r w:rsidR="005C4FA5">
      <w:rPr>
        <w:rFonts w:hAnsi="Century Gothic" w:ascii="Century Gothic"/>
      </w:rPr>
      <w:t>29</w:t>
    </w:r>
    <w:r w:rsidRPr="00A164E1">
      <w:rPr>
        <w:rFonts w:hAnsi="Century Gothic" w:ascii="Century Gothic"/>
      </w:rPr>
      <w:t>.</w:t>
    </w:r>
    <w:r w:rsidR="005C4FA5">
      <w:rPr>
        <w:rFonts w:hAnsi="Century Gothic" w:ascii="Century Gothic"/>
      </w:rPr>
      <w:t>11</w:t>
    </w:r>
    <w:r w:rsidRPr="00A164E1">
      <w:rPr>
        <w:rFonts w:hAnsi="Century Gothic" w:ascii="Century Gothic"/>
      </w:rPr>
      <w:t>.201</w:t>
    </w:r>
    <w:r w:rsidR="005C4FA5">
      <w:rPr>
        <w:rFonts w:hAnsi="Century Gothic" w:ascii="Century Gothic"/>
      </w:rPr>
      <w:t>7</w:t>
    </w:r>
    <w:r w:rsidRPr="00A164E1">
      <w:rPr>
        <w:rFonts w:hAnsi="Century Gothic" w:ascii="Century Gothic"/>
      </w:rPr>
      <w:t xml:space="preserve">.                                                               </w:t>
    </w:r>
    <w:r w:rsidR="00A164E1" w:rsidRPr="00A164E1">
      <w:rPr>
        <w:rFonts w:hAnsi="Century Gothic" w:ascii="Century Gothic"/>
      </w:rPr>
      <w:t xml:space="preserve">                           </w:t>
    </w:r>
    <w:r w:rsidRPr="00A164E1">
      <w:rPr>
        <w:rFonts w:hAnsi="Century Gothic" w:ascii="Century Gothic"/>
      </w:rPr>
      <w:t xml:space="preserve">           stranica </w:t>
    </w:r>
    <w:r w:rsidRPr="00A164E1">
      <w:rPr>
        <w:rStyle w:val="Brojstranice"/>
        <w:rFonts w:hAnsi="Century Gothic" w:ascii="Century Gothic"/>
      </w:rPr>
      <w:fldChar w:fldCharType="begin"/>
    </w:r>
    <w:r w:rsidRPr="00A164E1">
      <w:rPr>
        <w:rStyle w:val="Brojstranice"/>
        <w:rFonts w:hAnsi="Century Gothic" w:ascii="Century Gothic"/>
      </w:rPr>
      <w:instrText xml:space="preserve"> PAGE </w:instrText>
    </w:r>
    <w:r w:rsidRPr="00A164E1">
      <w:rPr>
        <w:rStyle w:val="Brojstranice"/>
        <w:rFonts w:hAnsi="Century Gothic" w:ascii="Century Gothic"/>
      </w:rPr>
      <w:fldChar w:fldCharType="separate"/>
    </w:r>
    <w:r w:rsidR="00134375">
      <w:rPr>
        <w:rStyle w:val="Brojstranice"/>
        <w:rFonts w:hAnsi="Century Gothic" w:ascii="Century Gothic"/>
        <w:noProof/>
      </w:rPr>
      <w:t>1</w:t>
    </w:r>
    <w:r w:rsidRPr="00A164E1">
      <w:rPr>
        <w:rStyle w:val="Brojstranice"/>
        <w:rFonts w:hAnsi="Century Gothic" w:ascii="Century Gothic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668" w:rsidR="00E75668">
      <w:r>
        <w:separator/>
      </w:r>
    </w:p>
  </w:footnote>
  <w:footnote w:id="0" w:type="continuationSeparator">
    <w:p w:rsidRDefault="00E75668" w:rsidR="00E7566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B14F1"/>
    <w:multiLevelType w:val="hybridMultilevel"/>
    <w:tmpl w:val="458A3D88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A33468"/>
    <w:multiLevelType w:val="singleLevel"/>
    <w:tmpl w:val="510819BE"/>
    <w:lvl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hAnsi="Times New Roman" w:ascii="Times New Roman" w:hint="default"/>
      </w:rPr>
    </w:lvl>
  </w:abstractNum>
  <w:abstractNum w:abstractNumId="2">
    <w:nsid w:val="088D3C88"/>
    <w:multiLevelType w:val="multilevel"/>
    <w:tmpl w:val="458A3D88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F7D72D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">
    <w:nsid w:val="10CA3C1B"/>
    <w:multiLevelType w:val="hybridMultilevel"/>
    <w:tmpl w:val="15F83AF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5A4F8A"/>
    <w:multiLevelType w:val="hybridMultilevel"/>
    <w:tmpl w:val="788032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06D0C70"/>
    <w:multiLevelType w:val="hybridMultilevel"/>
    <w:tmpl w:val="9C68EF2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463453"/>
    <w:multiLevelType w:val="singleLevel"/>
    <w:tmpl w:val="7758F378"/>
    <w:lvl w:ilvl="0">
      <w:numFmt w:val="bullet"/>
      <w:lvlText w:val="-"/>
      <w:lvlJc w:val="left"/>
      <w:pPr>
        <w:tabs>
          <w:tab w:pos="555" w:val="num"/>
        </w:tabs>
        <w:ind w:hanging="360" w:left="555"/>
      </w:pPr>
      <w:rPr>
        <w:rFonts w:hAnsi="Times New Roman" w:ascii="Times New Roman" w:hint="default"/>
      </w:rPr>
    </w:lvl>
  </w:abstractNum>
  <w:abstractNum w:abstractNumId="8">
    <w:nsid w:val="38F26B57"/>
    <w:multiLevelType w:val="hybridMultilevel"/>
    <w:tmpl w:val="FF10A376"/>
    <w:lvl w:tplc="E8CA0BF2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CDB5025"/>
    <w:multiLevelType w:val="hybridMultilevel"/>
    <w:tmpl w:val="A6B86CC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D5A54B0"/>
    <w:multiLevelType w:val="hybridMultilevel"/>
    <w:tmpl w:val="C718719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FAF5AAF"/>
    <w:multiLevelType w:val="hybridMultilevel"/>
    <w:tmpl w:val="625CE3F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6A28028C" w:ilvl="2">
      <w:start w:val="1"/>
      <w:numFmt w:val="decimal"/>
      <w:lvlText w:val="%3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01" w:ilvl="3">
      <w:start w:val="1"/>
      <w:numFmt w:val="bullet"/>
      <w:lvlText w:val=""/>
      <w:lvlJc w:val="left"/>
      <w:pPr>
        <w:tabs>
          <w:tab w:pos="1620" w:val="num"/>
        </w:tabs>
        <w:ind w:hanging="360" w:left="16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10037D2"/>
    <w:multiLevelType w:val="hybridMultilevel"/>
    <w:tmpl w:val="53F8A1B4"/>
    <w:lvl w:tplc="041A0001" w:ilvl="0">
      <w:start w:val="1"/>
      <w:numFmt w:val="bullet"/>
      <w:lvlText w:val=""/>
      <w:lvlJc w:val="left"/>
      <w:pPr>
        <w:tabs>
          <w:tab w:pos="432" w:val="num"/>
        </w:tabs>
        <w:ind w:hanging="360" w:left="432"/>
      </w:pPr>
      <w:rPr>
        <w:rFonts w:hAnsi="Symbol" w:ascii="Symbol" w:hint="default"/>
        <w:b/>
      </w:rPr>
    </w:lvl>
    <w:lvl w:tplc="041A000F" w:ilvl="1">
      <w:start w:val="1"/>
      <w:numFmt w:val="decimal"/>
      <w:lvlText w:val="%2."/>
      <w:lvlJc w:val="left"/>
      <w:pPr>
        <w:tabs>
          <w:tab w:pos="432" w:val="num"/>
        </w:tabs>
        <w:ind w:hanging="360" w:left="432"/>
      </w:pPr>
      <w:rPr>
        <w:rFonts w:hint="default"/>
        <w:b/>
      </w:rPr>
    </w:lvl>
    <w:lvl w:tplc="404C366A" w:ilvl="2">
      <w:start w:val="1"/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Century Gothic" w:ascii="Century Gothic" w:hint="default"/>
      </w:rPr>
    </w:lvl>
    <w:lvl w:tplc="76C4D36E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hint="default"/>
        <w:b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4">
    <w:nsid w:val="664814F4"/>
    <w:multiLevelType w:val="singleLevel"/>
    <w:tmpl w:val="0010A5D2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5">
    <w:nsid w:val="69B811F9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AAF077D"/>
    <w:multiLevelType w:val="hybridMultilevel"/>
    <w:tmpl w:val="B602E12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B393743"/>
    <w:multiLevelType w:val="hybridMultilevel"/>
    <w:tmpl w:val="F462FE32"/>
    <w:lvl w:tplc="0CF43094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FAA09D9"/>
    <w:multiLevelType w:val="hybridMultilevel"/>
    <w:tmpl w:val="196C8C4E"/>
    <w:lvl w:tplc="56B01F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4BA4DEC"/>
    <w:multiLevelType w:val="hybridMultilevel"/>
    <w:tmpl w:val="FE604420"/>
    <w:lvl w:tplc="A4385FE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4CA2863"/>
    <w:multiLevelType w:val="hybridMultilevel"/>
    <w:tmpl w:val="4288F0BA"/>
    <w:lvl w:tplc="01266D5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3"/>
  </w:num>
  <w:num w:numId="3">
    <w:abstractNumId w:val="15"/>
  </w:num>
  <w:num w:numId="4">
    <w:abstractNumId w:val="7"/>
  </w:num>
  <w:num w:numId="5">
    <w:abstractNumId w:val="1"/>
  </w:num>
  <w:num w:numId="6">
    <w:abstractNumId w:val="17"/>
  </w:num>
  <w:num w:numId="7">
    <w:abstractNumId w:val="8"/>
  </w:num>
  <w:num w:numId="8">
    <w:abstractNumId w:val="5"/>
  </w:num>
  <w:num w:numId="9">
    <w:abstractNumId w:val="19"/>
  </w:num>
  <w:num w:numId="10">
    <w:abstractNumId w:val="18"/>
  </w:num>
  <w:num w:numId="11">
    <w:abstractNumId w:val="6"/>
  </w:num>
  <w:num w:numId="12">
    <w:abstractNumId w:val="0"/>
  </w:num>
  <w:num w:numId="13">
    <w:abstractNumId w:val="11"/>
  </w:num>
  <w:num w:numId="14">
    <w:abstractNumId w:val="13"/>
  </w:num>
  <w:num w:numId="15">
    <w:abstractNumId w:val="12"/>
  </w:num>
  <w:num w:numId="16">
    <w:abstractNumId w:val="16"/>
  </w:num>
  <w:num w:numId="17">
    <w:abstractNumId w:val="4"/>
  </w:num>
  <w:num w:numId="18">
    <w:abstractNumId w:val="10"/>
  </w:num>
  <w:num w:numId="19">
    <w:abstractNumId w:val="9"/>
  </w:num>
  <w:num w:numId="20">
    <w:abstractNumId w:val="2"/>
  </w:num>
  <w:num w:numId="21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390"/>
    <w:rsid w:val="00045B4C"/>
    <w:rsid w:val="00055CF4"/>
    <w:rsid w:val="00063BFB"/>
    <w:rsid w:val="00064E56"/>
    <w:rsid w:val="000754C4"/>
    <w:rsid w:val="0007587C"/>
    <w:rsid w:val="00075E66"/>
    <w:rsid w:val="00090E9D"/>
    <w:rsid w:val="000D33A2"/>
    <w:rsid w:val="000E55C3"/>
    <w:rsid w:val="000E5A65"/>
    <w:rsid w:val="000F0D67"/>
    <w:rsid w:val="00104A4D"/>
    <w:rsid w:val="00116975"/>
    <w:rsid w:val="001219DF"/>
    <w:rsid w:val="00134375"/>
    <w:rsid w:val="001439AA"/>
    <w:rsid w:val="00143DCB"/>
    <w:rsid w:val="00153828"/>
    <w:rsid w:val="00155560"/>
    <w:rsid w:val="00162F0D"/>
    <w:rsid w:val="001631D5"/>
    <w:rsid w:val="00175461"/>
    <w:rsid w:val="00187E9F"/>
    <w:rsid w:val="001953BA"/>
    <w:rsid w:val="001A0BEE"/>
    <w:rsid w:val="001A424A"/>
    <w:rsid w:val="001A451E"/>
    <w:rsid w:val="001A786A"/>
    <w:rsid w:val="001B3A32"/>
    <w:rsid w:val="001C7270"/>
    <w:rsid w:val="001C7C0B"/>
    <w:rsid w:val="001D1159"/>
    <w:rsid w:val="001E0B3F"/>
    <w:rsid w:val="001F5C11"/>
    <w:rsid w:val="0020785C"/>
    <w:rsid w:val="0023166D"/>
    <w:rsid w:val="002349CD"/>
    <w:rsid w:val="0024636D"/>
    <w:rsid w:val="002771F2"/>
    <w:rsid w:val="00283D77"/>
    <w:rsid w:val="002B1AFC"/>
    <w:rsid w:val="002B4879"/>
    <w:rsid w:val="002D5A9F"/>
    <w:rsid w:val="002F6704"/>
    <w:rsid w:val="002F7526"/>
    <w:rsid w:val="00301D71"/>
    <w:rsid w:val="00307083"/>
    <w:rsid w:val="003156F9"/>
    <w:rsid w:val="00331BD2"/>
    <w:rsid w:val="00336638"/>
    <w:rsid w:val="00342496"/>
    <w:rsid w:val="0034582B"/>
    <w:rsid w:val="003722AF"/>
    <w:rsid w:val="00374356"/>
    <w:rsid w:val="003935C7"/>
    <w:rsid w:val="00395A1C"/>
    <w:rsid w:val="003A0619"/>
    <w:rsid w:val="003A1980"/>
    <w:rsid w:val="003C281C"/>
    <w:rsid w:val="003D25B0"/>
    <w:rsid w:val="003D347A"/>
    <w:rsid w:val="003E58B0"/>
    <w:rsid w:val="003F3A5D"/>
    <w:rsid w:val="00403E2C"/>
    <w:rsid w:val="00425923"/>
    <w:rsid w:val="004365A8"/>
    <w:rsid w:val="00446DF7"/>
    <w:rsid w:val="00465FBD"/>
    <w:rsid w:val="004667E7"/>
    <w:rsid w:val="00484C8D"/>
    <w:rsid w:val="004A207D"/>
    <w:rsid w:val="004A4912"/>
    <w:rsid w:val="004C22E2"/>
    <w:rsid w:val="004E0C17"/>
    <w:rsid w:val="004E4F67"/>
    <w:rsid w:val="005139DD"/>
    <w:rsid w:val="00522A89"/>
    <w:rsid w:val="005238F1"/>
    <w:rsid w:val="00530CCF"/>
    <w:rsid w:val="00570841"/>
    <w:rsid w:val="0058113E"/>
    <w:rsid w:val="00591BFE"/>
    <w:rsid w:val="005949F9"/>
    <w:rsid w:val="005C4FA5"/>
    <w:rsid w:val="005D0A93"/>
    <w:rsid w:val="005E2390"/>
    <w:rsid w:val="005F0C99"/>
    <w:rsid w:val="005F62DB"/>
    <w:rsid w:val="00655B97"/>
    <w:rsid w:val="006645DA"/>
    <w:rsid w:val="00665040"/>
    <w:rsid w:val="0068775C"/>
    <w:rsid w:val="006B51E3"/>
    <w:rsid w:val="006B6616"/>
    <w:rsid w:val="006C219B"/>
    <w:rsid w:val="006C28DC"/>
    <w:rsid w:val="006D7547"/>
    <w:rsid w:val="00700605"/>
    <w:rsid w:val="0070415A"/>
    <w:rsid w:val="00716B53"/>
    <w:rsid w:val="00731F73"/>
    <w:rsid w:val="0073361A"/>
    <w:rsid w:val="007360BB"/>
    <w:rsid w:val="00753EC8"/>
    <w:rsid w:val="007743CC"/>
    <w:rsid w:val="00777A1A"/>
    <w:rsid w:val="0078255E"/>
    <w:rsid w:val="007A32C7"/>
    <w:rsid w:val="007B3024"/>
    <w:rsid w:val="007F42A9"/>
    <w:rsid w:val="00822172"/>
    <w:rsid w:val="00842012"/>
    <w:rsid w:val="00860ECB"/>
    <w:rsid w:val="00862B8A"/>
    <w:rsid w:val="00862DBF"/>
    <w:rsid w:val="00866962"/>
    <w:rsid w:val="00887EF2"/>
    <w:rsid w:val="008966DF"/>
    <w:rsid w:val="008A4392"/>
    <w:rsid w:val="008A541E"/>
    <w:rsid w:val="008A6A14"/>
    <w:rsid w:val="008F16BF"/>
    <w:rsid w:val="008F3058"/>
    <w:rsid w:val="00984ED9"/>
    <w:rsid w:val="009908BC"/>
    <w:rsid w:val="009971E3"/>
    <w:rsid w:val="00997E04"/>
    <w:rsid w:val="009C7396"/>
    <w:rsid w:val="009D7A60"/>
    <w:rsid w:val="009E4AB8"/>
    <w:rsid w:val="00A05CCC"/>
    <w:rsid w:val="00A164E1"/>
    <w:rsid w:val="00A50A67"/>
    <w:rsid w:val="00A519D1"/>
    <w:rsid w:val="00A60370"/>
    <w:rsid w:val="00A9324B"/>
    <w:rsid w:val="00A940E7"/>
    <w:rsid w:val="00AC29C3"/>
    <w:rsid w:val="00AC35BE"/>
    <w:rsid w:val="00AF410A"/>
    <w:rsid w:val="00B1297C"/>
    <w:rsid w:val="00B165BE"/>
    <w:rsid w:val="00B3649F"/>
    <w:rsid w:val="00B65227"/>
    <w:rsid w:val="00B741CD"/>
    <w:rsid w:val="00B75C35"/>
    <w:rsid w:val="00B83B9E"/>
    <w:rsid w:val="00B854B4"/>
    <w:rsid w:val="00B95A1C"/>
    <w:rsid w:val="00BA430B"/>
    <w:rsid w:val="00BA7913"/>
    <w:rsid w:val="00BD34D1"/>
    <w:rsid w:val="00BD3AD6"/>
    <w:rsid w:val="00BD64FC"/>
    <w:rsid w:val="00BE7C4E"/>
    <w:rsid w:val="00C00132"/>
    <w:rsid w:val="00C0571C"/>
    <w:rsid w:val="00C53814"/>
    <w:rsid w:val="00C57629"/>
    <w:rsid w:val="00C70695"/>
    <w:rsid w:val="00CA1D68"/>
    <w:rsid w:val="00CA77B3"/>
    <w:rsid w:val="00CB0351"/>
    <w:rsid w:val="00CC072D"/>
    <w:rsid w:val="00CC0AD3"/>
    <w:rsid w:val="00CD7499"/>
    <w:rsid w:val="00CE6A16"/>
    <w:rsid w:val="00CE783A"/>
    <w:rsid w:val="00CF3038"/>
    <w:rsid w:val="00CF3E00"/>
    <w:rsid w:val="00CF7CBA"/>
    <w:rsid w:val="00D24A3E"/>
    <w:rsid w:val="00D515AA"/>
    <w:rsid w:val="00D5389C"/>
    <w:rsid w:val="00D87105"/>
    <w:rsid w:val="00D9141E"/>
    <w:rsid w:val="00DB193E"/>
    <w:rsid w:val="00DC2534"/>
    <w:rsid w:val="00DC71A7"/>
    <w:rsid w:val="00DD519A"/>
    <w:rsid w:val="00E070BA"/>
    <w:rsid w:val="00E42E0F"/>
    <w:rsid w:val="00E64340"/>
    <w:rsid w:val="00E728C8"/>
    <w:rsid w:val="00E75668"/>
    <w:rsid w:val="00E916E1"/>
    <w:rsid w:val="00E95C20"/>
    <w:rsid w:val="00EB5BA9"/>
    <w:rsid w:val="00EE2609"/>
    <w:rsid w:val="00F16735"/>
    <w:rsid w:val="00F30A15"/>
    <w:rsid w:val="00F40CFE"/>
    <w:rsid w:val="00F52C39"/>
    <w:rsid w:val="00F70740"/>
    <w:rsid w:val="00F82BBE"/>
    <w:rsid w:val="00F83A19"/>
    <w:rsid w:val="00F87F12"/>
    <w:rsid w:val="00FA3B02"/>
    <w:rsid w:val="00FA5AE4"/>
    <w:rsid w:val="00FB0AB1"/>
    <w:rsid w:val="00FD7DC9"/>
    <w:rsid w:val="00FD7EE0"/>
    <w:rsid w:val="00FF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hAnsi="Arial Narrow" w:asci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hAnsi="Arial Narrow" w:asci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Arial Narrow" w:asci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space="1" w:sz="6" w:color="auto" w:val="single"/>
      </w:pBdr>
      <w:tabs>
        <w:tab w:pos="-567" w:val="left"/>
      </w:tabs>
      <w:ind w:right="-58"/>
      <w:jc w:val="center"/>
      <w:outlineLvl w:val="5"/>
    </w:pPr>
    <w:rPr>
      <w:rFonts w:hAnsi="Arial Narrow" w:asci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hAnsi="Arial Narrow" w:asci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hAnsi="Arial Narrow" w:asci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hAnsi="Arial Narrow" w:ascii="Arial Narrow"/>
      <w:bCs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hAnsi="Arial" w:asci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hAnsi="Arial" w:ascii="Arial"/>
      <w:sz w:val="24"/>
    </w:rPr>
  </w:style>
  <w:style w:styleId="Tijeloteksta" w:type="paragraph">
    <w:name w:val="Body Text"/>
    <w:basedOn w:val="Normal"/>
    <w:pPr>
      <w:jc w:val="both"/>
    </w:pPr>
    <w:rPr>
      <w:rFonts w:hAnsi="Arial Narrow" w:asci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hAnsi="Arial Narrow" w:asci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07587C"/>
    <w:pPr>
      <w:ind w:left="708"/>
    </w:pPr>
    <w:rPr>
      <w:sz w:val="24"/>
      <w:szCs w:val="24"/>
    </w:rPr>
  </w:style>
  <w:style w:styleId="Reetkatablice" w:type="table">
    <w:name w:val="Table Grid"/>
    <w:basedOn w:val="Obinatablica"/>
    <w:rsid w:val="00104A4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343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375"/>
    <w:rPr>
      <w:rFonts w:cs="Times New Roman" w:hAnsi="Times New Roman" w:ascii="Times New Roman"/>
      <w:iCs/>
      <w:sz w:val="24"/>
      <w:szCs w:val="2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375"/>
    <w:rPr>
      <w:rFonts w:cs="Tahoma" w:hAnsi="Tahoma" w:ascii="Tahoma"/>
      <w:iCs/>
      <w:sz w:val="26"/>
      <w:szCs w:val="2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375"/>
    <w:rPr>
      <w:rFonts w:cs="Tahoma" w:hAnsi="Tahoma" w:ascii="Tahoma"/>
      <w:iCs w:val="false"/>
      <w:sz w:val="26"/>
      <w:szCs w:val="2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375"/>
    <w:rPr>
      <w:rFonts w:cs="Tahoma" w:hAnsi="Tahoma" w:ascii="Tahoma"/>
      <w:iCs w:val="false"/>
      <w:sz w:val="26"/>
      <w:szCs w:val="2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ascii="Arial Narrow" w:hAns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ascii="Arial Narrow" w:hAns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color="auto" w:space="1" w:sz="6" w:val="single"/>
      </w:pBdr>
      <w:tabs>
        <w:tab w:pos="-567" w:val="left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ascii="Arial Narrow" w:hAns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ascii="Arial" w:hAns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styleId="Tijeloteksta" w:type="paragraph">
    <w:name w:val="Body Text"/>
    <w:basedOn w:val="Normal"/>
    <w:pPr>
      <w:jc w:val="both"/>
    </w:pPr>
    <w:rPr>
      <w:rFonts w:ascii="Arial Narrow" w:hAns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07587C"/>
    <w:pPr>
      <w:ind w:left="708"/>
    </w:pPr>
    <w:rPr>
      <w:sz w:val="24"/>
      <w:szCs w:val="24"/>
    </w:rPr>
  </w:style>
  <w:style w:styleId="Reetkatablice" w:type="table">
    <w:name w:val="Table Grid"/>
    <w:basedOn w:val="Obinatablica"/>
    <w:rsid w:val="00104A4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343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375"/>
    <w:rPr>
      <w:rFonts w:ascii="Times New Roman" w:cs="Times New Roman" w:hAnsi="Times New Roman"/>
      <w:iCs/>
      <w:sz w:val="24"/>
      <w:szCs w:val="2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375"/>
    <w:rPr>
      <w:rFonts w:ascii="Tahoma" w:cs="Tahoma" w:hAnsi="Tahoma"/>
      <w:iCs/>
      <w:sz w:val="26"/>
      <w:szCs w:val="2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375"/>
    <w:rPr>
      <w:rFonts w:ascii="Tahoma" w:cs="Tahoma" w:hAnsi="Tahoma"/>
      <w:iCs w:val="0"/>
      <w:sz w:val="26"/>
      <w:szCs w:val="2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375"/>
    <w:rPr>
      <w:rFonts w:ascii="Tahoma" w:cs="Tahoma" w:hAnsi="Tahoma"/>
      <w:iCs w:val="0"/>
      <w:sz w:val="26"/>
      <w:szCs w:val="2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St-88/2013-366</izvorni_sadrzaj>
    <derivirana_varijabla naziv="DomainObject.Oznaka_1">St-88/2013-366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 34 od 24.5.2013</izvorni_sadrzaj>
    <derivirana_varijabla naziv="DomainObject.Predmet.PrimjedbaSuca_1">račun za objavu oglasa u NN. 62 na str. 34 od 24.5.2013</derivirana_varijabla>
  </DomainObject.Predmet.PrimjedbaSuc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  <item>Odvjetničko društvo SUIĆ &amp; ŠKUNCA društvo s ograničenom odgovornošću, Domagojeva 14, 10000 Zagreb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  <item>Odvjetničko društvo SUIĆ &amp; ŠKUNCA društvo s ograničenom odgovornošću, OIB 44213507122, Domagojeva 14, 10000 Zagreb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izvorni_sadrzaj>
    <derivirana_varijabla naziv="DomainObject.Predmet.SudioniciListNaziv_1"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derivirana_varijabla>
  </DomainObject.Predmet.SudioniciListNaziv>
  <DomainObject.Predmet.SudioniciListAdressOIB>
    <izvorni_sadrzaj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  <item>Odvjetničko društvo SUIĆ &amp; ŠKUNCA društvo s ograničenom odgovornošću, OIB 44213507122, Domagojeva 14,10000 Zagreb</item>
    </izvorni_sadrzaj>
    <derivirana_varijabla naziv="DomainObject.Predmet.SudioniciListAdressOIB_1"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  <item>, OIB 44213507122</item>
    </izvorni_sadrzaj>
    <derivirana_varijabla naziv="DomainObject.Predmet.SudioniciListNazivOIB_1"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0BA517-C8B7-43A0-8617-7FBB2CBE6E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Varazdinska banka d.d.</properties:Company>
  <properties:Pages>1</properties:Pages>
  <properties:Words>182</properties:Words>
  <properties:Characters>1034</properties:Characters>
  <properties:Lines>40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1383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2017-12-01T08:22:00Z</dcterms:created>
  <dc:creator>Direkcija informatike</dc:creator>
  <cp:lastModifiedBy>Lea Rogina</cp:lastModifiedBy>
  <cp:lastPrinted>2017-11-29T13:30:00Z</cp:lastPrinted>
  <dcterms:modified xmlns:xsi="http://www.w3.org/2001/XMLSchema-instance" xsi:type="dcterms:W3CDTF">2017-12-01T08:22:00Z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St-88/2013-366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