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bc1d" w14:paraId="6ccbc1d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5B9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B95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0295A"/>
    <w:rsid w:val="00337759"/>
    <w:rsid w:val="003614AA"/>
    <w:rsid w:val="003D5B95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Kralja Zvonimira 3</izvorni_sadrzaj>
    <derivirana_varijabla naziv="DomainObject.UcesnikSudskeRadnje.Adresa.UlicaIKBR_1">Kralja Zvonimira 3</derivirana_varijabla>
  </DomainObject.UcesnikSudskeRadnje.Adresa.UlicaIKBR>
  <DomainObject.UcesnikSudskeRadnje.Naziv>
    <izvorni_sadrzaj>Prekršajni sud u Osijeku</izvorni_sadrzaj>
    <derivirana_varijabla naziv="DomainObject.UcesnikSudskeRadnje.Naziv_1">Prekršajni sud u Osijeku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Prekršajni sud u Osijeku, OIB 18683136487, Kralja Zvonimira 3,31000 Osijek</izvorni_sadrzaj>
    <derivirana_varijabla naziv="DomainObject.UcesnikSudskeRadnje.NazivFormated_1">Prekršajni sud u Osijeku, OIB 18683136487, Kralja Zvonimira 3,31000 Osijek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Prekršajni sud u Osijeku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