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5B2C6B3A" w:rsidRDefault="000E1F39" w:rsidP="000E1F39" w:rsidR="000E1F39" w:rsidRPr="0079374E">
      <w:pPr>
        <w:jc w:val="center"/>
        <w15:collapsed w:val="false"/>
        <w:rPr>
          <w:rFonts w:hAnsi="Times New Roman" w:ascii="Times New Roman"/>
          <w:b/>
          <w:sz w:val="28"/>
        </w:rPr>
      </w:pPr>
      <w:bookmarkStart w:name="_GoBack" w:id="0"/>
      <w:bookmarkEnd w:id="0"/>
      <w:r w:rsidRPr="0079374E">
        <w:rPr>
          <w:rFonts w:hAnsi="Times New Roman" w:ascii="Times New Roman"/>
          <w:b/>
          <w:sz w:val="28"/>
        </w:rPr>
        <w:t>Obrazac 20.</w:t>
      </w:r>
    </w:p>
    <w:p w14:textId="77777777" w14:paraId="521A79DE" w:rsidRDefault="000E1F39" w:rsidP="000E1F39" w:rsidR="000E1F39" w:rsidRPr="0079374E">
      <w:pPr>
        <w:jc w:val="center"/>
        <w:rPr>
          <w:rFonts w:hAnsi="Times New Roman" w:ascii="Times New Roman"/>
          <w:b/>
          <w:sz w:val="24"/>
        </w:rPr>
      </w:pPr>
      <w:r w:rsidRPr="0079374E">
        <w:rPr>
          <w:rFonts w:hAnsi="Times New Roman" w:ascii="Times New Roman"/>
          <w:b/>
          <w:sz w:val="24"/>
        </w:rPr>
        <w:t xml:space="preserve">IZVJEŠĆE </w:t>
      </w:r>
      <w:r w:rsidRPr="0079374E">
        <w:rPr>
          <w:rFonts w:hAnsi="Times New Roman" w:ascii="Times New Roman"/>
          <w:b/>
          <w:sz w:val="24"/>
          <w:szCs w:val="24"/>
        </w:rPr>
        <w:t>STEČAJNOGA</w:t>
      </w:r>
      <w:r w:rsidRPr="0079374E">
        <w:rPr>
          <w:rFonts w:hAnsi="Times New Roman" w:ascii="Times New Roman"/>
          <w:b/>
          <w:sz w:val="24"/>
        </w:rPr>
        <w:t xml:space="preserve"> UPRAVITELJA O TIJEKU </w:t>
      </w:r>
      <w:r w:rsidRPr="0079374E">
        <w:rPr>
          <w:rFonts w:hAnsi="Times New Roman" w:ascii="Times New Roman"/>
          <w:b/>
          <w:sz w:val="24"/>
          <w:szCs w:val="24"/>
        </w:rPr>
        <w:t>STEČAJNOGA</w:t>
      </w:r>
      <w:r w:rsidRPr="0079374E">
        <w:rPr>
          <w:rFonts w:hAnsi="Times New Roman" w:ascii="Times New Roman"/>
          <w:b/>
          <w:sz w:val="24"/>
        </w:rPr>
        <w:t xml:space="preserve"> POSTUPKA I STANJU STEČAJNE MASE</w:t>
      </w:r>
    </w:p>
    <w:p w14:textId="77777777" w14:paraId="5CC225C5" w:rsidRDefault="000E1F39" w:rsidP="000E1F39" w:rsidR="000E1F39" w:rsidRPr="0079374E">
      <w:pPr>
        <w:jc w:val="center"/>
        <w:rPr>
          <w:rFonts w:hAnsi="Times New Roman" w:ascii="Times New Roman"/>
          <w:sz w:val="24"/>
        </w:rPr>
      </w:pPr>
    </w:p>
    <w:p w14:textId="77777777" w14:paraId="1F2FD487" w:rsidRDefault="00AF0FEB" w:rsidP="000E1F39" w:rsidR="000E1F39" w:rsidRPr="0079374E">
      <w:pPr>
        <w:jc w:val="both"/>
        <w:rPr>
          <w:rFonts w:hAnsi="Times New Roman" w:ascii="Times New Roman"/>
          <w:b/>
          <w:sz w:val="24"/>
        </w:rPr>
      </w:pPr>
      <w:r w:rsidRPr="0079374E">
        <w:rPr>
          <w:rFonts w:hAnsi="Times New Roman" w:ascii="Times New Roman"/>
          <w:b/>
          <w:sz w:val="24"/>
        </w:rPr>
        <w:t>Trgovački sud u Zagrebu</w:t>
      </w:r>
    </w:p>
    <w:p w14:textId="4F3E5C27" w14:paraId="08F91058" w:rsidRDefault="000E1F39" w:rsidP="000E1F39" w:rsidR="000E1F39" w:rsidRPr="0079374E">
      <w:pPr>
        <w:jc w:val="both"/>
        <w:rPr>
          <w:rFonts w:hAnsi="Times New Roman" w:ascii="Times New Roman"/>
          <w:b/>
          <w:sz w:val="24"/>
          <w:szCs w:val="24"/>
        </w:rPr>
      </w:pPr>
      <w:r w:rsidRPr="0079374E">
        <w:rPr>
          <w:rFonts w:hAnsi="Times New Roman" w:ascii="Times New Roman"/>
          <w:b/>
          <w:sz w:val="24"/>
          <w:szCs w:val="24"/>
        </w:rPr>
        <w:t>Poslovni broj spisa</w:t>
      </w:r>
      <w:r w:rsidR="00AF0FEB" w:rsidRPr="0079374E">
        <w:rPr>
          <w:rFonts w:hAnsi="Times New Roman" w:ascii="Times New Roman"/>
          <w:b/>
          <w:sz w:val="24"/>
          <w:szCs w:val="24"/>
        </w:rPr>
        <w:t xml:space="preserve"> - </w:t>
      </w:r>
      <w:r w:rsidRPr="0079374E">
        <w:rPr>
          <w:rFonts w:hAnsi="Times New Roman" w:ascii="Times New Roman"/>
          <w:b/>
          <w:sz w:val="24"/>
          <w:szCs w:val="24"/>
        </w:rPr>
        <w:t xml:space="preserve"> </w:t>
      </w:r>
      <w:r w:rsidR="00031CA1" w:rsidRPr="0079374E">
        <w:rPr>
          <w:rFonts w:hAnsi="Times New Roman" w:ascii="Times New Roman"/>
          <w:b/>
          <w:sz w:val="24"/>
          <w:szCs w:val="24"/>
        </w:rPr>
        <w:t>ST-918</w:t>
      </w:r>
      <w:r w:rsidR="00D936AE" w:rsidRPr="0079374E">
        <w:rPr>
          <w:rFonts w:hAnsi="Times New Roman" w:ascii="Times New Roman"/>
          <w:b/>
          <w:sz w:val="24"/>
          <w:szCs w:val="24"/>
        </w:rPr>
        <w:t>/12</w:t>
      </w:r>
    </w:p>
    <w:p w14:textId="07DF4DEE" w14:paraId="55F4B684" w:rsidRDefault="000E1F39" w:rsidP="00031CA1" w:rsidR="000E1F39" w:rsidRPr="0079374E">
      <w:pPr>
        <w:spacing w:after="0"/>
        <w:rPr>
          <w:rFonts w:eastAsia="Times New Roman" w:hAnsi="Times New Roman" w:ascii="Times New Roman"/>
          <w:sz w:val="24"/>
          <w:szCs w:val="24"/>
        </w:rPr>
      </w:pPr>
      <w:r w:rsidRPr="0079374E">
        <w:rPr>
          <w:rFonts w:hAnsi="Times New Roman" w:ascii="Times New Roman"/>
          <w:b/>
          <w:sz w:val="24"/>
          <w:szCs w:val="24"/>
        </w:rPr>
        <w:t>Dužnik</w:t>
      </w:r>
      <w:r w:rsidR="00AF0FEB" w:rsidRPr="0079374E">
        <w:rPr>
          <w:rFonts w:hAnsi="Times New Roman" w:ascii="Times New Roman"/>
          <w:b/>
          <w:sz w:val="24"/>
          <w:szCs w:val="24"/>
        </w:rPr>
        <w:t xml:space="preserve"> - </w:t>
      </w:r>
      <w:r w:rsidR="00031CA1" w:rsidRPr="0079374E">
        <w:rPr>
          <w:rFonts w:hAnsi="Times New Roman" w:ascii="Times New Roman"/>
          <w:b/>
          <w:sz w:val="24"/>
          <w:szCs w:val="24"/>
        </w:rPr>
        <w:t>JADRAN - PRODUKT</w:t>
      </w:r>
      <w:r w:rsidR="00AF0FEB" w:rsidRPr="0079374E">
        <w:rPr>
          <w:rFonts w:hAnsi="Times New Roman" w:ascii="Times New Roman"/>
          <w:b/>
          <w:sz w:val="24"/>
          <w:szCs w:val="24"/>
        </w:rPr>
        <w:t xml:space="preserve"> d.o.o</w:t>
      </w:r>
      <w:r w:rsidR="00D936AE" w:rsidRPr="0079374E">
        <w:rPr>
          <w:rFonts w:hAnsi="Times New Roman" w:ascii="Times New Roman"/>
          <w:b/>
          <w:sz w:val="24"/>
          <w:szCs w:val="24"/>
        </w:rPr>
        <w:t xml:space="preserve">. u stečaju, OIB: </w:t>
      </w:r>
      <w:r w:rsidR="00031CA1" w:rsidRPr="0079374E">
        <w:rPr>
          <w:rFonts w:eastAsia="Times New Roman" w:hAnsi="Cambria" w:ascii="Cambria"/>
          <w:color w:val="000000"/>
          <w:sz w:val="21"/>
          <w:szCs w:val="21"/>
        </w:rPr>
        <w:t> </w:t>
      </w:r>
      <w:r w:rsidR="00031CA1" w:rsidRPr="0079374E">
        <w:rPr>
          <w:rFonts w:eastAsia="Times New Roman" w:hAnsi="Times New Roman" w:ascii="Times New Roman"/>
          <w:b/>
          <w:color w:val="000000"/>
          <w:sz w:val="24"/>
          <w:szCs w:val="24"/>
        </w:rPr>
        <w:t>59800682442</w:t>
      </w:r>
      <w:r w:rsidR="00D936AE" w:rsidRPr="0079374E">
        <w:rPr>
          <w:rFonts w:hAnsi="Times New Roman" w:ascii="Times New Roman"/>
          <w:b/>
          <w:sz w:val="24"/>
          <w:szCs w:val="24"/>
        </w:rPr>
        <w:t xml:space="preserve">, </w:t>
      </w:r>
      <w:r w:rsidR="00031CA1" w:rsidRPr="0079374E">
        <w:rPr>
          <w:rFonts w:hAnsi="Times New Roman" w:ascii="Times New Roman"/>
          <w:b/>
          <w:sz w:val="24"/>
          <w:szCs w:val="24"/>
        </w:rPr>
        <w:t>Tomislavova 11</w:t>
      </w:r>
      <w:r w:rsidR="00AF0FEB" w:rsidRPr="0079374E">
        <w:rPr>
          <w:rFonts w:hAnsi="Times New Roman" w:ascii="Times New Roman"/>
          <w:b/>
          <w:sz w:val="24"/>
          <w:szCs w:val="24"/>
        </w:rPr>
        <w:t xml:space="preserve">, </w:t>
      </w:r>
      <w:r w:rsidR="00D936AE" w:rsidRPr="0079374E">
        <w:rPr>
          <w:rFonts w:hAnsi="Times New Roman" w:ascii="Times New Roman"/>
          <w:b/>
          <w:sz w:val="24"/>
          <w:szCs w:val="24"/>
        </w:rPr>
        <w:t>Zagreb</w:t>
      </w:r>
    </w:p>
    <w:p w14:textId="77777777" w14:paraId="280AC8C9" w:rsidRDefault="000E1F39" w:rsidP="000E1F39" w:rsidR="000E1F39" w:rsidRPr="0079374E">
      <w:pPr>
        <w:jc w:val="center"/>
        <w:rPr>
          <w:rFonts w:hAnsi="Times New Roman" w:ascii="Times New Roman"/>
          <w:sz w:val="24"/>
          <w:szCs w:val="24"/>
        </w:rPr>
      </w:pPr>
    </w:p>
    <w:p w14:textId="05F3ADA3" w14:paraId="40C590E6" w:rsidRDefault="000E1F39" w:rsidP="000E1F39" w:rsidR="000E1F39" w:rsidRPr="0079374E">
      <w:pPr>
        <w:rPr>
          <w:rFonts w:hAnsi="Times New Roman" w:ascii="Times New Roman"/>
          <w:sz w:val="24"/>
          <w:szCs w:val="24"/>
        </w:rPr>
      </w:pPr>
      <w:r w:rsidRPr="0079374E">
        <w:rPr>
          <w:rFonts w:hAnsi="Times New Roman" w:ascii="Times New Roman"/>
          <w:sz w:val="24"/>
          <w:szCs w:val="24"/>
        </w:rPr>
        <w:t>I.  TIJEK STEČAJNOGA POSTUPKA U RAZDOBLJU OD</w:t>
      </w:r>
      <w:r w:rsidR="00031CA1" w:rsidRPr="0079374E">
        <w:rPr>
          <w:rFonts w:hAnsi="Times New Roman" w:ascii="Times New Roman"/>
          <w:sz w:val="24"/>
          <w:szCs w:val="24"/>
        </w:rPr>
        <w:t xml:space="preserve"> 26.</w:t>
      </w:r>
      <w:r w:rsidR="00BB7838" w:rsidRPr="0079374E">
        <w:rPr>
          <w:rFonts w:hAnsi="Times New Roman" w:ascii="Times New Roman"/>
          <w:sz w:val="24"/>
          <w:szCs w:val="24"/>
        </w:rPr>
        <w:t>1</w:t>
      </w:r>
      <w:r w:rsidR="00031CA1" w:rsidRPr="0079374E">
        <w:rPr>
          <w:rFonts w:hAnsi="Times New Roman" w:ascii="Times New Roman"/>
          <w:sz w:val="24"/>
          <w:szCs w:val="24"/>
        </w:rPr>
        <w:t>0.2016</w:t>
      </w:r>
      <w:r w:rsidR="00AF0FEB" w:rsidRPr="0079374E">
        <w:rPr>
          <w:rFonts w:hAnsi="Times New Roman" w:ascii="Times New Roman"/>
          <w:sz w:val="24"/>
          <w:szCs w:val="24"/>
        </w:rPr>
        <w:t xml:space="preserve">. </w:t>
      </w:r>
      <w:r w:rsidRPr="0079374E">
        <w:rPr>
          <w:rFonts w:hAnsi="Times New Roman" w:ascii="Times New Roman"/>
          <w:sz w:val="24"/>
          <w:szCs w:val="24"/>
        </w:rPr>
        <w:t>DO</w:t>
      </w:r>
      <w:r w:rsidR="00D936AE" w:rsidRPr="0079374E">
        <w:rPr>
          <w:rFonts w:hAnsi="Times New Roman" w:ascii="Times New Roman"/>
          <w:sz w:val="24"/>
          <w:szCs w:val="24"/>
        </w:rPr>
        <w:t xml:space="preserve"> </w:t>
      </w:r>
      <w:r w:rsidR="00031CA1" w:rsidRPr="0079374E">
        <w:rPr>
          <w:rFonts w:hAnsi="Times New Roman" w:ascii="Times New Roman"/>
          <w:sz w:val="24"/>
          <w:szCs w:val="24"/>
        </w:rPr>
        <w:t>30.06</w:t>
      </w:r>
      <w:r w:rsidR="002874DF" w:rsidRPr="0079374E">
        <w:rPr>
          <w:rFonts w:hAnsi="Times New Roman" w:ascii="Times New Roman"/>
          <w:sz w:val="24"/>
          <w:szCs w:val="24"/>
        </w:rPr>
        <w:t>.2018</w:t>
      </w:r>
      <w:r w:rsidR="00AF0FEB" w:rsidRPr="0079374E">
        <w:rPr>
          <w:rFonts w:hAnsi="Times New Roman" w:ascii="Times New Roman"/>
          <w:sz w:val="24"/>
          <w:szCs w:val="24"/>
        </w:rPr>
        <w:t>.</w:t>
      </w:r>
    </w:p>
    <w:p w14:textId="77777777" w14:paraId="4A40FB18" w:rsidRDefault="006F6205" w:rsidP="000E1F39" w:rsidR="006F6205" w:rsidRPr="0079374E">
      <w:pPr>
        <w:jc w:val="both"/>
        <w:rPr>
          <w:rFonts w:hAnsi="Times New Roman" w:ascii="Times New Roman"/>
          <w:sz w:val="24"/>
          <w:szCs w:val="24"/>
        </w:rPr>
      </w:pPr>
    </w:p>
    <w:p w14:textId="50216823" w14:paraId="5CC87DF0" w:rsidRDefault="00D5428A" w:rsidP="00D5428A" w:rsidR="00D5428A" w:rsidRPr="0079374E">
      <w:pPr>
        <w:spacing w:lineRule="auto" w:line="276"/>
        <w:jc w:val="both"/>
        <w:rPr>
          <w:rFonts w:hAnsi="Times New Roman" w:ascii="Times New Roman"/>
          <w:sz w:val="24"/>
          <w:szCs w:val="24"/>
        </w:rPr>
      </w:pPr>
      <w:r w:rsidRPr="0079374E">
        <w:rPr>
          <w:rFonts w:hAnsi="Times New Roman" w:ascii="Times New Roman"/>
          <w:color w:themeShade="1A" w:themeColor="background2" w:val="1D1B11"/>
          <w:sz w:val="24"/>
          <w:szCs w:val="24"/>
        </w:rPr>
        <w:tab/>
        <w:t xml:space="preserve">Ovaj stečajni postupak pokrenut je 21. kolovoza 2012., prema odrebi čl. 441. Stečajnog zakona (NN br. 71/15, dalje SZ 15) stečajni postupci pokrenuti prije stupanja na snagu tog zakona dovršiti će se prema odredbama Stečajnog zakona koji je bio na snazi u vrijeme njihovog pokretanja. U konkretnom slučaju ovaj postupak se vodi po odredbama Stečajnog zakona </w:t>
      </w:r>
      <w:r w:rsidRPr="0079374E">
        <w:rPr>
          <w:rFonts w:hAnsi="Times New Roman" w:ascii="Times New Roman"/>
          <w:sz w:val="24"/>
          <w:szCs w:val="24"/>
        </w:rPr>
        <w:t xml:space="preserve">(NN br. </w:t>
      </w:r>
      <w:hyperlink r:id="rId7" w:history="true">
        <w:r w:rsidRPr="0079374E">
          <w:rPr>
            <w:rFonts w:hAnsi="Times New Roman" w:ascii="Times New Roman"/>
            <w:sz w:val="24"/>
            <w:szCs w:val="24"/>
          </w:rPr>
          <w:t>44/96</w:t>
        </w:r>
      </w:hyperlink>
      <w:r w:rsidRPr="0079374E">
        <w:rPr>
          <w:rFonts w:hAnsi="Times New Roman" w:ascii="Times New Roman"/>
          <w:sz w:val="24"/>
          <w:szCs w:val="24"/>
        </w:rPr>
        <w:t xml:space="preserve">, </w:t>
      </w:r>
      <w:hyperlink r:id="rId8" w:history="true">
        <w:r w:rsidRPr="0079374E">
          <w:rPr>
            <w:rFonts w:hAnsi="Times New Roman" w:ascii="Times New Roman"/>
            <w:sz w:val="24"/>
            <w:szCs w:val="24"/>
          </w:rPr>
          <w:t>29/99</w:t>
        </w:r>
      </w:hyperlink>
      <w:r w:rsidRPr="0079374E">
        <w:rPr>
          <w:rFonts w:hAnsi="Times New Roman" w:ascii="Times New Roman"/>
          <w:sz w:val="24"/>
          <w:szCs w:val="24"/>
        </w:rPr>
        <w:t xml:space="preserve">, </w:t>
      </w:r>
      <w:hyperlink r:id="rId9" w:history="true">
        <w:r w:rsidRPr="0079374E">
          <w:rPr>
            <w:rFonts w:hAnsi="Times New Roman" w:ascii="Times New Roman"/>
            <w:sz w:val="24"/>
            <w:szCs w:val="24"/>
          </w:rPr>
          <w:t>129/00</w:t>
        </w:r>
      </w:hyperlink>
      <w:r w:rsidRPr="0079374E">
        <w:rPr>
          <w:rFonts w:hAnsi="Times New Roman" w:ascii="Times New Roman"/>
          <w:sz w:val="24"/>
          <w:szCs w:val="24"/>
        </w:rPr>
        <w:t xml:space="preserve">, </w:t>
      </w:r>
      <w:hyperlink r:id="rId10" w:history="true">
        <w:r w:rsidRPr="0079374E">
          <w:rPr>
            <w:rFonts w:hAnsi="Times New Roman" w:ascii="Times New Roman"/>
            <w:sz w:val="24"/>
            <w:szCs w:val="24"/>
          </w:rPr>
          <w:t>123/03</w:t>
        </w:r>
      </w:hyperlink>
      <w:r w:rsidRPr="0079374E">
        <w:rPr>
          <w:rFonts w:hAnsi="Times New Roman" w:ascii="Times New Roman"/>
          <w:sz w:val="24"/>
          <w:szCs w:val="24"/>
        </w:rPr>
        <w:t xml:space="preserve">, </w:t>
      </w:r>
      <w:hyperlink r:id="rId11" w:history="true">
        <w:r w:rsidRPr="0079374E">
          <w:rPr>
            <w:rFonts w:hAnsi="Times New Roman" w:ascii="Times New Roman"/>
            <w:sz w:val="24"/>
            <w:szCs w:val="24"/>
          </w:rPr>
          <w:t>82/06</w:t>
        </w:r>
      </w:hyperlink>
      <w:r w:rsidRPr="0079374E">
        <w:rPr>
          <w:rFonts w:hAnsi="Times New Roman" w:ascii="Times New Roman"/>
          <w:sz w:val="24"/>
          <w:szCs w:val="24"/>
        </w:rPr>
        <w:t xml:space="preserve">, </w:t>
      </w:r>
      <w:hyperlink r:id="rId12" w:history="true">
        <w:r w:rsidRPr="0079374E">
          <w:rPr>
            <w:rFonts w:hAnsi="Times New Roman" w:ascii="Times New Roman"/>
            <w:sz w:val="24"/>
            <w:szCs w:val="24"/>
          </w:rPr>
          <w:t>116/10</w:t>
        </w:r>
      </w:hyperlink>
      <w:r w:rsidRPr="0079374E">
        <w:rPr>
          <w:rFonts w:hAnsi="Times New Roman" w:ascii="Times New Roman"/>
          <w:sz w:val="24"/>
          <w:szCs w:val="24"/>
        </w:rPr>
        <w:t xml:space="preserve">, </w:t>
      </w:r>
      <w:hyperlink r:id="rId13" w:history="true">
        <w:r w:rsidRPr="0079374E">
          <w:rPr>
            <w:rFonts w:hAnsi="Times New Roman" w:ascii="Times New Roman"/>
            <w:sz w:val="24"/>
            <w:szCs w:val="24"/>
          </w:rPr>
          <w:t>25/12</w:t>
        </w:r>
      </w:hyperlink>
      <w:r w:rsidRPr="0079374E">
        <w:rPr>
          <w:rFonts w:hAnsi="Times New Roman" w:ascii="Times New Roman"/>
          <w:sz w:val="24"/>
          <w:szCs w:val="24"/>
        </w:rPr>
        <w:t xml:space="preserve">, </w:t>
      </w:r>
      <w:hyperlink r:id="rId14" w:history="true">
        <w:r w:rsidRPr="0079374E">
          <w:rPr>
            <w:rFonts w:hAnsi="Times New Roman" w:ascii="Times New Roman"/>
            <w:sz w:val="24"/>
            <w:szCs w:val="24"/>
          </w:rPr>
          <w:t>133/12</w:t>
        </w:r>
      </w:hyperlink>
      <w:r w:rsidRPr="0079374E">
        <w:rPr>
          <w:rFonts w:hAnsi="Times New Roman" w:ascii="Times New Roman"/>
          <w:sz w:val="24"/>
          <w:szCs w:val="24"/>
        </w:rPr>
        <w:t>).</w:t>
      </w:r>
    </w:p>
    <w:p w14:textId="77777777" w14:paraId="073A25CA" w:rsidRDefault="00D5428A" w:rsidP="00F62897" w:rsidR="00D5428A" w:rsidRPr="0079374E">
      <w:pPr>
        <w:pStyle w:val="Naslov"/>
        <w:spacing w:lineRule="auto" w:line="276"/>
        <w:ind w:firstLine="708"/>
        <w:jc w:val="both"/>
        <w:rPr>
          <w:b w:val="false"/>
          <w:sz w:val="24"/>
          <w:szCs w:val="24"/>
        </w:rPr>
      </w:pPr>
    </w:p>
    <w:p w14:textId="01B06DE5" w14:paraId="3A6C6CDF" w:rsidRDefault="00E623C2" w:rsidP="00F62897" w:rsidR="00816DAB" w:rsidRPr="0079374E">
      <w:pPr>
        <w:pStyle w:val="Naslov"/>
        <w:spacing w:lineRule="auto" w:line="276"/>
        <w:ind w:firstLine="708"/>
        <w:jc w:val="both"/>
        <w:rPr>
          <w:b w:val="false"/>
          <w:sz w:val="24"/>
          <w:szCs w:val="24"/>
        </w:rPr>
      </w:pPr>
      <w:r w:rsidRPr="0079374E">
        <w:rPr>
          <w:b w:val="false"/>
          <w:sz w:val="24"/>
          <w:szCs w:val="24"/>
        </w:rPr>
        <w:t xml:space="preserve">Nakon </w:t>
      </w:r>
      <w:r w:rsidR="007C772C" w:rsidRPr="0079374E">
        <w:rPr>
          <w:b w:val="false"/>
          <w:sz w:val="24"/>
          <w:szCs w:val="24"/>
        </w:rPr>
        <w:t>održanog ispitnog i izvještajnog ročišta 26. listopada 2016. sud je donio Rješenje kojim su utvrđene i osporene tražbine. Vjerovnici osporenih tražbina</w:t>
      </w:r>
      <w:r w:rsidR="00C26FA1" w:rsidRPr="0079374E">
        <w:rPr>
          <w:b w:val="false"/>
          <w:sz w:val="24"/>
          <w:szCs w:val="24"/>
        </w:rPr>
        <w:t xml:space="preserve"> </w:t>
      </w:r>
      <w:r w:rsidR="00C26FA1" w:rsidRPr="0079374E">
        <w:rPr>
          <w:rStyle w:val="Naglaeno"/>
          <w:sz w:val="24"/>
          <w:szCs w:val="24"/>
        </w:rPr>
        <w:t>Babić Ivan, Bračun Žarko, Breški Mara, Đuras</w:t>
      </w:r>
      <w:r w:rsidR="00F62897" w:rsidRPr="0079374E">
        <w:rPr>
          <w:rStyle w:val="Naglaeno"/>
          <w:sz w:val="24"/>
          <w:szCs w:val="24"/>
        </w:rPr>
        <w:t>,</w:t>
      </w:r>
      <w:r w:rsidR="00C26FA1" w:rsidRPr="0079374E">
        <w:rPr>
          <w:rStyle w:val="Naglaeno"/>
          <w:sz w:val="24"/>
          <w:szCs w:val="24"/>
        </w:rPr>
        <w:t xml:space="preserve"> Ivan, Đurić Anton,  Emporion d.o.o, Ipša Ignacije, Krivak Ivan, Lešković Ivanka, Martinović Vitomir, Milošević Željko, Pandža Ivan, Puk Marcela, Republika Hrvatska, Ministarstvo Financija, Porezna Uprava, Područni Ured Zagreb,  Stečajna masa iza ŠUMA D.D., Šare Ivan, Visković Igor, Zdrilić Elena i Grad Zagreb </w:t>
      </w:r>
      <w:r w:rsidR="007C772C" w:rsidRPr="0079374E">
        <w:rPr>
          <w:b w:val="false"/>
          <w:sz w:val="24"/>
          <w:szCs w:val="24"/>
        </w:rPr>
        <w:t>su upućeni u parnicu</w:t>
      </w:r>
      <w:r w:rsidR="00C26FA1" w:rsidRPr="0079374E">
        <w:rPr>
          <w:b w:val="false"/>
          <w:sz w:val="24"/>
          <w:szCs w:val="24"/>
        </w:rPr>
        <w:t xml:space="preserve">. </w:t>
      </w:r>
      <w:r w:rsidR="007C772C" w:rsidRPr="0079374E">
        <w:rPr>
          <w:b w:val="false"/>
          <w:sz w:val="24"/>
          <w:szCs w:val="24"/>
        </w:rPr>
        <w:t xml:space="preserve"> Na predmetno rješenje nije bilo žalbi</w:t>
      </w:r>
      <w:r w:rsidR="00C26FA1" w:rsidRPr="0079374E">
        <w:rPr>
          <w:b w:val="false"/>
          <w:sz w:val="24"/>
          <w:szCs w:val="24"/>
        </w:rPr>
        <w:t>.</w:t>
      </w:r>
    </w:p>
    <w:p w14:textId="77777777" w14:paraId="6AABB641" w:rsidRDefault="00C26FA1" w:rsidP="00F62897" w:rsidR="00C26FA1" w:rsidRPr="0079374E">
      <w:pPr>
        <w:pStyle w:val="Naslov"/>
        <w:spacing w:lineRule="auto" w:line="276"/>
        <w:ind w:firstLine="708"/>
        <w:jc w:val="both"/>
        <w:rPr>
          <w:b w:val="false"/>
          <w:sz w:val="24"/>
          <w:szCs w:val="24"/>
        </w:rPr>
      </w:pPr>
    </w:p>
    <w:p w14:textId="41480999" w14:paraId="587BDC1D" w:rsidRDefault="00C26FA1" w:rsidP="00F62897" w:rsidR="00C26FA1" w:rsidRPr="0079374E">
      <w:pPr>
        <w:pStyle w:val="Naslov"/>
        <w:spacing w:lineRule="auto" w:line="276"/>
        <w:ind w:firstLine="708"/>
        <w:jc w:val="both"/>
        <w:rPr>
          <w:rStyle w:val="Naglaeno"/>
          <w:sz w:val="24"/>
          <w:szCs w:val="24"/>
        </w:rPr>
      </w:pPr>
      <w:r w:rsidRPr="0079374E">
        <w:rPr>
          <w:b w:val="false"/>
          <w:sz w:val="24"/>
          <w:szCs w:val="24"/>
        </w:rPr>
        <w:t xml:space="preserve">Prema saznanju stečajnog upravitelja vjerovnici </w:t>
      </w:r>
      <w:r w:rsidRPr="0079374E">
        <w:rPr>
          <w:rStyle w:val="Naglaeno"/>
          <w:sz w:val="24"/>
          <w:szCs w:val="24"/>
        </w:rPr>
        <w:t>Emporion d.o.o, Republika Hrvatska, Ministarstvo Financija, Porezna Uprava, Područni Ured Zagreb,  Stečajna masa iza Šuma d.d., i Grad Zagreb nisu pokrenuli parnične postupke.</w:t>
      </w:r>
    </w:p>
    <w:p w14:textId="77777777" w14:paraId="1E6D5047" w:rsidRDefault="00C26FA1" w:rsidP="00F62897" w:rsidR="00C26FA1" w:rsidRPr="0079374E">
      <w:pPr>
        <w:pStyle w:val="Naslov"/>
        <w:spacing w:lineRule="auto" w:line="276"/>
        <w:ind w:firstLine="708"/>
        <w:jc w:val="both"/>
        <w:rPr>
          <w:rStyle w:val="Naglaeno"/>
          <w:sz w:val="24"/>
          <w:szCs w:val="24"/>
        </w:rPr>
      </w:pPr>
    </w:p>
    <w:p w14:textId="17B3085B" w14:paraId="4F13E6D3" w:rsidRDefault="00C26FA1" w:rsidP="00F62897" w:rsidR="00D5428A" w:rsidRPr="0079374E">
      <w:pPr>
        <w:pStyle w:val="Naslov"/>
        <w:spacing w:lineRule="auto" w:line="276"/>
        <w:ind w:firstLine="708"/>
        <w:jc w:val="both"/>
        <w:rPr>
          <w:rStyle w:val="Naglaeno"/>
          <w:sz w:val="24"/>
          <w:szCs w:val="24"/>
        </w:rPr>
      </w:pPr>
      <w:r w:rsidRPr="0079374E">
        <w:rPr>
          <w:b w:val="false"/>
          <w:sz w:val="24"/>
          <w:szCs w:val="24"/>
        </w:rPr>
        <w:t xml:space="preserve">Vjerovnici osporenih tražbina </w:t>
      </w:r>
      <w:r w:rsidRPr="0079374E">
        <w:rPr>
          <w:rStyle w:val="Naglaeno"/>
          <w:sz w:val="24"/>
          <w:szCs w:val="24"/>
        </w:rPr>
        <w:t xml:space="preserve">Babić Ivan, Bračun Žarko, Breški Mara, Đuras Ivan, Đurić Anton,  Ipša Ignacije, Krivak Ivan, Lešković Ivanka, Martinović Vitomir, Milošević Željko, Pandža Ivan, Puk Marcela, Šare Ivan, Visković Igor, Zdrilić Elena nastavili su već započete parnične postupke </w:t>
      </w:r>
      <w:r w:rsidR="00CD73A6" w:rsidRPr="0079374E">
        <w:rPr>
          <w:rStyle w:val="Naglaeno"/>
          <w:sz w:val="24"/>
          <w:szCs w:val="24"/>
        </w:rPr>
        <w:t xml:space="preserve">prije otvaranja </w:t>
      </w:r>
      <w:r w:rsidR="00F62897" w:rsidRPr="0079374E">
        <w:rPr>
          <w:rStyle w:val="Naglaeno"/>
          <w:sz w:val="24"/>
          <w:szCs w:val="24"/>
        </w:rPr>
        <w:t>stečajnog postupka preuređenjem svojih tužbenih zahtjeva na osnovanost osporene tražbine</w:t>
      </w:r>
      <w:r w:rsidR="00CD73A6" w:rsidRPr="0079374E">
        <w:rPr>
          <w:color w:themeShade="1A" w:themeColor="background2" w:val="1D1B11"/>
          <w:sz w:val="24"/>
          <w:szCs w:val="24"/>
        </w:rPr>
        <w:t xml:space="preserve">. </w:t>
      </w:r>
      <w:r w:rsidR="00CD73A6" w:rsidRPr="0079374E">
        <w:rPr>
          <w:b w:val="false"/>
          <w:color w:themeShade="1A" w:themeColor="background2" w:val="1D1B11"/>
          <w:sz w:val="24"/>
          <w:szCs w:val="24"/>
        </w:rPr>
        <w:t>Predmeti se vode pod brojevima (P-525/14, P-717/15; Pž-824/16, P-730/15; P-825/16, P-733/15; Pž-794/16, P-732/15, P-725/15, P-860/15; Pž-795/15, P-858/15; Pž-3030/16, P-859/15, P-726/15; Pž-3067/16, P-736/15, P-716/15; Pž-3066/16, P-847/15; Pž-827/16, P-878/15. Pž-3041/16, P-724/15; Pž-3976/16) Ovdje se radi o pravnom pitanju kada nastupa zastara obveze za što su provostupanjske odluke bile različite.</w:t>
      </w:r>
      <w:r w:rsidR="00CD73A6" w:rsidRPr="0079374E">
        <w:rPr>
          <w:color w:themeShade="1A" w:themeColor="background2" w:val="1D1B11"/>
          <w:sz w:val="24"/>
          <w:szCs w:val="24"/>
        </w:rPr>
        <w:t xml:space="preserve"> </w:t>
      </w:r>
      <w:r w:rsidR="00F62897" w:rsidRPr="0079374E">
        <w:rPr>
          <w:rStyle w:val="Naglaeno"/>
          <w:sz w:val="24"/>
          <w:szCs w:val="24"/>
        </w:rPr>
        <w:t xml:space="preserve">Postupci su </w:t>
      </w:r>
      <w:r w:rsidR="00D5428A" w:rsidRPr="0079374E">
        <w:rPr>
          <w:rStyle w:val="Naglaeno"/>
          <w:sz w:val="24"/>
          <w:szCs w:val="24"/>
        </w:rPr>
        <w:t xml:space="preserve">većim dijelom </w:t>
      </w:r>
      <w:r w:rsidR="00F62897" w:rsidRPr="0079374E">
        <w:rPr>
          <w:rStyle w:val="Naglaeno"/>
          <w:sz w:val="24"/>
          <w:szCs w:val="24"/>
        </w:rPr>
        <w:t>nastavljeni u odnosu na J</w:t>
      </w:r>
      <w:r w:rsidR="00D5428A" w:rsidRPr="0079374E">
        <w:rPr>
          <w:rStyle w:val="Naglaeno"/>
          <w:sz w:val="24"/>
          <w:szCs w:val="24"/>
        </w:rPr>
        <w:t>adran-produkt d.o.o</w:t>
      </w:r>
      <w:r w:rsidR="0079374E" w:rsidRPr="0079374E">
        <w:rPr>
          <w:rStyle w:val="Naglaeno"/>
          <w:sz w:val="24"/>
          <w:szCs w:val="24"/>
        </w:rPr>
        <w:t>.</w:t>
      </w:r>
      <w:r w:rsidR="00D5428A" w:rsidRPr="0079374E">
        <w:rPr>
          <w:rStyle w:val="Naglaeno"/>
          <w:sz w:val="24"/>
          <w:szCs w:val="24"/>
        </w:rPr>
        <w:t xml:space="preserve"> u stečaju, ali su </w:t>
      </w:r>
      <w:r w:rsidR="0079374E" w:rsidRPr="0079374E">
        <w:rPr>
          <w:rStyle w:val="Naglaeno"/>
          <w:sz w:val="24"/>
          <w:szCs w:val="24"/>
        </w:rPr>
        <w:t>potom prekidani u odnosu na sup</w:t>
      </w:r>
      <w:r w:rsidR="00D5428A" w:rsidRPr="0079374E">
        <w:rPr>
          <w:rStyle w:val="Naglaeno"/>
          <w:sz w:val="24"/>
          <w:szCs w:val="24"/>
        </w:rPr>
        <w:t>a</w:t>
      </w:r>
      <w:r w:rsidR="0079374E" w:rsidRPr="0079374E">
        <w:rPr>
          <w:rStyle w:val="Naglaeno"/>
          <w:sz w:val="24"/>
          <w:szCs w:val="24"/>
        </w:rPr>
        <w:t>r</w:t>
      </w:r>
      <w:r w:rsidR="00D5428A" w:rsidRPr="0079374E">
        <w:rPr>
          <w:rStyle w:val="Naglaeno"/>
          <w:sz w:val="24"/>
          <w:szCs w:val="24"/>
        </w:rPr>
        <w:t>ničara Impuls građenje d.o.o. u stečaju. S obzirom da se radi o istoj pravnoj i činjeničnoj osnovi u svim tužbenim zahtjevima bilo je i različitih sudskih odluka vezano na prekid u pogledu jedinstven</w:t>
      </w:r>
      <w:r w:rsidR="00CD73A6" w:rsidRPr="0079374E">
        <w:rPr>
          <w:rStyle w:val="Naglaeno"/>
          <w:sz w:val="24"/>
          <w:szCs w:val="24"/>
        </w:rPr>
        <w:t>og suparn</w:t>
      </w:r>
      <w:r w:rsidR="00D5428A" w:rsidRPr="0079374E">
        <w:rPr>
          <w:rStyle w:val="Naglaeno"/>
          <w:sz w:val="24"/>
          <w:szCs w:val="24"/>
        </w:rPr>
        <w:t>ičarstva</w:t>
      </w:r>
      <w:r w:rsidR="00CD73A6" w:rsidRPr="0079374E">
        <w:rPr>
          <w:rStyle w:val="Naglaeno"/>
          <w:sz w:val="24"/>
          <w:szCs w:val="24"/>
        </w:rPr>
        <w:t xml:space="preserve"> što je uzrokovalo i žalbe na rješenja o prekidu i dodatno usporavanje parničnih postupaka</w:t>
      </w:r>
      <w:r w:rsidR="00D5428A" w:rsidRPr="0079374E">
        <w:rPr>
          <w:rStyle w:val="Naglaeno"/>
          <w:sz w:val="24"/>
          <w:szCs w:val="24"/>
        </w:rPr>
        <w:t xml:space="preserve">. Parnice nisu okončane, a za </w:t>
      </w:r>
      <w:r w:rsidR="00D5428A" w:rsidRPr="0079374E">
        <w:rPr>
          <w:rStyle w:val="Naglaeno"/>
          <w:sz w:val="24"/>
          <w:szCs w:val="24"/>
        </w:rPr>
        <w:lastRenderedPageBreak/>
        <w:t>slučaj eventualne diobe stečajni upravitelj će reze</w:t>
      </w:r>
      <w:r w:rsidR="00CD73A6" w:rsidRPr="0079374E">
        <w:rPr>
          <w:rStyle w:val="Naglaeno"/>
          <w:sz w:val="24"/>
          <w:szCs w:val="24"/>
        </w:rPr>
        <w:t>rvirati sredstva za vjerovnik o</w:t>
      </w:r>
      <w:r w:rsidR="00D5428A" w:rsidRPr="0079374E">
        <w:rPr>
          <w:rStyle w:val="Naglaeno"/>
          <w:sz w:val="24"/>
          <w:szCs w:val="24"/>
        </w:rPr>
        <w:t>sporenih tražbina koji su pokrenuli parnice.</w:t>
      </w:r>
    </w:p>
    <w:p w14:textId="77777777" w14:paraId="74235159" w:rsidRDefault="00D5428A" w:rsidP="00F62897" w:rsidR="00D5428A" w:rsidRPr="0079374E">
      <w:pPr>
        <w:pStyle w:val="Naslov"/>
        <w:spacing w:lineRule="auto" w:line="276"/>
        <w:ind w:firstLine="708"/>
        <w:jc w:val="both"/>
        <w:rPr>
          <w:rStyle w:val="Naglaeno"/>
          <w:sz w:val="24"/>
          <w:szCs w:val="24"/>
        </w:rPr>
      </w:pPr>
    </w:p>
    <w:p w14:textId="13776657" w14:paraId="09F4CB41" w:rsidRDefault="002460A4" w:rsidP="002460A4" w:rsidR="00D5428A" w:rsidRPr="0079374E">
      <w:pPr>
        <w:spacing w:lineRule="auto" w:line="276" w:after="0"/>
        <w:jc w:val="both"/>
        <w:rPr>
          <w:rStyle w:val="Naglaeno"/>
          <w:rFonts w:hAnsi="Times New Roman" w:ascii="Times New Roman"/>
          <w:b w:val="false"/>
          <w:sz w:val="24"/>
          <w:szCs w:val="24"/>
        </w:rPr>
      </w:pPr>
      <w:r w:rsidRPr="0079374E">
        <w:rPr>
          <w:rStyle w:val="Naglaeno"/>
          <w:rFonts w:hAnsi="Times New Roman" w:ascii="Times New Roman"/>
          <w:b w:val="false"/>
          <w:sz w:val="24"/>
          <w:szCs w:val="24"/>
        </w:rPr>
        <w:tab/>
      </w:r>
      <w:r w:rsidR="00D5428A" w:rsidRPr="0079374E">
        <w:rPr>
          <w:rStyle w:val="Naglaeno"/>
          <w:rFonts w:hAnsi="Times New Roman" w:ascii="Times New Roman"/>
          <w:b w:val="false"/>
          <w:sz w:val="24"/>
          <w:szCs w:val="24"/>
        </w:rPr>
        <w:t>Stečajni upravitelj je Zemljišnoknjižnom odjelu Općinskog građanskog suda 1. prosinca 2016. podnio prijedlog za opravdanje predbilježbe za uknjižbu prava vlasništva na nekretnin</w:t>
      </w:r>
      <w:r w:rsidR="00F11838" w:rsidRPr="0079374E">
        <w:rPr>
          <w:rStyle w:val="Naglaeno"/>
          <w:rFonts w:hAnsi="Times New Roman" w:ascii="Times New Roman"/>
          <w:b w:val="false"/>
          <w:sz w:val="24"/>
          <w:szCs w:val="24"/>
        </w:rPr>
        <w:t>i</w:t>
      </w:r>
      <w:r w:rsidRPr="0079374E">
        <w:rPr>
          <w:rStyle w:val="Naglaeno"/>
          <w:rFonts w:hAnsi="Times New Roman" w:ascii="Times New Roman"/>
          <w:b w:val="false"/>
          <w:sz w:val="24"/>
          <w:szCs w:val="24"/>
        </w:rPr>
        <w:t xml:space="preserve"> </w:t>
      </w:r>
      <w:r w:rsidRPr="0079374E">
        <w:rPr>
          <w:rFonts w:hAnsi="Times New Roman" w:ascii="Times New Roman"/>
          <w:sz w:val="24"/>
          <w:szCs w:val="24"/>
        </w:rPr>
        <w:t>k.č.br. 2548/1  i k.č.br. 2548/8</w:t>
      </w:r>
      <w:r w:rsidRPr="0079374E">
        <w:rPr>
          <w:rFonts w:hAnsi="Times New Roman" w:ascii="Times New Roman"/>
          <w:b/>
          <w:sz w:val="24"/>
          <w:szCs w:val="24"/>
        </w:rPr>
        <w:t xml:space="preserve"> </w:t>
      </w:r>
      <w:r w:rsidR="00F11838" w:rsidRPr="0079374E">
        <w:rPr>
          <w:rStyle w:val="Naglaeno"/>
          <w:rFonts w:hAnsi="Times New Roman" w:ascii="Times New Roman"/>
          <w:b w:val="false"/>
          <w:sz w:val="24"/>
          <w:szCs w:val="24"/>
        </w:rPr>
        <w:t xml:space="preserve"> u</w:t>
      </w:r>
      <w:r w:rsidRPr="0079374E">
        <w:rPr>
          <w:rStyle w:val="Naglaeno"/>
          <w:rFonts w:hAnsi="Times New Roman" w:ascii="Times New Roman"/>
          <w:b w:val="false"/>
          <w:sz w:val="24"/>
          <w:szCs w:val="24"/>
        </w:rPr>
        <w:t>pisanih</w:t>
      </w:r>
      <w:r w:rsidR="00F11838" w:rsidRPr="0079374E">
        <w:rPr>
          <w:rStyle w:val="Naglaeno"/>
          <w:rFonts w:hAnsi="Times New Roman" w:ascii="Times New Roman"/>
          <w:b w:val="false"/>
          <w:sz w:val="24"/>
          <w:szCs w:val="24"/>
        </w:rPr>
        <w:t xml:space="preserve"> zk.ul. br. 3072 k.o. Remete koji predmet je zaveden pod posl. br. Z-60160/2016.</w:t>
      </w:r>
      <w:r w:rsidR="00D5428A" w:rsidRPr="0079374E">
        <w:rPr>
          <w:rStyle w:val="Naglaeno"/>
          <w:rFonts w:hAnsi="Times New Roman" w:ascii="Times New Roman"/>
          <w:b w:val="false"/>
          <w:sz w:val="24"/>
          <w:szCs w:val="24"/>
        </w:rPr>
        <w:t xml:space="preserve"> </w:t>
      </w:r>
      <w:r w:rsidR="00F11838" w:rsidRPr="0079374E">
        <w:rPr>
          <w:rStyle w:val="Naglaeno"/>
          <w:rFonts w:hAnsi="Times New Roman" w:ascii="Times New Roman"/>
          <w:b w:val="false"/>
          <w:sz w:val="24"/>
          <w:szCs w:val="24"/>
        </w:rPr>
        <w:t xml:space="preserve">Nakon dvije požurnice 26. listopada 2017. </w:t>
      </w:r>
      <w:r w:rsidRPr="0079374E">
        <w:rPr>
          <w:rStyle w:val="Naglaeno"/>
          <w:rFonts w:hAnsi="Times New Roman" w:ascii="Times New Roman"/>
          <w:b w:val="false"/>
          <w:sz w:val="24"/>
          <w:szCs w:val="24"/>
        </w:rPr>
        <w:t xml:space="preserve">nakon gotovo jedne godine </w:t>
      </w:r>
      <w:r w:rsidR="00F11838" w:rsidRPr="0079374E">
        <w:rPr>
          <w:rStyle w:val="Naglaeno"/>
          <w:rFonts w:hAnsi="Times New Roman" w:ascii="Times New Roman"/>
          <w:b w:val="false"/>
          <w:sz w:val="24"/>
          <w:szCs w:val="24"/>
        </w:rPr>
        <w:t>izvršen je upis prava vlasništva stečajnog dužnika na 1/12 suvlasničkog dijela nekretnine</w:t>
      </w:r>
      <w:r w:rsidRPr="0079374E">
        <w:rPr>
          <w:rStyle w:val="Naglaeno"/>
          <w:rFonts w:hAnsi="Times New Roman" w:ascii="Times New Roman"/>
          <w:b w:val="false"/>
          <w:sz w:val="24"/>
          <w:szCs w:val="24"/>
        </w:rPr>
        <w:t>, a rješenje je postalo pravomoćno</w:t>
      </w:r>
      <w:r w:rsidR="00F11838" w:rsidRPr="0079374E">
        <w:rPr>
          <w:rStyle w:val="Naglaeno"/>
          <w:rFonts w:hAnsi="Times New Roman" w:ascii="Times New Roman"/>
          <w:b w:val="false"/>
          <w:sz w:val="24"/>
          <w:szCs w:val="24"/>
        </w:rPr>
        <w:t>. Time je stečajni</w:t>
      </w:r>
      <w:r w:rsidRPr="0079374E">
        <w:rPr>
          <w:rStyle w:val="Naglaeno"/>
          <w:rFonts w:hAnsi="Times New Roman" w:ascii="Times New Roman"/>
          <w:b w:val="false"/>
          <w:sz w:val="24"/>
          <w:szCs w:val="24"/>
        </w:rPr>
        <w:t xml:space="preserve"> dužnik postao vlasnik svih ide</w:t>
      </w:r>
      <w:r w:rsidR="00F11838" w:rsidRPr="0079374E">
        <w:rPr>
          <w:rStyle w:val="Naglaeno"/>
          <w:rFonts w:hAnsi="Times New Roman" w:ascii="Times New Roman"/>
          <w:b w:val="false"/>
          <w:sz w:val="24"/>
          <w:szCs w:val="24"/>
        </w:rPr>
        <w:t>a</w:t>
      </w:r>
      <w:r w:rsidRPr="0079374E">
        <w:rPr>
          <w:rStyle w:val="Naglaeno"/>
          <w:rFonts w:hAnsi="Times New Roman" w:ascii="Times New Roman"/>
          <w:b w:val="false"/>
          <w:sz w:val="24"/>
          <w:szCs w:val="24"/>
        </w:rPr>
        <w:t>l</w:t>
      </w:r>
      <w:r w:rsidR="00F11838" w:rsidRPr="0079374E">
        <w:rPr>
          <w:rStyle w:val="Naglaeno"/>
          <w:rFonts w:hAnsi="Times New Roman" w:ascii="Times New Roman"/>
          <w:b w:val="false"/>
          <w:sz w:val="24"/>
          <w:szCs w:val="24"/>
        </w:rPr>
        <w:t xml:space="preserve">nih dijelova nekretnine, uz napomenu da na suvlasničkom dijelu 1/12 nema hipoteke, dok je suvlasničkim dijelovima </w:t>
      </w:r>
      <w:r w:rsidRPr="0079374E">
        <w:rPr>
          <w:rStyle w:val="Naglaeno"/>
          <w:rFonts w:hAnsi="Times New Roman" w:ascii="Times New Roman"/>
          <w:b w:val="false"/>
          <w:sz w:val="24"/>
          <w:szCs w:val="24"/>
        </w:rPr>
        <w:t xml:space="preserve">1/12 </w:t>
      </w:r>
      <w:r w:rsidR="00F26821" w:rsidRPr="0079374E">
        <w:rPr>
          <w:rStyle w:val="Naglaeno"/>
          <w:rFonts w:hAnsi="Times New Roman" w:ascii="Times New Roman"/>
          <w:b w:val="false"/>
          <w:sz w:val="24"/>
          <w:szCs w:val="24"/>
        </w:rPr>
        <w:t xml:space="preserve">, 1/12 </w:t>
      </w:r>
      <w:r w:rsidRPr="0079374E">
        <w:rPr>
          <w:rStyle w:val="Naglaeno"/>
          <w:rFonts w:hAnsi="Times New Roman" w:ascii="Times New Roman"/>
          <w:b w:val="false"/>
          <w:sz w:val="24"/>
          <w:szCs w:val="24"/>
        </w:rPr>
        <w:t xml:space="preserve">i 9/12 </w:t>
      </w:r>
      <w:r w:rsidR="00F11838" w:rsidRPr="0079374E">
        <w:rPr>
          <w:rStyle w:val="Naglaeno"/>
          <w:rFonts w:hAnsi="Times New Roman" w:ascii="Times New Roman"/>
          <w:b w:val="false"/>
          <w:sz w:val="24"/>
          <w:szCs w:val="24"/>
        </w:rPr>
        <w:t xml:space="preserve">uknjiženo založno </w:t>
      </w:r>
      <w:r w:rsidRPr="0079374E">
        <w:rPr>
          <w:rStyle w:val="Naglaeno"/>
          <w:rFonts w:hAnsi="Times New Roman" w:ascii="Times New Roman"/>
          <w:b w:val="false"/>
          <w:sz w:val="24"/>
          <w:szCs w:val="24"/>
        </w:rPr>
        <w:t>pravo Ministarst</w:t>
      </w:r>
      <w:r w:rsidR="00F11838" w:rsidRPr="0079374E">
        <w:rPr>
          <w:rStyle w:val="Naglaeno"/>
          <w:rFonts w:hAnsi="Times New Roman" w:ascii="Times New Roman"/>
          <w:b w:val="false"/>
          <w:sz w:val="24"/>
          <w:szCs w:val="24"/>
        </w:rPr>
        <w:t>va financija - Porezne uprave.</w:t>
      </w:r>
    </w:p>
    <w:p w14:textId="77777777" w14:paraId="66F9D70F" w:rsidRDefault="00880CC4" w:rsidP="002460A4" w:rsidR="00880CC4" w:rsidRPr="0079374E">
      <w:pPr>
        <w:spacing w:lineRule="auto" w:line="276" w:after="0"/>
        <w:jc w:val="both"/>
        <w:rPr>
          <w:rStyle w:val="Naglaeno"/>
          <w:rFonts w:hAnsi="Times New Roman" w:ascii="Times New Roman"/>
          <w:b w:val="false"/>
          <w:sz w:val="24"/>
          <w:szCs w:val="24"/>
        </w:rPr>
      </w:pPr>
    </w:p>
    <w:p w14:textId="10E9CE93" w14:paraId="19BC39D6" w:rsidRDefault="00880CC4" w:rsidP="002460A4" w:rsidR="00880CC4" w:rsidRPr="0079374E">
      <w:pPr>
        <w:spacing w:lineRule="auto" w:line="276" w:after="0"/>
        <w:jc w:val="both"/>
        <w:rPr>
          <w:rStyle w:val="Naglaeno"/>
          <w:rFonts w:hAnsi="Times New Roman" w:ascii="Times New Roman"/>
          <w:b w:val="false"/>
          <w:sz w:val="24"/>
          <w:szCs w:val="24"/>
        </w:rPr>
      </w:pPr>
      <w:r w:rsidRPr="0079374E">
        <w:rPr>
          <w:rStyle w:val="Naglaeno"/>
          <w:rFonts w:hAnsi="Times New Roman" w:ascii="Times New Roman"/>
          <w:b w:val="false"/>
          <w:sz w:val="24"/>
          <w:szCs w:val="24"/>
        </w:rPr>
        <w:tab/>
        <w:t>Kako bi se uredilo stanje u zemljišnim knjigama, a s obzirom da se prije otvaranja stečajnog postupka nad dužnikom vodio postupak predstečajne nagodbe prema odredbama Zakona o financijskom poslovanju i predstečajnoj nagodbi u zemljišnim knjigama je bila zabilježba otvaranja postupka predstečajne nagodbe, pa je stečajni upravitelj podneskom od Nagodbenog vijeća HR02 Financijske agencije zatražio brisanje iste što je Zemljišnoknjižni odjel Općinskog građanskog suda i učinio.</w:t>
      </w:r>
    </w:p>
    <w:p w14:textId="77777777" w14:paraId="51872084" w:rsidRDefault="00CD73A6" w:rsidP="002460A4" w:rsidR="00CD73A6" w:rsidRPr="0079374E">
      <w:pPr>
        <w:spacing w:lineRule="auto" w:line="276" w:after="0"/>
        <w:jc w:val="both"/>
        <w:rPr>
          <w:rStyle w:val="Naglaeno"/>
          <w:rFonts w:hAnsi="Times New Roman" w:ascii="Times New Roman"/>
          <w:b w:val="false"/>
          <w:sz w:val="24"/>
          <w:szCs w:val="24"/>
        </w:rPr>
      </w:pPr>
    </w:p>
    <w:p w14:textId="6E16FFA7" w14:paraId="47F74DB5" w:rsidRDefault="00CD73A6" w:rsidP="002460A4" w:rsidR="00CD73A6" w:rsidRPr="0079374E">
      <w:pPr>
        <w:spacing w:lineRule="auto" w:line="276" w:after="0"/>
        <w:jc w:val="both"/>
        <w:rPr>
          <w:rStyle w:val="Naglaeno"/>
          <w:rFonts w:hAnsi="Times New Roman" w:ascii="Times New Roman"/>
          <w:b w:val="false"/>
          <w:bCs w:val="false"/>
          <w:sz w:val="24"/>
          <w:szCs w:val="24"/>
        </w:rPr>
      </w:pPr>
      <w:r w:rsidRPr="0079374E">
        <w:rPr>
          <w:rStyle w:val="Naglaeno"/>
          <w:rFonts w:hAnsi="Times New Roman" w:ascii="Times New Roman"/>
          <w:b w:val="false"/>
          <w:sz w:val="24"/>
          <w:szCs w:val="24"/>
        </w:rPr>
        <w:tab/>
        <w:t xml:space="preserve">Paralelno s uknjižbom stečajni upravitelj je naručio procjenu vrijednosti nekretnine </w:t>
      </w:r>
      <w:r w:rsidRPr="0079374E">
        <w:rPr>
          <w:rFonts w:hAnsi="Times New Roman" w:ascii="Times New Roman"/>
          <w:sz w:val="24"/>
          <w:szCs w:val="24"/>
        </w:rPr>
        <w:t>k.č.br. 2548/1  i k.č.br. 2548/8</w:t>
      </w:r>
      <w:r w:rsidRPr="0079374E">
        <w:rPr>
          <w:rFonts w:hAnsi="Times New Roman" w:ascii="Times New Roman"/>
          <w:b/>
          <w:sz w:val="24"/>
          <w:szCs w:val="24"/>
        </w:rPr>
        <w:t xml:space="preserve"> </w:t>
      </w:r>
      <w:r w:rsidRPr="0079374E">
        <w:rPr>
          <w:rStyle w:val="Naglaeno"/>
          <w:rFonts w:hAnsi="Times New Roman" w:ascii="Times New Roman"/>
          <w:b w:val="false"/>
          <w:sz w:val="24"/>
          <w:szCs w:val="24"/>
        </w:rPr>
        <w:t xml:space="preserve"> upisanih zk.ul. br. 3072 k.o. Remete koja je procijenjena po sudskom vještaku Tihomiru Boriću</w:t>
      </w:r>
      <w:r w:rsidR="00880CC4" w:rsidRPr="0079374E">
        <w:rPr>
          <w:rStyle w:val="Naglaeno"/>
          <w:rFonts w:hAnsi="Times New Roman" w:ascii="Times New Roman"/>
          <w:b w:val="false"/>
          <w:sz w:val="24"/>
          <w:szCs w:val="24"/>
        </w:rPr>
        <w:t xml:space="preserve"> u lipnju 2017. u iznosu od 722.067,60 kn što uključuje sve suvlasničke dijelove.</w:t>
      </w:r>
    </w:p>
    <w:p w14:textId="77777777" w14:paraId="628184B1" w:rsidRDefault="00F11838" w:rsidP="00F62897" w:rsidR="00F11838" w:rsidRPr="0079374E">
      <w:pPr>
        <w:pStyle w:val="Naslov"/>
        <w:spacing w:lineRule="auto" w:line="276"/>
        <w:ind w:firstLine="708"/>
        <w:jc w:val="both"/>
        <w:rPr>
          <w:rStyle w:val="Naglaeno"/>
          <w:sz w:val="24"/>
          <w:szCs w:val="24"/>
        </w:rPr>
      </w:pPr>
    </w:p>
    <w:p w14:textId="36FE36BF" w14:paraId="1DCC5557" w:rsidRDefault="00F11838" w:rsidP="00F62897" w:rsidR="00F11838" w:rsidRPr="0079374E">
      <w:pPr>
        <w:pStyle w:val="Naslov"/>
        <w:spacing w:lineRule="auto" w:line="276"/>
        <w:ind w:firstLine="708"/>
        <w:jc w:val="both"/>
        <w:rPr>
          <w:rStyle w:val="Naglaeno"/>
          <w:sz w:val="24"/>
          <w:szCs w:val="24"/>
        </w:rPr>
      </w:pPr>
      <w:r w:rsidRPr="0079374E">
        <w:rPr>
          <w:rStyle w:val="Naglaeno"/>
          <w:sz w:val="24"/>
          <w:szCs w:val="24"/>
        </w:rPr>
        <w:t>Stečajni upravitelj je nastavio parnični postupak koji se sada vodi pod posl. br. P-755/2017 kod Općinskog suda u Novom Zagrebu - Stalne službe u Samoboru protiv tuženika Grada Zagreba radi utvrđenja prava vlasništva nekretnine</w:t>
      </w:r>
      <w:r w:rsidR="002460A4" w:rsidRPr="0079374E">
        <w:rPr>
          <w:rStyle w:val="Naglaeno"/>
          <w:sz w:val="24"/>
          <w:szCs w:val="24"/>
        </w:rPr>
        <w:t>.</w:t>
      </w:r>
      <w:r w:rsidR="00CD73A6" w:rsidRPr="0079374E">
        <w:rPr>
          <w:rStyle w:val="Naglaeno"/>
          <w:sz w:val="24"/>
          <w:szCs w:val="24"/>
        </w:rPr>
        <w:t xml:space="preserve"> Radi se o nekretnini površine 14577</w:t>
      </w:r>
      <w:r w:rsidR="002460A4" w:rsidRPr="0079374E">
        <w:rPr>
          <w:rStyle w:val="Naglaeno"/>
          <w:sz w:val="24"/>
          <w:szCs w:val="24"/>
        </w:rPr>
        <w:t xml:space="preserve"> Održana su dva ročišta na kojima su ispitani svjedoci, a glavna rasprava još nije zaključena. </w:t>
      </w:r>
      <w:r w:rsidR="00CD73A6" w:rsidRPr="0079374E">
        <w:rPr>
          <w:rStyle w:val="Naglaeno"/>
          <w:sz w:val="24"/>
          <w:szCs w:val="24"/>
        </w:rPr>
        <w:t>Dužnik je prije otvaranja stečajnog postupka od društva Cestrograd d.d. u stečaju kupoprodajnim ugovorom i plaćanjem kupovnine stekao vlasništvo nekretnine koja je unešena u temeljni kapital Cestograda d.d. međutim nikada nije izvršena uknjižba prava vlasništva na Cestograd d.d., pa posljedično nije niti na stečajnog dužnika. S obzirom da se radi o vrijednom zemljištu opravdano je nastaviti s parničnim postupkom.</w:t>
      </w:r>
    </w:p>
    <w:p w14:textId="77777777" w14:paraId="035A9784" w:rsidRDefault="00880CC4" w:rsidP="00F62897" w:rsidR="00880CC4" w:rsidRPr="0079374E">
      <w:pPr>
        <w:pStyle w:val="Naslov"/>
        <w:spacing w:lineRule="auto" w:line="276"/>
        <w:ind w:firstLine="708"/>
        <w:jc w:val="both"/>
        <w:rPr>
          <w:rStyle w:val="Naglaeno"/>
          <w:sz w:val="24"/>
          <w:szCs w:val="24"/>
        </w:rPr>
      </w:pPr>
    </w:p>
    <w:p w14:textId="456614DC" w14:paraId="5B1D6518" w:rsidRDefault="00880CC4" w:rsidP="00DA2CFF" w:rsidR="00DA2CFF" w:rsidRPr="0079374E">
      <w:pPr>
        <w:pStyle w:val="Naslov"/>
        <w:spacing w:lineRule="auto" w:line="276"/>
        <w:ind w:firstLine="708"/>
        <w:jc w:val="both"/>
        <w:rPr>
          <w:b w:val="false"/>
          <w:bCs/>
          <w:sz w:val="24"/>
          <w:szCs w:val="24"/>
        </w:rPr>
      </w:pPr>
      <w:r w:rsidRPr="0079374E">
        <w:rPr>
          <w:rStyle w:val="Naglaeno"/>
          <w:sz w:val="24"/>
          <w:szCs w:val="24"/>
        </w:rPr>
        <w:t>Stečajni upravitelj je zaprimio ponudu od strane Stečajne mase iza Šuma d.d. u stečaju kojom suprotna strana daje uvjetni prijedlog nagodbe</w:t>
      </w:r>
      <w:r w:rsidR="00DA2CFF" w:rsidRPr="0079374E">
        <w:rPr>
          <w:rStyle w:val="Naglaeno"/>
          <w:sz w:val="24"/>
          <w:szCs w:val="24"/>
        </w:rPr>
        <w:t xml:space="preserve"> radi</w:t>
      </w:r>
      <w:r w:rsidRPr="0079374E">
        <w:rPr>
          <w:rStyle w:val="Naglaeno"/>
          <w:sz w:val="24"/>
          <w:szCs w:val="24"/>
        </w:rPr>
        <w:t xml:space="preserve"> okončanja </w:t>
      </w:r>
      <w:r w:rsidR="00DA2CFF" w:rsidRPr="0079374E">
        <w:rPr>
          <w:b w:val="false"/>
          <w:color w:themeShade="1A" w:themeColor="background2" w:val="1D1B11"/>
          <w:sz w:val="24"/>
          <w:szCs w:val="24"/>
        </w:rPr>
        <w:t xml:space="preserve">parničnih postupaka pod poslovnim brojem P-96/2015 (raniji upisnik P-3993/10) i P-3092/10 u kojima je stečajni dužnik tužitelj, a tužnik je Stečajna masa Šuma d.d. </w:t>
      </w:r>
      <w:r w:rsidR="00DA2CFF" w:rsidRPr="0079374E">
        <w:rPr>
          <w:b w:val="false"/>
          <w:sz w:val="24"/>
          <w:szCs w:val="24"/>
        </w:rPr>
        <w:t>(St-132/10 TSZG</w:t>
      </w:r>
      <w:r w:rsidR="00DA2CFF" w:rsidRPr="0079374E">
        <w:rPr>
          <w:b w:val="false"/>
          <w:color w:themeShade="1A" w:themeColor="background2" w:val="1D1B11"/>
          <w:sz w:val="24"/>
          <w:szCs w:val="24"/>
        </w:rPr>
        <w:t xml:space="preserve">). Sporovi se vode radi utvrđivanja vlasništva, konkretnije radi suvlasništva 1/2 dijela zk. čestice br. 1249/456, površine 4 rala i 1233 hvati, upisana u zk.ul. br. 1459 k.o. Vrapče. U oba predmeta su donešene prvostupanjske presude te je u tijeku žalbeni postupak. U parnici P-3092/2010 djelomično je prihvaćen tužbeni zahtjev kojim je utvrđeno da je tužitelj (stečajni dužnik) kupoprodajnim ugovorom stekao pravni temelj za stjecanje vlasništva.ali nije prihvaćen </w:t>
      </w:r>
      <w:r w:rsidR="00DA2CFF" w:rsidRPr="0079374E">
        <w:rPr>
          <w:b w:val="false"/>
          <w:color w:themeShade="1A" w:themeColor="background2" w:val="1D1B11"/>
          <w:sz w:val="24"/>
          <w:szCs w:val="24"/>
        </w:rPr>
        <w:lastRenderedPageBreak/>
        <w:t>zahtjev kojim bi tuženik morao trpiti uknjižbu vlasništva. Stečajni dužnik je 2004. godine isplatio kupoprodajnu cijenu 1.159.940,46 kn te postoji opravdani interes za zaštitom svojih prava. Prijedlog nagodbe u kraćim crtama sadrži mirno rješenje sporova u kojem bi se povukle tužbe, svaka strana bi snosila svoje troškove. Tuženik bi unovčio nekretnine priklupljanjem pisanih ponuda s početnom procijenjenom cijenom od 24.103.562,50 kn jer iste nisu opterećne, te po unovčenju isplatio tužitelju ovdje stečajnom dužniku iznos od 2.000.000,00 kn. S obziorm da se ovdje radi isključivo o pravnim pitanjima stejecanja vlasništva nekretnine, uspostavljanja jednistva nekretnine, da ponuđeni iznos predstvalja plaćeni iznos od strane tužitelja i dio pripadajućih kamata što smatram da nam u svakom scenariju pripada mišljenja smo da prijedlog nagodbe nije prihvatljiv, a posebice što za nekretninu ne postoje poznati kupci koji bi garantirali brzo plaćanje. Stečajni upravitelj će i dalje pokušati iznaći eventualno prihvatljivije mogućnosti mirnog rješenja spora uvažavajući stanje parničnih postupaka.</w:t>
      </w:r>
    </w:p>
    <w:p w14:textId="77777777" w14:paraId="465340BD" w:rsidRDefault="00F62897" w:rsidP="00F62897" w:rsidR="00F62897" w:rsidRPr="0079374E">
      <w:pPr>
        <w:pStyle w:val="Naslov"/>
        <w:spacing w:lineRule="auto" w:line="276"/>
        <w:ind w:firstLine="708"/>
        <w:jc w:val="both"/>
        <w:rPr>
          <w:b w:val="false"/>
          <w:bCs/>
          <w:sz w:val="24"/>
          <w:szCs w:val="24"/>
        </w:rPr>
      </w:pPr>
    </w:p>
    <w:p w14:textId="02BA18CD" w14:paraId="353F5BD9" w:rsidRDefault="000E1F39" w:rsidP="00C81D32" w:rsidR="000E1F39" w:rsidRPr="0079374E">
      <w:pPr>
        <w:rPr>
          <w:rFonts w:hAnsi="Times New Roman" w:ascii="Times New Roman"/>
          <w:sz w:val="24"/>
          <w:szCs w:val="24"/>
        </w:rPr>
      </w:pPr>
      <w:r w:rsidRPr="0079374E">
        <w:rPr>
          <w:rFonts w:hAnsi="Times New Roman" w:ascii="Times New Roman"/>
          <w:sz w:val="24"/>
          <w:szCs w:val="24"/>
        </w:rPr>
        <w:t>II. STANJE STEČAJNE MASE</w:t>
      </w:r>
    </w:p>
    <w:p w14:textId="77777777" w14:paraId="5AB35ED5" w:rsidRDefault="00C81D32" w:rsidP="00C81D32" w:rsidR="00C81D32" w:rsidRPr="0079374E">
      <w:pPr>
        <w:widowControl w:val="false"/>
        <w:autoSpaceDE w:val="false"/>
        <w:autoSpaceDN w:val="false"/>
        <w:adjustRightInd w:val="false"/>
        <w:spacing w:after="0"/>
        <w:jc w:val="both"/>
        <w:rPr>
          <w:rFonts w:hAnsi="Times New Roman" w:ascii="Times New Roman"/>
          <w:sz w:val="24"/>
          <w:szCs w:val="24"/>
        </w:rPr>
      </w:pPr>
    </w:p>
    <w:tbl>
      <w:tblPr>
        <w:tblW w:type="dxa" w:w="6340"/>
        <w:tblLook w:val="04A0" w:noVBand="1" w:noHBand="0" w:lastColumn="0" w:firstColumn="1" w:lastRow="0" w:firstRow="1"/>
      </w:tblPr>
      <w:tblGrid>
        <w:gridCol w:w="5040"/>
        <w:gridCol w:w="1300"/>
      </w:tblGrid>
      <w:tr w14:textId="77777777" w14:paraId="64ABB305" w:rsidTr="00031CA1" w:rsidR="00031CA1" w:rsidRPr="00031CA1">
        <w:trPr>
          <w:trHeight w:val="320"/>
        </w:trPr>
        <w:tc>
          <w:tcPr>
            <w:tcW w:type="dxa" w:w="5040"/>
            <w:tcBorders>
              <w:top w:val="nil"/>
              <w:left w:val="nil"/>
              <w:bottom w:val="nil"/>
              <w:right w:val="nil"/>
            </w:tcBorders>
            <w:shd w:fill="auto" w:color="auto" w:val="clear"/>
            <w:noWrap/>
            <w:vAlign w:val="bottom"/>
            <w:hideMark/>
          </w:tcPr>
          <w:p w14:textId="77777777" w14:paraId="6962B180" w:rsidRDefault="00031CA1" w:rsidP="00031CA1" w:rsidR="00031CA1" w:rsidRPr="00031CA1">
            <w:pPr>
              <w:spacing w:after="0"/>
              <w:rPr>
                <w:rFonts w:eastAsia="Times New Roman" w:hAnsi="Times New Roman" w:ascii="Times New Roman"/>
                <w:bCs/>
                <w:color w:val="000000"/>
                <w:sz w:val="24"/>
                <w:szCs w:val="24"/>
              </w:rPr>
            </w:pPr>
            <w:r w:rsidRPr="00031CA1">
              <w:rPr>
                <w:rFonts w:eastAsia="Times New Roman" w:hAnsi="Times New Roman" w:ascii="Times New Roman"/>
                <w:bCs/>
                <w:color w:val="000000"/>
                <w:sz w:val="24"/>
                <w:szCs w:val="24"/>
              </w:rPr>
              <w:t>Prihodi</w:t>
            </w:r>
          </w:p>
        </w:tc>
        <w:tc>
          <w:tcPr>
            <w:tcW w:type="dxa" w:w="1300"/>
            <w:tcBorders>
              <w:top w:val="nil"/>
              <w:left w:val="nil"/>
              <w:bottom w:val="nil"/>
              <w:right w:val="nil"/>
            </w:tcBorders>
            <w:shd w:fill="auto" w:color="auto" w:val="clear"/>
            <w:noWrap/>
            <w:vAlign w:val="bottom"/>
            <w:hideMark/>
          </w:tcPr>
          <w:p w14:textId="77777777" w14:paraId="0A406D3F" w:rsidRDefault="00031CA1" w:rsidP="00031CA1" w:rsidR="00031CA1" w:rsidRPr="00031CA1">
            <w:pPr>
              <w:spacing w:after="0"/>
              <w:rPr>
                <w:rFonts w:eastAsia="Times New Roman" w:hAnsi="Times New Roman" w:ascii="Times New Roman"/>
                <w:bCs/>
                <w:color w:val="000000"/>
                <w:sz w:val="24"/>
                <w:szCs w:val="24"/>
              </w:rPr>
            </w:pPr>
          </w:p>
        </w:tc>
      </w:tr>
      <w:tr w14:textId="77777777" w14:paraId="21FC5A70" w:rsidTr="00031CA1" w:rsidR="00031CA1" w:rsidRPr="00031CA1">
        <w:trPr>
          <w:trHeight w:val="320"/>
        </w:trPr>
        <w:tc>
          <w:tcPr>
            <w:tcW w:type="dxa" w:w="5040"/>
            <w:tcBorders>
              <w:top w:val="nil"/>
              <w:left w:val="nil"/>
              <w:bottom w:val="nil"/>
              <w:right w:val="nil"/>
            </w:tcBorders>
            <w:shd w:fill="auto" w:color="auto" w:val="clear"/>
            <w:noWrap/>
            <w:vAlign w:val="bottom"/>
            <w:hideMark/>
          </w:tcPr>
          <w:p w14:textId="77777777" w14:paraId="29FFBC4E" w:rsidRDefault="00031CA1" w:rsidP="00031CA1" w:rsidR="00031CA1" w:rsidRPr="00031CA1">
            <w:pPr>
              <w:spacing w:after="0"/>
              <w:rPr>
                <w:rFonts w:eastAsia="Times New Roman" w:hAnsi="Times New Roman" w:ascii="Times New Roman"/>
                <w:sz w:val="20"/>
                <w:szCs w:val="20"/>
              </w:rPr>
            </w:pPr>
          </w:p>
        </w:tc>
        <w:tc>
          <w:tcPr>
            <w:tcW w:type="dxa" w:w="1300"/>
            <w:tcBorders>
              <w:top w:val="nil"/>
              <w:left w:val="nil"/>
              <w:bottom w:val="nil"/>
              <w:right w:val="nil"/>
            </w:tcBorders>
            <w:shd w:fill="auto" w:color="auto" w:val="clear"/>
            <w:noWrap/>
            <w:vAlign w:val="bottom"/>
            <w:hideMark/>
          </w:tcPr>
          <w:p w14:textId="77777777" w14:paraId="52E7CEFB" w:rsidRDefault="00031CA1" w:rsidP="00031CA1" w:rsidR="00031CA1" w:rsidRPr="00031CA1">
            <w:pPr>
              <w:spacing w:after="0"/>
              <w:rPr>
                <w:rFonts w:eastAsia="Times New Roman" w:hAnsi="Times New Roman" w:ascii="Times New Roman"/>
                <w:sz w:val="20"/>
                <w:szCs w:val="20"/>
              </w:rPr>
            </w:pPr>
          </w:p>
        </w:tc>
      </w:tr>
      <w:tr w14:textId="77777777" w14:paraId="2E958104" w:rsidTr="00031CA1" w:rsidR="00031CA1" w:rsidRPr="00031CA1">
        <w:trPr>
          <w:trHeight w:val="320"/>
        </w:trPr>
        <w:tc>
          <w:tcPr>
            <w:tcW w:type="dxa" w:w="5040"/>
            <w:tcBorders>
              <w:top w:val="nil"/>
              <w:left w:val="nil"/>
              <w:bottom w:val="nil"/>
              <w:right w:val="nil"/>
            </w:tcBorders>
            <w:shd w:fill="auto" w:color="auto" w:val="clear"/>
            <w:noWrap/>
            <w:vAlign w:val="center"/>
            <w:hideMark/>
          </w:tcPr>
          <w:p w14:textId="77777777" w14:paraId="692639B3" w:rsidRDefault="00031CA1" w:rsidP="00031CA1" w:rsidR="00031CA1" w:rsidRPr="00031CA1">
            <w:pPr>
              <w:spacing w:after="0"/>
              <w:rPr>
                <w:rFonts w:eastAsia="Times New Roman" w:hAnsi="Times New Roman" w:ascii="Times New Roman"/>
                <w:color w:val="000000"/>
                <w:sz w:val="24"/>
                <w:szCs w:val="24"/>
              </w:rPr>
            </w:pPr>
            <w:r w:rsidRPr="00031CA1">
              <w:rPr>
                <w:rFonts w:eastAsia="Times New Roman" w:hAnsi="Times New Roman" w:ascii="Times New Roman"/>
                <w:color w:val="000000"/>
                <w:sz w:val="24"/>
                <w:szCs w:val="24"/>
              </w:rPr>
              <w:t>Prijenos predujma</w:t>
            </w:r>
          </w:p>
        </w:tc>
        <w:tc>
          <w:tcPr>
            <w:tcW w:type="dxa" w:w="1300"/>
            <w:tcBorders>
              <w:top w:val="nil"/>
              <w:left w:val="nil"/>
              <w:bottom w:val="nil"/>
              <w:right w:val="nil"/>
            </w:tcBorders>
            <w:shd w:fill="auto" w:color="auto" w:val="clear"/>
            <w:noWrap/>
            <w:vAlign w:val="center"/>
            <w:hideMark/>
          </w:tcPr>
          <w:p w14:textId="77777777" w14:paraId="7A807F03" w:rsidRDefault="00031CA1" w:rsidP="00031CA1" w:rsidR="00031CA1" w:rsidRPr="00031CA1">
            <w:pPr>
              <w:spacing w:after="0"/>
              <w:jc w:val="right"/>
              <w:rPr>
                <w:rFonts w:eastAsia="Times New Roman" w:hAnsi="Times New Roman" w:ascii="Times New Roman"/>
                <w:color w:val="000000"/>
                <w:sz w:val="24"/>
                <w:szCs w:val="24"/>
              </w:rPr>
            </w:pPr>
            <w:r w:rsidRPr="00031CA1">
              <w:rPr>
                <w:rFonts w:eastAsia="Times New Roman" w:hAnsi="Times New Roman" w:ascii="Times New Roman"/>
                <w:color w:val="000000"/>
                <w:sz w:val="24"/>
                <w:szCs w:val="24"/>
              </w:rPr>
              <w:t>16.800,00</w:t>
            </w:r>
          </w:p>
        </w:tc>
      </w:tr>
      <w:tr w14:textId="77777777" w14:paraId="45F2335F" w:rsidTr="00031CA1" w:rsidR="00031CA1" w:rsidRPr="00031CA1">
        <w:trPr>
          <w:trHeight w:val="320"/>
        </w:trPr>
        <w:tc>
          <w:tcPr>
            <w:tcW w:type="dxa" w:w="5040"/>
            <w:tcBorders>
              <w:top w:val="nil"/>
              <w:left w:val="nil"/>
              <w:bottom w:val="nil"/>
              <w:right w:val="nil"/>
            </w:tcBorders>
            <w:shd w:fill="auto" w:color="auto" w:val="clear"/>
            <w:noWrap/>
            <w:vAlign w:val="center"/>
            <w:hideMark/>
          </w:tcPr>
          <w:p w14:textId="77777777" w14:paraId="388331B9" w:rsidRDefault="00031CA1" w:rsidP="00031CA1" w:rsidR="00031CA1" w:rsidRPr="00031CA1">
            <w:pPr>
              <w:spacing w:after="0"/>
              <w:rPr>
                <w:rFonts w:eastAsia="Times New Roman" w:hAnsi="Times New Roman" w:ascii="Times New Roman"/>
                <w:color w:val="000000"/>
                <w:sz w:val="24"/>
                <w:szCs w:val="24"/>
              </w:rPr>
            </w:pPr>
            <w:r w:rsidRPr="00031CA1">
              <w:rPr>
                <w:rFonts w:eastAsia="Times New Roman" w:hAnsi="Times New Roman" w:ascii="Times New Roman"/>
                <w:color w:val="000000"/>
                <w:sz w:val="24"/>
                <w:szCs w:val="24"/>
              </w:rPr>
              <w:t>Naplata potraživanja</w:t>
            </w:r>
          </w:p>
        </w:tc>
        <w:tc>
          <w:tcPr>
            <w:tcW w:type="dxa" w:w="1300"/>
            <w:tcBorders>
              <w:top w:val="nil"/>
              <w:left w:val="nil"/>
              <w:bottom w:val="nil"/>
              <w:right w:val="nil"/>
            </w:tcBorders>
            <w:shd w:fill="auto" w:color="auto" w:val="clear"/>
            <w:noWrap/>
            <w:vAlign w:val="center"/>
            <w:hideMark/>
          </w:tcPr>
          <w:p w14:textId="77777777" w14:paraId="1C1753AF" w:rsidRDefault="00031CA1" w:rsidP="00031CA1" w:rsidR="00031CA1" w:rsidRPr="00031CA1">
            <w:pPr>
              <w:spacing w:after="0"/>
              <w:jc w:val="right"/>
              <w:rPr>
                <w:rFonts w:eastAsia="Times New Roman" w:hAnsi="Times New Roman" w:ascii="Times New Roman"/>
                <w:color w:val="000000"/>
                <w:sz w:val="24"/>
                <w:szCs w:val="24"/>
              </w:rPr>
            </w:pPr>
            <w:r w:rsidRPr="00031CA1">
              <w:rPr>
                <w:rFonts w:eastAsia="Times New Roman" w:hAnsi="Times New Roman" w:ascii="Times New Roman"/>
                <w:color w:val="000000"/>
                <w:sz w:val="24"/>
                <w:szCs w:val="24"/>
              </w:rPr>
              <w:t>35.091,58</w:t>
            </w:r>
          </w:p>
        </w:tc>
      </w:tr>
      <w:tr w14:textId="77777777" w14:paraId="58E3BCAF" w:rsidTr="00031CA1" w:rsidR="00031CA1" w:rsidRPr="00031CA1">
        <w:trPr>
          <w:trHeight w:val="320"/>
        </w:trPr>
        <w:tc>
          <w:tcPr>
            <w:tcW w:type="dxa" w:w="5040"/>
            <w:tcBorders>
              <w:top w:val="nil"/>
              <w:left w:val="nil"/>
              <w:bottom w:val="nil"/>
              <w:right w:val="nil"/>
            </w:tcBorders>
            <w:shd w:fill="auto" w:color="auto" w:val="clear"/>
            <w:noWrap/>
            <w:vAlign w:val="center"/>
            <w:hideMark/>
          </w:tcPr>
          <w:p w14:textId="77777777" w14:paraId="77A99255" w:rsidRDefault="00031CA1" w:rsidP="00031CA1" w:rsidR="00031CA1" w:rsidRPr="00031CA1">
            <w:pPr>
              <w:spacing w:after="0"/>
              <w:rPr>
                <w:rFonts w:eastAsia="Times New Roman" w:hAnsi="Times New Roman" w:ascii="Times New Roman"/>
                <w:color w:val="000000"/>
                <w:sz w:val="24"/>
                <w:szCs w:val="24"/>
              </w:rPr>
            </w:pPr>
            <w:r w:rsidRPr="00031CA1">
              <w:rPr>
                <w:rFonts w:eastAsia="Times New Roman" w:hAnsi="Times New Roman" w:ascii="Times New Roman"/>
                <w:color w:val="000000"/>
                <w:sz w:val="24"/>
                <w:szCs w:val="24"/>
              </w:rPr>
              <w:t>Pasivna kamata</w:t>
            </w:r>
          </w:p>
        </w:tc>
        <w:tc>
          <w:tcPr>
            <w:tcW w:type="dxa" w:w="1300"/>
            <w:tcBorders>
              <w:top w:val="nil"/>
              <w:left w:val="nil"/>
              <w:bottom w:val="nil"/>
              <w:right w:val="nil"/>
            </w:tcBorders>
            <w:shd w:fill="auto" w:color="auto" w:val="clear"/>
            <w:noWrap/>
            <w:vAlign w:val="center"/>
            <w:hideMark/>
          </w:tcPr>
          <w:p w14:textId="77777777" w14:paraId="3F5FCA61" w:rsidRDefault="00031CA1" w:rsidP="00031CA1" w:rsidR="00031CA1" w:rsidRPr="00031CA1">
            <w:pPr>
              <w:spacing w:after="0"/>
              <w:jc w:val="right"/>
              <w:rPr>
                <w:rFonts w:eastAsia="Times New Roman" w:hAnsi="Times New Roman" w:ascii="Times New Roman"/>
                <w:color w:val="000000"/>
                <w:sz w:val="24"/>
                <w:szCs w:val="24"/>
              </w:rPr>
            </w:pPr>
            <w:r w:rsidRPr="00031CA1">
              <w:rPr>
                <w:rFonts w:eastAsia="Times New Roman" w:hAnsi="Times New Roman" w:ascii="Times New Roman"/>
                <w:color w:val="000000"/>
                <w:sz w:val="24"/>
                <w:szCs w:val="24"/>
              </w:rPr>
              <w:t>6,32</w:t>
            </w:r>
          </w:p>
        </w:tc>
      </w:tr>
      <w:tr w14:textId="77777777" w14:paraId="72B09E47" w:rsidTr="00031CA1" w:rsidR="00031CA1" w:rsidRPr="00031CA1">
        <w:trPr>
          <w:trHeight w:val="320"/>
        </w:trPr>
        <w:tc>
          <w:tcPr>
            <w:tcW w:type="dxa" w:w="5040"/>
            <w:tcBorders>
              <w:top w:val="nil"/>
              <w:left w:val="nil"/>
              <w:bottom w:val="nil"/>
              <w:right w:val="nil"/>
            </w:tcBorders>
            <w:shd w:fill="auto" w:color="auto" w:val="clear"/>
            <w:noWrap/>
            <w:vAlign w:val="center"/>
            <w:hideMark/>
          </w:tcPr>
          <w:p w14:textId="77777777" w14:paraId="33CA706C" w:rsidRDefault="00031CA1" w:rsidP="00031CA1" w:rsidR="00031CA1" w:rsidRPr="00031CA1">
            <w:pPr>
              <w:spacing w:after="0"/>
              <w:jc w:val="right"/>
              <w:rPr>
                <w:rFonts w:eastAsia="Times New Roman" w:hAnsi="Times New Roman" w:ascii="Times New Roman"/>
                <w:color w:val="000000"/>
                <w:sz w:val="24"/>
                <w:szCs w:val="24"/>
              </w:rPr>
            </w:pPr>
          </w:p>
        </w:tc>
        <w:tc>
          <w:tcPr>
            <w:tcW w:type="dxa" w:w="1300"/>
            <w:tcBorders>
              <w:top w:val="nil"/>
              <w:left w:val="nil"/>
              <w:bottom w:val="nil"/>
              <w:right w:val="nil"/>
            </w:tcBorders>
            <w:shd w:fill="auto" w:color="auto" w:val="clear"/>
            <w:noWrap/>
            <w:vAlign w:val="center"/>
            <w:hideMark/>
          </w:tcPr>
          <w:p w14:textId="77777777" w14:paraId="7847B9D2" w:rsidRDefault="00031CA1" w:rsidP="00031CA1" w:rsidR="00031CA1" w:rsidRPr="00031CA1">
            <w:pPr>
              <w:spacing w:after="0"/>
              <w:rPr>
                <w:rFonts w:eastAsia="Times New Roman" w:hAnsi="Times New Roman" w:ascii="Times New Roman"/>
                <w:sz w:val="20"/>
                <w:szCs w:val="20"/>
              </w:rPr>
            </w:pPr>
          </w:p>
        </w:tc>
      </w:tr>
      <w:tr w14:textId="77777777" w14:paraId="648455D8" w:rsidTr="00031CA1" w:rsidR="00031CA1" w:rsidRPr="00031CA1">
        <w:trPr>
          <w:trHeight w:val="320"/>
        </w:trPr>
        <w:tc>
          <w:tcPr>
            <w:tcW w:type="dxa" w:w="5040"/>
            <w:tcBorders>
              <w:top w:val="nil"/>
              <w:left w:val="nil"/>
              <w:bottom w:val="nil"/>
              <w:right w:val="nil"/>
            </w:tcBorders>
            <w:shd w:fill="auto" w:color="auto" w:val="clear"/>
            <w:noWrap/>
            <w:vAlign w:val="center"/>
            <w:hideMark/>
          </w:tcPr>
          <w:p w14:textId="77777777" w14:paraId="7CB506B2" w:rsidRDefault="00031CA1" w:rsidP="00031CA1" w:rsidR="00031CA1" w:rsidRPr="00031CA1">
            <w:pPr>
              <w:spacing w:after="0"/>
              <w:jc w:val="right"/>
              <w:rPr>
                <w:rFonts w:eastAsia="Times New Roman" w:hAnsi="Times New Roman" w:ascii="Times New Roman"/>
                <w:bCs/>
                <w:color w:val="000000"/>
                <w:sz w:val="24"/>
                <w:szCs w:val="24"/>
              </w:rPr>
            </w:pPr>
            <w:r w:rsidRPr="00031CA1">
              <w:rPr>
                <w:rFonts w:eastAsia="Times New Roman" w:hAnsi="Times New Roman" w:ascii="Times New Roman"/>
                <w:bCs/>
                <w:color w:val="000000"/>
                <w:sz w:val="24"/>
                <w:szCs w:val="24"/>
              </w:rPr>
              <w:t>Ukupno</w:t>
            </w:r>
          </w:p>
        </w:tc>
        <w:tc>
          <w:tcPr>
            <w:tcW w:type="dxa" w:w="1300"/>
            <w:tcBorders>
              <w:top w:val="nil"/>
              <w:left w:val="nil"/>
              <w:bottom w:val="nil"/>
              <w:right w:val="nil"/>
            </w:tcBorders>
            <w:shd w:fill="auto" w:color="auto" w:val="clear"/>
            <w:noWrap/>
            <w:vAlign w:val="center"/>
            <w:hideMark/>
          </w:tcPr>
          <w:p w14:textId="77777777" w14:paraId="47CED313" w:rsidRDefault="00031CA1" w:rsidP="00031CA1" w:rsidR="00031CA1" w:rsidRPr="00031CA1">
            <w:pPr>
              <w:spacing w:after="0"/>
              <w:jc w:val="right"/>
              <w:rPr>
                <w:rFonts w:eastAsia="Times New Roman" w:hAnsi="Times New Roman" w:ascii="Times New Roman"/>
                <w:bCs/>
                <w:color w:val="000000"/>
                <w:sz w:val="24"/>
                <w:szCs w:val="24"/>
              </w:rPr>
            </w:pPr>
            <w:r w:rsidRPr="00031CA1">
              <w:rPr>
                <w:rFonts w:eastAsia="Times New Roman" w:hAnsi="Times New Roman" w:ascii="Times New Roman"/>
                <w:bCs/>
                <w:color w:val="000000"/>
                <w:sz w:val="24"/>
                <w:szCs w:val="24"/>
              </w:rPr>
              <w:t>51.897,90</w:t>
            </w:r>
          </w:p>
        </w:tc>
      </w:tr>
      <w:tr w14:textId="77777777" w14:paraId="0D2923EC" w:rsidTr="00031CA1" w:rsidR="00031CA1" w:rsidRPr="00031CA1">
        <w:trPr>
          <w:trHeight w:val="320"/>
        </w:trPr>
        <w:tc>
          <w:tcPr>
            <w:tcW w:type="dxa" w:w="5040"/>
            <w:tcBorders>
              <w:top w:val="nil"/>
              <w:left w:val="nil"/>
              <w:bottom w:val="nil"/>
              <w:right w:val="nil"/>
            </w:tcBorders>
            <w:shd w:fill="auto" w:color="auto" w:val="clear"/>
            <w:noWrap/>
            <w:vAlign w:val="bottom"/>
            <w:hideMark/>
          </w:tcPr>
          <w:p w14:textId="77777777" w14:paraId="7E9145A0" w:rsidRDefault="00031CA1" w:rsidP="00031CA1" w:rsidR="00031CA1" w:rsidRPr="00031CA1">
            <w:pPr>
              <w:spacing w:after="0"/>
              <w:rPr>
                <w:rFonts w:eastAsia="Times New Roman" w:hAnsi="Times New Roman" w:ascii="Times New Roman"/>
                <w:bCs/>
                <w:color w:val="000000"/>
                <w:sz w:val="24"/>
                <w:szCs w:val="24"/>
              </w:rPr>
            </w:pPr>
            <w:r w:rsidRPr="00031CA1">
              <w:rPr>
                <w:rFonts w:eastAsia="Times New Roman" w:hAnsi="Times New Roman" w:ascii="Times New Roman"/>
                <w:bCs/>
                <w:color w:val="000000"/>
                <w:sz w:val="24"/>
                <w:szCs w:val="24"/>
              </w:rPr>
              <w:t>Rashodi</w:t>
            </w:r>
          </w:p>
        </w:tc>
        <w:tc>
          <w:tcPr>
            <w:tcW w:type="dxa" w:w="1300"/>
            <w:tcBorders>
              <w:top w:val="nil"/>
              <w:left w:val="nil"/>
              <w:bottom w:val="nil"/>
              <w:right w:val="nil"/>
            </w:tcBorders>
            <w:shd w:fill="auto" w:color="auto" w:val="clear"/>
            <w:noWrap/>
            <w:vAlign w:val="bottom"/>
            <w:hideMark/>
          </w:tcPr>
          <w:p w14:textId="77777777" w14:paraId="2628FAC5" w:rsidRDefault="00031CA1" w:rsidP="00031CA1" w:rsidR="00031CA1" w:rsidRPr="00031CA1">
            <w:pPr>
              <w:spacing w:after="0"/>
              <w:rPr>
                <w:rFonts w:eastAsia="Times New Roman" w:hAnsi="Times New Roman" w:ascii="Times New Roman"/>
                <w:bCs/>
                <w:color w:val="000000"/>
                <w:sz w:val="24"/>
                <w:szCs w:val="24"/>
              </w:rPr>
            </w:pPr>
          </w:p>
        </w:tc>
      </w:tr>
      <w:tr w14:textId="77777777" w14:paraId="0DA40E36" w:rsidTr="00031CA1" w:rsidR="00031CA1" w:rsidRPr="00031CA1">
        <w:trPr>
          <w:trHeight w:val="320"/>
        </w:trPr>
        <w:tc>
          <w:tcPr>
            <w:tcW w:type="dxa" w:w="5040"/>
            <w:tcBorders>
              <w:top w:val="nil"/>
              <w:left w:val="nil"/>
              <w:bottom w:val="nil"/>
              <w:right w:val="nil"/>
            </w:tcBorders>
            <w:shd w:fill="auto" w:color="auto" w:val="clear"/>
            <w:noWrap/>
            <w:vAlign w:val="bottom"/>
            <w:hideMark/>
          </w:tcPr>
          <w:p w14:textId="77777777" w14:paraId="7E53CBBA" w:rsidRDefault="00031CA1" w:rsidP="00031CA1" w:rsidR="00031CA1" w:rsidRPr="00031CA1">
            <w:pPr>
              <w:spacing w:after="0"/>
              <w:rPr>
                <w:rFonts w:eastAsia="Times New Roman" w:hAnsi="Times New Roman" w:ascii="Times New Roman"/>
                <w:sz w:val="20"/>
                <w:szCs w:val="20"/>
              </w:rPr>
            </w:pPr>
          </w:p>
        </w:tc>
        <w:tc>
          <w:tcPr>
            <w:tcW w:type="dxa" w:w="1300"/>
            <w:tcBorders>
              <w:top w:val="nil"/>
              <w:left w:val="nil"/>
              <w:bottom w:val="nil"/>
              <w:right w:val="nil"/>
            </w:tcBorders>
            <w:shd w:fill="auto" w:color="auto" w:val="clear"/>
            <w:noWrap/>
            <w:vAlign w:val="bottom"/>
            <w:hideMark/>
          </w:tcPr>
          <w:p w14:textId="77777777" w14:paraId="6FBBAB35" w:rsidRDefault="00031CA1" w:rsidP="00031CA1" w:rsidR="00031CA1" w:rsidRPr="00031CA1">
            <w:pPr>
              <w:spacing w:after="0"/>
              <w:rPr>
                <w:rFonts w:eastAsia="Times New Roman" w:hAnsi="Times New Roman" w:ascii="Times New Roman"/>
                <w:sz w:val="20"/>
                <w:szCs w:val="20"/>
              </w:rPr>
            </w:pPr>
          </w:p>
        </w:tc>
      </w:tr>
      <w:tr w14:textId="77777777" w14:paraId="5F00F9B1" w:rsidTr="00031CA1" w:rsidR="00031CA1" w:rsidRPr="00031CA1">
        <w:trPr>
          <w:trHeight w:val="320"/>
        </w:trPr>
        <w:tc>
          <w:tcPr>
            <w:tcW w:type="dxa" w:w="5040"/>
            <w:tcBorders>
              <w:top w:val="nil"/>
              <w:left w:val="nil"/>
              <w:bottom w:val="nil"/>
              <w:right w:val="nil"/>
            </w:tcBorders>
            <w:shd w:fill="auto" w:color="auto" w:val="clear"/>
            <w:noWrap/>
            <w:vAlign w:val="bottom"/>
            <w:hideMark/>
          </w:tcPr>
          <w:p w14:textId="77777777" w14:paraId="69C1EE21" w:rsidRDefault="00031CA1" w:rsidP="00031CA1" w:rsidR="00031CA1" w:rsidRPr="00031CA1">
            <w:pPr>
              <w:spacing w:after="0"/>
              <w:rPr>
                <w:rFonts w:eastAsia="Times New Roman" w:hAnsi="Times New Roman" w:ascii="Times New Roman"/>
                <w:color w:val="000000"/>
                <w:sz w:val="24"/>
                <w:szCs w:val="24"/>
              </w:rPr>
            </w:pPr>
            <w:r w:rsidRPr="00031CA1">
              <w:rPr>
                <w:rFonts w:eastAsia="Times New Roman" w:hAnsi="Times New Roman" w:ascii="Times New Roman"/>
                <w:color w:val="000000"/>
                <w:sz w:val="24"/>
                <w:szCs w:val="24"/>
              </w:rPr>
              <w:t>Izrada pečata</w:t>
            </w:r>
          </w:p>
        </w:tc>
        <w:tc>
          <w:tcPr>
            <w:tcW w:type="dxa" w:w="1300"/>
            <w:tcBorders>
              <w:top w:val="nil"/>
              <w:left w:val="nil"/>
              <w:bottom w:val="nil"/>
              <w:right w:val="nil"/>
            </w:tcBorders>
            <w:shd w:fill="auto" w:color="auto" w:val="clear"/>
            <w:noWrap/>
            <w:vAlign w:val="center"/>
            <w:hideMark/>
          </w:tcPr>
          <w:p w14:textId="77777777" w14:paraId="4FD950E3" w:rsidRDefault="00031CA1" w:rsidP="00031CA1" w:rsidR="00031CA1" w:rsidRPr="00031CA1">
            <w:pPr>
              <w:spacing w:after="0"/>
              <w:jc w:val="right"/>
              <w:rPr>
                <w:rFonts w:eastAsia="Times New Roman" w:hAnsi="Times New Roman" w:ascii="Times New Roman"/>
                <w:color w:val="000000"/>
                <w:sz w:val="24"/>
                <w:szCs w:val="24"/>
              </w:rPr>
            </w:pPr>
            <w:r w:rsidRPr="00031CA1">
              <w:rPr>
                <w:rFonts w:eastAsia="Times New Roman" w:hAnsi="Times New Roman" w:ascii="Times New Roman"/>
                <w:color w:val="000000"/>
                <w:sz w:val="24"/>
                <w:szCs w:val="24"/>
              </w:rPr>
              <w:t>148,00</w:t>
            </w:r>
          </w:p>
        </w:tc>
      </w:tr>
      <w:tr w14:textId="77777777" w14:paraId="72F871F1" w:rsidTr="00031CA1" w:rsidR="00031CA1" w:rsidRPr="00031CA1">
        <w:trPr>
          <w:trHeight w:val="320"/>
        </w:trPr>
        <w:tc>
          <w:tcPr>
            <w:tcW w:type="dxa" w:w="5040"/>
            <w:tcBorders>
              <w:top w:val="nil"/>
              <w:left w:val="nil"/>
              <w:bottom w:val="nil"/>
              <w:right w:val="nil"/>
            </w:tcBorders>
            <w:shd w:fill="auto" w:color="auto" w:val="clear"/>
            <w:noWrap/>
            <w:vAlign w:val="bottom"/>
            <w:hideMark/>
          </w:tcPr>
          <w:p w14:textId="77777777" w14:paraId="4377E45A" w:rsidRDefault="00031CA1" w:rsidP="00031CA1" w:rsidR="00031CA1" w:rsidRPr="00031CA1">
            <w:pPr>
              <w:spacing w:after="0"/>
              <w:rPr>
                <w:rFonts w:eastAsia="Times New Roman" w:hAnsi="Times New Roman" w:ascii="Times New Roman"/>
                <w:color w:val="000000"/>
                <w:sz w:val="24"/>
                <w:szCs w:val="24"/>
              </w:rPr>
            </w:pPr>
            <w:r w:rsidRPr="00031CA1">
              <w:rPr>
                <w:rFonts w:eastAsia="Times New Roman" w:hAnsi="Times New Roman" w:ascii="Times New Roman"/>
                <w:color w:val="000000"/>
                <w:sz w:val="24"/>
                <w:szCs w:val="24"/>
              </w:rPr>
              <w:t>Poštarina</w:t>
            </w:r>
          </w:p>
        </w:tc>
        <w:tc>
          <w:tcPr>
            <w:tcW w:type="dxa" w:w="1300"/>
            <w:tcBorders>
              <w:top w:val="nil"/>
              <w:left w:val="nil"/>
              <w:bottom w:val="nil"/>
              <w:right w:val="nil"/>
            </w:tcBorders>
            <w:shd w:fill="auto" w:color="auto" w:val="clear"/>
            <w:noWrap/>
            <w:vAlign w:val="center"/>
            <w:hideMark/>
          </w:tcPr>
          <w:p w14:textId="77777777" w14:paraId="69801D7F" w:rsidRDefault="00031CA1" w:rsidP="00031CA1" w:rsidR="00031CA1" w:rsidRPr="00031CA1">
            <w:pPr>
              <w:spacing w:after="0"/>
              <w:jc w:val="right"/>
              <w:rPr>
                <w:rFonts w:eastAsia="Times New Roman" w:hAnsi="Times New Roman" w:ascii="Times New Roman"/>
                <w:color w:val="000000"/>
                <w:sz w:val="24"/>
                <w:szCs w:val="24"/>
              </w:rPr>
            </w:pPr>
            <w:r w:rsidRPr="00031CA1">
              <w:rPr>
                <w:rFonts w:eastAsia="Times New Roman" w:hAnsi="Times New Roman" w:ascii="Times New Roman"/>
                <w:color w:val="000000"/>
                <w:sz w:val="24"/>
                <w:szCs w:val="24"/>
              </w:rPr>
              <w:t>44,40</w:t>
            </w:r>
          </w:p>
        </w:tc>
      </w:tr>
      <w:tr w14:textId="77777777" w14:paraId="3F64A536" w:rsidTr="00031CA1" w:rsidR="00031CA1" w:rsidRPr="00031CA1">
        <w:trPr>
          <w:trHeight w:val="320"/>
        </w:trPr>
        <w:tc>
          <w:tcPr>
            <w:tcW w:type="dxa" w:w="5040"/>
            <w:tcBorders>
              <w:top w:val="nil"/>
              <w:left w:val="nil"/>
              <w:bottom w:val="nil"/>
              <w:right w:val="nil"/>
            </w:tcBorders>
            <w:shd w:fill="auto" w:color="auto" w:val="clear"/>
            <w:noWrap/>
            <w:vAlign w:val="bottom"/>
            <w:hideMark/>
          </w:tcPr>
          <w:p w14:textId="77777777" w14:paraId="40381E77" w:rsidRDefault="00031CA1" w:rsidP="00031CA1" w:rsidR="00031CA1" w:rsidRPr="00031CA1">
            <w:pPr>
              <w:spacing w:after="0"/>
              <w:rPr>
                <w:rFonts w:eastAsia="Times New Roman" w:hAnsi="Times New Roman" w:ascii="Times New Roman"/>
                <w:color w:val="000000"/>
                <w:sz w:val="24"/>
                <w:szCs w:val="24"/>
              </w:rPr>
            </w:pPr>
            <w:r w:rsidRPr="00031CA1">
              <w:rPr>
                <w:rFonts w:eastAsia="Times New Roman" w:hAnsi="Times New Roman" w:ascii="Times New Roman"/>
                <w:color w:val="000000"/>
                <w:sz w:val="24"/>
                <w:szCs w:val="24"/>
              </w:rPr>
              <w:t>Knjigovodstvene usluge</w:t>
            </w:r>
          </w:p>
        </w:tc>
        <w:tc>
          <w:tcPr>
            <w:tcW w:type="dxa" w:w="1300"/>
            <w:tcBorders>
              <w:top w:val="nil"/>
              <w:left w:val="nil"/>
              <w:bottom w:val="nil"/>
              <w:right w:val="nil"/>
            </w:tcBorders>
            <w:shd w:fill="auto" w:color="auto" w:val="clear"/>
            <w:noWrap/>
            <w:vAlign w:val="center"/>
            <w:hideMark/>
          </w:tcPr>
          <w:p w14:textId="77777777" w14:paraId="43F59512" w:rsidRDefault="00031CA1" w:rsidP="00031CA1" w:rsidR="00031CA1" w:rsidRPr="00031CA1">
            <w:pPr>
              <w:spacing w:after="0"/>
              <w:jc w:val="right"/>
              <w:rPr>
                <w:rFonts w:eastAsia="Times New Roman" w:hAnsi="Times New Roman" w:ascii="Times New Roman"/>
                <w:color w:val="000000"/>
                <w:sz w:val="24"/>
                <w:szCs w:val="24"/>
              </w:rPr>
            </w:pPr>
            <w:r w:rsidRPr="00031CA1">
              <w:rPr>
                <w:rFonts w:eastAsia="Times New Roman" w:hAnsi="Times New Roman" w:ascii="Times New Roman"/>
                <w:color w:val="000000"/>
                <w:sz w:val="24"/>
                <w:szCs w:val="24"/>
              </w:rPr>
              <w:t>15.000,00</w:t>
            </w:r>
          </w:p>
        </w:tc>
      </w:tr>
      <w:tr w14:textId="77777777" w14:paraId="460D4065" w:rsidTr="00031CA1" w:rsidR="00031CA1" w:rsidRPr="00031CA1">
        <w:trPr>
          <w:trHeight w:val="320"/>
        </w:trPr>
        <w:tc>
          <w:tcPr>
            <w:tcW w:type="dxa" w:w="5040"/>
            <w:tcBorders>
              <w:top w:val="nil"/>
              <w:left w:val="nil"/>
              <w:bottom w:val="nil"/>
              <w:right w:val="nil"/>
            </w:tcBorders>
            <w:shd w:fill="auto" w:color="auto" w:val="clear"/>
            <w:noWrap/>
            <w:vAlign w:val="bottom"/>
            <w:hideMark/>
          </w:tcPr>
          <w:p w14:textId="77777777" w14:paraId="1322E202" w:rsidRDefault="00031CA1" w:rsidP="00031CA1" w:rsidR="00031CA1" w:rsidRPr="00031CA1">
            <w:pPr>
              <w:spacing w:after="0"/>
              <w:rPr>
                <w:rFonts w:eastAsia="Times New Roman" w:hAnsi="Times New Roman" w:ascii="Times New Roman"/>
                <w:color w:val="000000"/>
                <w:sz w:val="24"/>
                <w:szCs w:val="24"/>
              </w:rPr>
            </w:pPr>
            <w:r w:rsidRPr="00031CA1">
              <w:rPr>
                <w:rFonts w:eastAsia="Times New Roman" w:hAnsi="Times New Roman" w:ascii="Times New Roman"/>
                <w:color w:val="000000"/>
                <w:sz w:val="24"/>
                <w:szCs w:val="24"/>
              </w:rPr>
              <w:t>Javna objava - FINA</w:t>
            </w:r>
          </w:p>
        </w:tc>
        <w:tc>
          <w:tcPr>
            <w:tcW w:type="dxa" w:w="1300"/>
            <w:tcBorders>
              <w:top w:val="nil"/>
              <w:left w:val="nil"/>
              <w:bottom w:val="nil"/>
              <w:right w:val="nil"/>
            </w:tcBorders>
            <w:shd w:fill="auto" w:color="auto" w:val="clear"/>
            <w:noWrap/>
            <w:vAlign w:val="center"/>
            <w:hideMark/>
          </w:tcPr>
          <w:p w14:textId="77777777" w14:paraId="3C4534F4" w:rsidRDefault="00031CA1" w:rsidP="00031CA1" w:rsidR="00031CA1" w:rsidRPr="00031CA1">
            <w:pPr>
              <w:spacing w:after="0"/>
              <w:jc w:val="right"/>
              <w:rPr>
                <w:rFonts w:eastAsia="Times New Roman" w:hAnsi="Times New Roman" w:ascii="Times New Roman"/>
                <w:color w:val="000000"/>
                <w:sz w:val="24"/>
                <w:szCs w:val="24"/>
              </w:rPr>
            </w:pPr>
            <w:r w:rsidRPr="00031CA1">
              <w:rPr>
                <w:rFonts w:eastAsia="Times New Roman" w:hAnsi="Times New Roman" w:ascii="Times New Roman"/>
                <w:color w:val="000000"/>
                <w:sz w:val="24"/>
                <w:szCs w:val="24"/>
              </w:rPr>
              <w:t>230,00</w:t>
            </w:r>
          </w:p>
        </w:tc>
      </w:tr>
      <w:tr w14:textId="77777777" w14:paraId="2115F5E2" w:rsidTr="00031CA1" w:rsidR="00031CA1" w:rsidRPr="00031CA1">
        <w:trPr>
          <w:trHeight w:val="320"/>
        </w:trPr>
        <w:tc>
          <w:tcPr>
            <w:tcW w:type="dxa" w:w="5040"/>
            <w:tcBorders>
              <w:top w:val="nil"/>
              <w:left w:val="nil"/>
              <w:bottom w:val="nil"/>
              <w:right w:val="nil"/>
            </w:tcBorders>
            <w:shd w:fill="auto" w:color="auto" w:val="clear"/>
            <w:noWrap/>
            <w:vAlign w:val="bottom"/>
            <w:hideMark/>
          </w:tcPr>
          <w:p w14:textId="77777777" w14:paraId="056C2EAC" w:rsidRDefault="00031CA1" w:rsidP="00031CA1" w:rsidR="00031CA1" w:rsidRPr="00031CA1">
            <w:pPr>
              <w:spacing w:after="0"/>
              <w:rPr>
                <w:rFonts w:eastAsia="Times New Roman" w:hAnsi="Times New Roman" w:ascii="Times New Roman"/>
                <w:color w:val="000000"/>
                <w:sz w:val="24"/>
                <w:szCs w:val="24"/>
              </w:rPr>
            </w:pPr>
            <w:r w:rsidRPr="00031CA1">
              <w:rPr>
                <w:rFonts w:eastAsia="Times New Roman" w:hAnsi="Times New Roman" w:ascii="Times New Roman"/>
                <w:color w:val="000000"/>
                <w:sz w:val="24"/>
                <w:szCs w:val="24"/>
              </w:rPr>
              <w:t>Naknade platnog prometa i vođenja računa</w:t>
            </w:r>
          </w:p>
        </w:tc>
        <w:tc>
          <w:tcPr>
            <w:tcW w:type="dxa" w:w="1300"/>
            <w:tcBorders>
              <w:top w:val="nil"/>
              <w:left w:val="nil"/>
              <w:bottom w:val="nil"/>
              <w:right w:val="nil"/>
            </w:tcBorders>
            <w:shd w:fill="auto" w:color="auto" w:val="clear"/>
            <w:noWrap/>
            <w:vAlign w:val="center"/>
            <w:hideMark/>
          </w:tcPr>
          <w:p w14:textId="77777777" w14:paraId="22473701" w:rsidRDefault="00031CA1" w:rsidP="00031CA1" w:rsidR="00031CA1" w:rsidRPr="00031CA1">
            <w:pPr>
              <w:spacing w:after="0"/>
              <w:jc w:val="right"/>
              <w:rPr>
                <w:rFonts w:eastAsia="Times New Roman" w:hAnsi="Times New Roman" w:ascii="Times New Roman"/>
                <w:color w:val="000000"/>
                <w:sz w:val="24"/>
                <w:szCs w:val="24"/>
              </w:rPr>
            </w:pPr>
            <w:r w:rsidRPr="00031CA1">
              <w:rPr>
                <w:rFonts w:eastAsia="Times New Roman" w:hAnsi="Times New Roman" w:ascii="Times New Roman"/>
                <w:color w:val="000000"/>
                <w:sz w:val="24"/>
                <w:szCs w:val="24"/>
              </w:rPr>
              <w:t>1.713,62</w:t>
            </w:r>
          </w:p>
        </w:tc>
      </w:tr>
      <w:tr w14:textId="77777777" w14:paraId="398D8538" w:rsidTr="00031CA1" w:rsidR="00031CA1" w:rsidRPr="00031CA1">
        <w:trPr>
          <w:trHeight w:val="320"/>
        </w:trPr>
        <w:tc>
          <w:tcPr>
            <w:tcW w:type="dxa" w:w="5040"/>
            <w:tcBorders>
              <w:top w:val="nil"/>
              <w:left w:val="nil"/>
              <w:bottom w:val="nil"/>
              <w:right w:val="nil"/>
            </w:tcBorders>
            <w:shd w:fill="auto" w:color="auto" w:val="clear"/>
            <w:noWrap/>
            <w:vAlign w:val="bottom"/>
            <w:hideMark/>
          </w:tcPr>
          <w:p w14:textId="77777777" w14:paraId="6286B4BE" w:rsidRDefault="00031CA1" w:rsidP="00031CA1" w:rsidR="00031CA1" w:rsidRPr="00031CA1">
            <w:pPr>
              <w:spacing w:after="0"/>
              <w:rPr>
                <w:rFonts w:eastAsia="Times New Roman" w:hAnsi="Times New Roman" w:ascii="Times New Roman"/>
                <w:color w:val="000000"/>
                <w:sz w:val="24"/>
                <w:szCs w:val="24"/>
              </w:rPr>
            </w:pPr>
            <w:r w:rsidRPr="00031CA1">
              <w:rPr>
                <w:rFonts w:eastAsia="Times New Roman" w:hAnsi="Times New Roman" w:ascii="Times New Roman"/>
                <w:color w:val="000000"/>
                <w:sz w:val="24"/>
                <w:szCs w:val="24"/>
              </w:rPr>
              <w:t>Odvjetničke usluge</w:t>
            </w:r>
          </w:p>
        </w:tc>
        <w:tc>
          <w:tcPr>
            <w:tcW w:type="dxa" w:w="1300"/>
            <w:tcBorders>
              <w:top w:val="nil"/>
              <w:left w:val="nil"/>
              <w:bottom w:val="nil"/>
              <w:right w:val="nil"/>
            </w:tcBorders>
            <w:shd w:fill="auto" w:color="auto" w:val="clear"/>
            <w:noWrap/>
            <w:vAlign w:val="center"/>
            <w:hideMark/>
          </w:tcPr>
          <w:p w14:textId="77777777" w14:paraId="64D0CE77" w:rsidRDefault="00031CA1" w:rsidP="00031CA1" w:rsidR="00031CA1" w:rsidRPr="00031CA1">
            <w:pPr>
              <w:spacing w:after="0"/>
              <w:jc w:val="right"/>
              <w:rPr>
                <w:rFonts w:eastAsia="Times New Roman" w:hAnsi="Times New Roman" w:ascii="Times New Roman"/>
                <w:color w:val="000000"/>
                <w:sz w:val="24"/>
                <w:szCs w:val="24"/>
              </w:rPr>
            </w:pPr>
            <w:r w:rsidRPr="00031CA1">
              <w:rPr>
                <w:rFonts w:eastAsia="Times New Roman" w:hAnsi="Times New Roman" w:ascii="Times New Roman"/>
                <w:color w:val="000000"/>
                <w:sz w:val="24"/>
                <w:szCs w:val="24"/>
              </w:rPr>
              <w:t>22.347,50</w:t>
            </w:r>
          </w:p>
        </w:tc>
      </w:tr>
      <w:tr w14:textId="77777777" w14:paraId="1255855C" w:rsidTr="00031CA1" w:rsidR="00031CA1" w:rsidRPr="00031CA1">
        <w:trPr>
          <w:trHeight w:val="320"/>
        </w:trPr>
        <w:tc>
          <w:tcPr>
            <w:tcW w:type="dxa" w:w="5040"/>
            <w:tcBorders>
              <w:top w:val="nil"/>
              <w:left w:val="nil"/>
              <w:bottom w:val="nil"/>
              <w:right w:val="nil"/>
            </w:tcBorders>
            <w:shd w:fill="auto" w:color="auto" w:val="clear"/>
            <w:noWrap/>
            <w:vAlign w:val="bottom"/>
            <w:hideMark/>
          </w:tcPr>
          <w:p w14:textId="77777777" w14:paraId="053C94F5" w:rsidRDefault="00031CA1" w:rsidP="00031CA1" w:rsidR="00031CA1" w:rsidRPr="00031CA1">
            <w:pPr>
              <w:spacing w:after="0"/>
              <w:rPr>
                <w:rFonts w:eastAsia="Times New Roman" w:hAnsi="Times New Roman" w:ascii="Times New Roman"/>
                <w:color w:val="000000"/>
                <w:sz w:val="24"/>
                <w:szCs w:val="24"/>
              </w:rPr>
            </w:pPr>
            <w:r w:rsidRPr="00031CA1">
              <w:rPr>
                <w:rFonts w:eastAsia="Times New Roman" w:hAnsi="Times New Roman" w:ascii="Times New Roman"/>
                <w:color w:val="000000"/>
                <w:sz w:val="24"/>
                <w:szCs w:val="24"/>
              </w:rPr>
              <w:t>Uredski materijal</w:t>
            </w:r>
          </w:p>
        </w:tc>
        <w:tc>
          <w:tcPr>
            <w:tcW w:type="dxa" w:w="1300"/>
            <w:tcBorders>
              <w:top w:val="nil"/>
              <w:left w:val="nil"/>
              <w:bottom w:val="nil"/>
              <w:right w:val="nil"/>
            </w:tcBorders>
            <w:shd w:fill="auto" w:color="auto" w:val="clear"/>
            <w:noWrap/>
            <w:vAlign w:val="center"/>
            <w:hideMark/>
          </w:tcPr>
          <w:p w14:textId="77777777" w14:paraId="002B25CB" w:rsidRDefault="00031CA1" w:rsidP="00031CA1" w:rsidR="00031CA1" w:rsidRPr="00031CA1">
            <w:pPr>
              <w:spacing w:after="0"/>
              <w:jc w:val="right"/>
              <w:rPr>
                <w:rFonts w:eastAsia="Times New Roman" w:hAnsi="Times New Roman" w:ascii="Times New Roman"/>
                <w:color w:val="000000"/>
                <w:sz w:val="24"/>
                <w:szCs w:val="24"/>
              </w:rPr>
            </w:pPr>
            <w:r w:rsidRPr="00031CA1">
              <w:rPr>
                <w:rFonts w:eastAsia="Times New Roman" w:hAnsi="Times New Roman" w:ascii="Times New Roman"/>
                <w:color w:val="000000"/>
                <w:sz w:val="24"/>
                <w:szCs w:val="24"/>
              </w:rPr>
              <w:t>201,18</w:t>
            </w:r>
          </w:p>
        </w:tc>
      </w:tr>
      <w:tr w14:textId="77777777" w14:paraId="396E569C" w:rsidTr="00031CA1" w:rsidR="00031CA1" w:rsidRPr="00031CA1">
        <w:trPr>
          <w:trHeight w:val="320"/>
        </w:trPr>
        <w:tc>
          <w:tcPr>
            <w:tcW w:type="dxa" w:w="5040"/>
            <w:tcBorders>
              <w:top w:val="nil"/>
              <w:left w:val="nil"/>
              <w:bottom w:val="nil"/>
              <w:right w:val="nil"/>
            </w:tcBorders>
            <w:shd w:fill="auto" w:color="auto" w:val="clear"/>
            <w:noWrap/>
            <w:vAlign w:val="bottom"/>
            <w:hideMark/>
          </w:tcPr>
          <w:p w14:textId="77777777" w14:paraId="75E9DF21" w:rsidRDefault="00031CA1" w:rsidP="00031CA1" w:rsidR="00031CA1" w:rsidRPr="00031CA1">
            <w:pPr>
              <w:spacing w:after="0"/>
              <w:rPr>
                <w:rFonts w:eastAsia="Times New Roman" w:hAnsi="Times New Roman" w:ascii="Times New Roman"/>
                <w:color w:val="000000"/>
                <w:sz w:val="24"/>
                <w:szCs w:val="24"/>
              </w:rPr>
            </w:pPr>
            <w:r w:rsidRPr="00031CA1">
              <w:rPr>
                <w:rFonts w:eastAsia="Times New Roman" w:hAnsi="Times New Roman" w:ascii="Times New Roman"/>
                <w:color w:val="000000"/>
                <w:sz w:val="24"/>
                <w:szCs w:val="24"/>
              </w:rPr>
              <w:t>Biljezi</w:t>
            </w:r>
          </w:p>
        </w:tc>
        <w:tc>
          <w:tcPr>
            <w:tcW w:type="dxa" w:w="1300"/>
            <w:tcBorders>
              <w:top w:val="nil"/>
              <w:left w:val="nil"/>
              <w:bottom w:val="nil"/>
              <w:right w:val="nil"/>
            </w:tcBorders>
            <w:shd w:fill="auto" w:color="auto" w:val="clear"/>
            <w:noWrap/>
            <w:vAlign w:val="center"/>
            <w:hideMark/>
          </w:tcPr>
          <w:p w14:textId="77777777" w14:paraId="2821F2DA" w:rsidRDefault="00031CA1" w:rsidP="00031CA1" w:rsidR="00031CA1" w:rsidRPr="00031CA1">
            <w:pPr>
              <w:spacing w:after="0"/>
              <w:jc w:val="right"/>
              <w:rPr>
                <w:rFonts w:eastAsia="Times New Roman" w:hAnsi="Times New Roman" w:ascii="Times New Roman"/>
                <w:color w:val="000000"/>
                <w:sz w:val="24"/>
                <w:szCs w:val="24"/>
              </w:rPr>
            </w:pPr>
            <w:r w:rsidRPr="00031CA1">
              <w:rPr>
                <w:rFonts w:eastAsia="Times New Roman" w:hAnsi="Times New Roman" w:ascii="Times New Roman"/>
                <w:color w:val="000000"/>
                <w:sz w:val="24"/>
                <w:szCs w:val="24"/>
              </w:rPr>
              <w:t>350,00</w:t>
            </w:r>
          </w:p>
        </w:tc>
      </w:tr>
      <w:tr w14:textId="77777777" w14:paraId="79514CAC" w:rsidTr="00031CA1" w:rsidR="00031CA1" w:rsidRPr="00031CA1">
        <w:trPr>
          <w:trHeight w:val="320"/>
        </w:trPr>
        <w:tc>
          <w:tcPr>
            <w:tcW w:type="dxa" w:w="5040"/>
            <w:tcBorders>
              <w:top w:val="nil"/>
              <w:left w:val="nil"/>
              <w:bottom w:val="nil"/>
              <w:right w:val="nil"/>
            </w:tcBorders>
            <w:shd w:fill="auto" w:color="auto" w:val="clear"/>
            <w:noWrap/>
            <w:vAlign w:val="bottom"/>
            <w:hideMark/>
          </w:tcPr>
          <w:p w14:textId="77777777" w14:paraId="58FD681A" w:rsidRDefault="00031CA1" w:rsidP="00031CA1" w:rsidR="00031CA1" w:rsidRPr="00031CA1">
            <w:pPr>
              <w:spacing w:after="0"/>
              <w:rPr>
                <w:rFonts w:eastAsia="Times New Roman" w:hAnsi="Times New Roman" w:ascii="Times New Roman"/>
                <w:color w:val="000000"/>
                <w:sz w:val="24"/>
                <w:szCs w:val="24"/>
              </w:rPr>
            </w:pPr>
            <w:r w:rsidRPr="00031CA1">
              <w:rPr>
                <w:rFonts w:eastAsia="Times New Roman" w:hAnsi="Times New Roman" w:ascii="Times New Roman"/>
                <w:color w:val="000000"/>
                <w:sz w:val="24"/>
                <w:szCs w:val="24"/>
              </w:rPr>
              <w:t>Procjena vrijednosti nekretnina</w:t>
            </w:r>
          </w:p>
        </w:tc>
        <w:tc>
          <w:tcPr>
            <w:tcW w:type="dxa" w:w="1300"/>
            <w:tcBorders>
              <w:top w:val="nil"/>
              <w:left w:val="nil"/>
              <w:bottom w:val="nil"/>
              <w:right w:val="nil"/>
            </w:tcBorders>
            <w:shd w:fill="auto" w:color="auto" w:val="clear"/>
            <w:noWrap/>
            <w:vAlign w:val="center"/>
            <w:hideMark/>
          </w:tcPr>
          <w:p w14:textId="77777777" w14:paraId="0C8F8796" w:rsidRDefault="00031CA1" w:rsidP="00031CA1" w:rsidR="00031CA1" w:rsidRPr="00031CA1">
            <w:pPr>
              <w:spacing w:after="0"/>
              <w:jc w:val="right"/>
              <w:rPr>
                <w:rFonts w:eastAsia="Times New Roman" w:hAnsi="Times New Roman" w:ascii="Times New Roman"/>
                <w:color w:val="000000"/>
                <w:sz w:val="24"/>
                <w:szCs w:val="24"/>
              </w:rPr>
            </w:pPr>
            <w:r w:rsidRPr="00031CA1">
              <w:rPr>
                <w:rFonts w:eastAsia="Times New Roman" w:hAnsi="Times New Roman" w:ascii="Times New Roman"/>
                <w:color w:val="000000"/>
                <w:sz w:val="24"/>
                <w:szCs w:val="24"/>
              </w:rPr>
              <w:t>10.000,00</w:t>
            </w:r>
          </w:p>
        </w:tc>
      </w:tr>
      <w:tr w14:textId="77777777" w14:paraId="21165DA5" w:rsidTr="00031CA1" w:rsidR="00031CA1" w:rsidRPr="00031CA1">
        <w:trPr>
          <w:trHeight w:val="320"/>
        </w:trPr>
        <w:tc>
          <w:tcPr>
            <w:tcW w:type="dxa" w:w="5040"/>
            <w:tcBorders>
              <w:top w:val="nil"/>
              <w:left w:val="nil"/>
              <w:bottom w:val="nil"/>
              <w:right w:val="nil"/>
            </w:tcBorders>
            <w:shd w:fill="auto" w:color="auto" w:val="clear"/>
            <w:noWrap/>
            <w:vAlign w:val="bottom"/>
            <w:hideMark/>
          </w:tcPr>
          <w:p w14:textId="77777777" w14:paraId="3EF751C1" w:rsidRDefault="00031CA1" w:rsidP="00031CA1" w:rsidR="00031CA1" w:rsidRPr="00031CA1">
            <w:pPr>
              <w:spacing w:after="0"/>
              <w:jc w:val="right"/>
              <w:rPr>
                <w:rFonts w:eastAsia="Times New Roman" w:hAnsi="Times New Roman" w:ascii="Times New Roman"/>
                <w:color w:val="000000"/>
                <w:sz w:val="24"/>
                <w:szCs w:val="24"/>
              </w:rPr>
            </w:pPr>
          </w:p>
        </w:tc>
        <w:tc>
          <w:tcPr>
            <w:tcW w:type="dxa" w:w="1300"/>
            <w:tcBorders>
              <w:top w:val="nil"/>
              <w:left w:val="nil"/>
              <w:bottom w:val="nil"/>
              <w:right w:val="nil"/>
            </w:tcBorders>
            <w:shd w:fill="auto" w:color="auto" w:val="clear"/>
            <w:noWrap/>
            <w:vAlign w:val="bottom"/>
            <w:hideMark/>
          </w:tcPr>
          <w:p w14:textId="77777777" w14:paraId="310828EA" w:rsidRDefault="00031CA1" w:rsidP="00031CA1" w:rsidR="00031CA1" w:rsidRPr="00031CA1">
            <w:pPr>
              <w:spacing w:after="0"/>
              <w:rPr>
                <w:rFonts w:eastAsia="Times New Roman" w:hAnsi="Times New Roman" w:ascii="Times New Roman"/>
                <w:sz w:val="20"/>
                <w:szCs w:val="20"/>
              </w:rPr>
            </w:pPr>
          </w:p>
        </w:tc>
      </w:tr>
      <w:tr w14:textId="77777777" w14:paraId="34D5589B" w:rsidTr="00031CA1" w:rsidR="00031CA1" w:rsidRPr="00031CA1">
        <w:trPr>
          <w:trHeight w:val="320"/>
        </w:trPr>
        <w:tc>
          <w:tcPr>
            <w:tcW w:type="dxa" w:w="5040"/>
            <w:tcBorders>
              <w:top w:val="nil"/>
              <w:left w:val="nil"/>
              <w:bottom w:val="nil"/>
              <w:right w:val="nil"/>
            </w:tcBorders>
            <w:shd w:fill="auto" w:color="auto" w:val="clear"/>
            <w:noWrap/>
            <w:vAlign w:val="bottom"/>
            <w:hideMark/>
          </w:tcPr>
          <w:p w14:textId="77777777" w14:paraId="7213451A" w:rsidRDefault="00031CA1" w:rsidP="00031CA1" w:rsidR="00031CA1" w:rsidRPr="00031CA1">
            <w:pPr>
              <w:spacing w:after="0"/>
              <w:jc w:val="right"/>
              <w:rPr>
                <w:rFonts w:eastAsia="Times New Roman" w:hAnsi="Times New Roman" w:ascii="Times New Roman"/>
                <w:bCs/>
                <w:color w:val="000000"/>
                <w:sz w:val="24"/>
                <w:szCs w:val="24"/>
              </w:rPr>
            </w:pPr>
            <w:r w:rsidRPr="00031CA1">
              <w:rPr>
                <w:rFonts w:eastAsia="Times New Roman" w:hAnsi="Times New Roman" w:ascii="Times New Roman"/>
                <w:bCs/>
                <w:color w:val="000000"/>
                <w:sz w:val="24"/>
                <w:szCs w:val="24"/>
              </w:rPr>
              <w:t>Ukupno</w:t>
            </w:r>
          </w:p>
        </w:tc>
        <w:tc>
          <w:tcPr>
            <w:tcW w:type="dxa" w:w="1300"/>
            <w:tcBorders>
              <w:top w:val="nil"/>
              <w:left w:val="nil"/>
              <w:bottom w:val="nil"/>
              <w:right w:val="nil"/>
            </w:tcBorders>
            <w:shd w:fill="auto" w:color="auto" w:val="clear"/>
            <w:noWrap/>
            <w:vAlign w:val="center"/>
            <w:hideMark/>
          </w:tcPr>
          <w:p w14:textId="77777777" w14:paraId="684EDF31" w:rsidRDefault="00031CA1" w:rsidP="00031CA1" w:rsidR="00031CA1" w:rsidRPr="00031CA1">
            <w:pPr>
              <w:spacing w:after="0"/>
              <w:jc w:val="right"/>
              <w:rPr>
                <w:rFonts w:eastAsia="Times New Roman" w:hAnsi="Times New Roman" w:ascii="Times New Roman"/>
                <w:bCs/>
                <w:color w:val="000000"/>
                <w:sz w:val="24"/>
                <w:szCs w:val="24"/>
              </w:rPr>
            </w:pPr>
            <w:r w:rsidRPr="00031CA1">
              <w:rPr>
                <w:rFonts w:eastAsia="Times New Roman" w:hAnsi="Times New Roman" w:ascii="Times New Roman"/>
                <w:bCs/>
                <w:color w:val="000000"/>
                <w:sz w:val="24"/>
                <w:szCs w:val="24"/>
              </w:rPr>
              <w:t>50.034,70</w:t>
            </w:r>
          </w:p>
        </w:tc>
      </w:tr>
      <w:tr w14:textId="77777777" w14:paraId="31B9C435" w:rsidTr="00031CA1" w:rsidR="00031CA1" w:rsidRPr="00031CA1">
        <w:trPr>
          <w:trHeight w:val="320"/>
        </w:trPr>
        <w:tc>
          <w:tcPr>
            <w:tcW w:type="dxa" w:w="5040"/>
            <w:tcBorders>
              <w:top w:val="nil"/>
              <w:left w:val="nil"/>
              <w:bottom w:val="nil"/>
              <w:right w:val="nil"/>
            </w:tcBorders>
            <w:shd w:fill="auto" w:color="auto" w:val="clear"/>
            <w:noWrap/>
            <w:vAlign w:val="bottom"/>
            <w:hideMark/>
          </w:tcPr>
          <w:p w14:textId="77777777" w14:paraId="77B50B2C" w:rsidRDefault="00031CA1" w:rsidP="00031CA1" w:rsidR="00031CA1" w:rsidRPr="00031CA1">
            <w:pPr>
              <w:spacing w:after="0"/>
              <w:jc w:val="right"/>
              <w:rPr>
                <w:rFonts w:eastAsia="Times New Roman" w:hAnsi="Times New Roman" w:ascii="Times New Roman"/>
                <w:bCs/>
                <w:color w:val="000000"/>
                <w:sz w:val="24"/>
                <w:szCs w:val="24"/>
              </w:rPr>
            </w:pPr>
          </w:p>
        </w:tc>
        <w:tc>
          <w:tcPr>
            <w:tcW w:type="dxa" w:w="1300"/>
            <w:tcBorders>
              <w:top w:val="nil"/>
              <w:left w:val="nil"/>
              <w:bottom w:val="nil"/>
              <w:right w:val="nil"/>
            </w:tcBorders>
            <w:shd w:fill="auto" w:color="auto" w:val="clear"/>
            <w:noWrap/>
            <w:vAlign w:val="bottom"/>
            <w:hideMark/>
          </w:tcPr>
          <w:p w14:textId="77777777" w14:paraId="777A8128" w:rsidRDefault="00031CA1" w:rsidP="00031CA1" w:rsidR="00031CA1" w:rsidRPr="00031CA1">
            <w:pPr>
              <w:spacing w:after="0"/>
              <w:jc w:val="right"/>
              <w:rPr>
                <w:rFonts w:eastAsia="Times New Roman" w:hAnsi="Times New Roman" w:ascii="Times New Roman"/>
                <w:sz w:val="20"/>
                <w:szCs w:val="20"/>
              </w:rPr>
            </w:pPr>
          </w:p>
        </w:tc>
      </w:tr>
      <w:tr w14:textId="77777777" w14:paraId="5119707E" w:rsidTr="00031CA1" w:rsidR="00031CA1" w:rsidRPr="00031CA1">
        <w:trPr>
          <w:trHeight w:val="320"/>
        </w:trPr>
        <w:tc>
          <w:tcPr>
            <w:tcW w:type="dxa" w:w="5040"/>
            <w:tcBorders>
              <w:top w:val="nil"/>
              <w:left w:val="nil"/>
              <w:bottom w:val="nil"/>
              <w:right w:val="nil"/>
            </w:tcBorders>
            <w:shd w:fill="auto" w:color="auto" w:val="clear"/>
            <w:noWrap/>
            <w:vAlign w:val="bottom"/>
            <w:hideMark/>
          </w:tcPr>
          <w:p w14:textId="77777777" w14:paraId="3EA8F5A7" w:rsidRDefault="00031CA1" w:rsidP="00031CA1" w:rsidR="00031CA1" w:rsidRPr="00031CA1">
            <w:pPr>
              <w:spacing w:after="0"/>
              <w:jc w:val="right"/>
              <w:rPr>
                <w:rFonts w:eastAsia="Times New Roman" w:hAnsi="Times New Roman" w:ascii="Times New Roman"/>
                <w:bCs/>
                <w:color w:val="000000"/>
                <w:sz w:val="24"/>
                <w:szCs w:val="24"/>
              </w:rPr>
            </w:pPr>
            <w:r w:rsidRPr="00031CA1">
              <w:rPr>
                <w:rFonts w:eastAsia="Times New Roman" w:hAnsi="Times New Roman" w:ascii="Times New Roman"/>
                <w:bCs/>
                <w:color w:val="000000"/>
                <w:sz w:val="24"/>
                <w:szCs w:val="24"/>
              </w:rPr>
              <w:t>Saldo</w:t>
            </w:r>
          </w:p>
        </w:tc>
        <w:tc>
          <w:tcPr>
            <w:tcW w:type="dxa" w:w="1300"/>
            <w:tcBorders>
              <w:top w:val="nil"/>
              <w:left w:val="nil"/>
              <w:bottom w:val="nil"/>
              <w:right w:val="nil"/>
            </w:tcBorders>
            <w:shd w:fill="auto" w:color="auto" w:val="clear"/>
            <w:noWrap/>
            <w:vAlign w:val="bottom"/>
            <w:hideMark/>
          </w:tcPr>
          <w:p w14:textId="77777777" w14:paraId="72E4DDAF" w:rsidRDefault="00031CA1" w:rsidP="00031CA1" w:rsidR="00031CA1" w:rsidRPr="00031CA1">
            <w:pPr>
              <w:spacing w:after="0"/>
              <w:jc w:val="right"/>
              <w:rPr>
                <w:rFonts w:eastAsia="Times New Roman" w:hAnsi="Times New Roman" w:ascii="Times New Roman"/>
                <w:bCs/>
                <w:color w:val="000000"/>
                <w:sz w:val="24"/>
                <w:szCs w:val="24"/>
              </w:rPr>
            </w:pPr>
            <w:r w:rsidRPr="00031CA1">
              <w:rPr>
                <w:rFonts w:eastAsia="Times New Roman" w:hAnsi="Times New Roman" w:ascii="Times New Roman"/>
                <w:bCs/>
                <w:color w:val="000000"/>
                <w:sz w:val="24"/>
                <w:szCs w:val="24"/>
              </w:rPr>
              <w:t>1.863,20</w:t>
            </w:r>
          </w:p>
        </w:tc>
      </w:tr>
    </w:tbl>
    <w:p w14:textId="6CE2BD84" w14:paraId="2717234C" w:rsidRDefault="00192EAC" w:rsidP="00192EAC" w:rsidR="00192EAC" w:rsidRPr="0079374E">
      <w:pPr>
        <w:spacing w:after="0"/>
        <w:jc w:val="both"/>
        <w:rPr>
          <w:rFonts w:hAnsi="Times New Roman" w:ascii="Times New Roman"/>
          <w:sz w:val="24"/>
          <w:szCs w:val="24"/>
        </w:rPr>
      </w:pPr>
    </w:p>
    <w:p w14:textId="782B9D2E" w14:paraId="7058FD96" w:rsidRDefault="00031CA1" w:rsidP="00192EAC" w:rsidR="00031CA1" w:rsidRPr="0079374E">
      <w:pPr>
        <w:spacing w:after="0"/>
        <w:jc w:val="both"/>
        <w:rPr>
          <w:rFonts w:eastAsia="Times New Roman" w:hAnsi="Times New Roman" w:ascii="Times New Roman"/>
          <w:bCs/>
          <w:color w:val="000000"/>
          <w:sz w:val="24"/>
          <w:szCs w:val="24"/>
        </w:rPr>
      </w:pPr>
      <w:r w:rsidRPr="0079374E">
        <w:rPr>
          <w:rFonts w:eastAsia="Times New Roman" w:hAnsi="Times New Roman" w:ascii="Times New Roman"/>
          <w:bCs/>
          <w:color w:val="000000"/>
          <w:sz w:val="24"/>
          <w:szCs w:val="24"/>
        </w:rPr>
        <w:t>Imovina</w:t>
      </w:r>
    </w:p>
    <w:p w14:textId="77777777" w14:paraId="698BBE91" w:rsidRDefault="003528AE" w:rsidP="00C81D32" w:rsidR="003528AE" w:rsidRPr="0079374E">
      <w:pPr>
        <w:widowControl w:val="false"/>
        <w:autoSpaceDE w:val="false"/>
        <w:autoSpaceDN w:val="false"/>
        <w:adjustRightInd w:val="false"/>
        <w:spacing w:after="0"/>
        <w:jc w:val="both"/>
        <w:rPr>
          <w:rFonts w:hAnsi="Times New Roman" w:ascii="Times New Roman"/>
          <w:sz w:val="24"/>
          <w:szCs w:val="24"/>
        </w:rPr>
      </w:pPr>
    </w:p>
    <w:p w14:textId="77777777" w14:paraId="318C70D3" w:rsidRDefault="00F26821" w:rsidP="00F26821" w:rsidR="00F26821" w:rsidRPr="0079374E">
      <w:pPr>
        <w:spacing w:lineRule="auto" w:line="276" w:after="0"/>
        <w:jc w:val="both"/>
        <w:rPr>
          <w:rFonts w:hAnsi="Times New Roman" w:ascii="Times New Roman"/>
          <w:b/>
          <w:color w:themeShade="1A" w:themeColor="background2" w:val="1D1B11"/>
          <w:sz w:val="24"/>
          <w:szCs w:val="24"/>
        </w:rPr>
      </w:pPr>
      <w:r w:rsidRPr="0079374E">
        <w:rPr>
          <w:rFonts w:hAnsi="Times New Roman" w:ascii="Times New Roman"/>
          <w:b/>
          <w:color w:themeShade="1A" w:themeColor="background2" w:val="1D1B11"/>
          <w:sz w:val="24"/>
          <w:szCs w:val="24"/>
        </w:rPr>
        <w:t>Nekretnine:</w:t>
      </w:r>
    </w:p>
    <w:p w14:textId="2FA7D29A" w14:paraId="3825714D" w:rsidRDefault="00F26821" w:rsidP="00F26821" w:rsidR="00F26821" w:rsidRPr="0079374E">
      <w:pPr>
        <w:spacing w:after="0"/>
        <w:jc w:val="both"/>
        <w:rPr>
          <w:rFonts w:hAnsi="Times New Roman" w:ascii="Times New Roman"/>
          <w:sz w:val="24"/>
          <w:szCs w:val="24"/>
        </w:rPr>
      </w:pPr>
      <w:r w:rsidRPr="0079374E">
        <w:rPr>
          <w:rFonts w:hAnsi="Times New Roman" w:ascii="Times New Roman"/>
          <w:color w:themeShade="1A" w:themeColor="background2" w:val="1D1B11"/>
          <w:sz w:val="24"/>
          <w:szCs w:val="24"/>
        </w:rPr>
        <w:t xml:space="preserve">- </w:t>
      </w:r>
      <w:r w:rsidRPr="0079374E">
        <w:rPr>
          <w:rFonts w:hAnsi="Times New Roman" w:ascii="Times New Roman"/>
          <w:sz w:val="24"/>
          <w:szCs w:val="24"/>
        </w:rPr>
        <w:t>vlasnik nekretnina k.č.br. 2548/1 i k.č.br. 2548/8 upisane u zk. ul. 3072 k.o. Remete i to;</w:t>
      </w:r>
    </w:p>
    <w:p w14:textId="2EE49D68" w14:paraId="6222A0B5" w:rsidRDefault="00F26821" w:rsidP="00F26821" w:rsidR="00F26821" w:rsidRPr="0079374E">
      <w:pPr>
        <w:spacing w:after="0"/>
        <w:jc w:val="both"/>
        <w:rPr>
          <w:rFonts w:hAnsi="Times New Roman" w:ascii="Times New Roman"/>
          <w:sz w:val="24"/>
          <w:szCs w:val="24"/>
        </w:rPr>
      </w:pPr>
      <w:r w:rsidRPr="0079374E">
        <w:rPr>
          <w:rFonts w:hAnsi="Times New Roman" w:ascii="Times New Roman"/>
          <w:sz w:val="24"/>
          <w:szCs w:val="24"/>
        </w:rPr>
        <w:t xml:space="preserve">rbr. 11. suvlasnički dio 1/12, </w:t>
      </w:r>
    </w:p>
    <w:p w14:textId="77777777" w14:paraId="0F78765C" w:rsidRDefault="00F26821" w:rsidP="00F26821" w:rsidR="00F26821" w:rsidRPr="0079374E">
      <w:pPr>
        <w:spacing w:after="0"/>
        <w:jc w:val="both"/>
        <w:rPr>
          <w:rFonts w:hAnsi="Times New Roman" w:ascii="Times New Roman"/>
          <w:sz w:val="24"/>
          <w:szCs w:val="24"/>
        </w:rPr>
      </w:pPr>
      <w:r w:rsidRPr="0079374E">
        <w:rPr>
          <w:rFonts w:hAnsi="Times New Roman" w:ascii="Times New Roman"/>
          <w:sz w:val="24"/>
          <w:szCs w:val="24"/>
        </w:rPr>
        <w:lastRenderedPageBreak/>
        <w:t xml:space="preserve">rbr. 12. suvlasnički dio 1/12, </w:t>
      </w:r>
    </w:p>
    <w:p w14:textId="77777777" w14:paraId="1B6163AB" w:rsidRDefault="00F26821" w:rsidP="00F26821" w:rsidR="00F26821" w:rsidRPr="0079374E">
      <w:pPr>
        <w:spacing w:after="0"/>
        <w:jc w:val="both"/>
        <w:rPr>
          <w:rFonts w:hAnsi="Times New Roman" w:ascii="Times New Roman"/>
          <w:sz w:val="24"/>
          <w:szCs w:val="24"/>
        </w:rPr>
      </w:pPr>
      <w:r w:rsidRPr="0079374E">
        <w:rPr>
          <w:rFonts w:hAnsi="Times New Roman" w:ascii="Times New Roman"/>
          <w:sz w:val="24"/>
          <w:szCs w:val="24"/>
        </w:rPr>
        <w:t xml:space="preserve">rbr. 13. suvlasnički dio 1/12 </w:t>
      </w:r>
    </w:p>
    <w:p w14:textId="19C26F05" w14:paraId="02394C19" w:rsidRDefault="00F26821" w:rsidP="00F26821" w:rsidR="00F26821" w:rsidRPr="0079374E">
      <w:pPr>
        <w:spacing w:after="0"/>
        <w:jc w:val="both"/>
        <w:rPr>
          <w:rFonts w:hAnsi="Times New Roman" w:ascii="Times New Roman"/>
          <w:sz w:val="24"/>
          <w:szCs w:val="24"/>
        </w:rPr>
      </w:pPr>
      <w:r w:rsidRPr="0079374E">
        <w:rPr>
          <w:rFonts w:hAnsi="Times New Roman" w:ascii="Times New Roman"/>
          <w:sz w:val="24"/>
          <w:szCs w:val="24"/>
        </w:rPr>
        <w:t>rbr. 16. suvlasnički dio 9/12.</w:t>
      </w:r>
      <w:r w:rsidRPr="0079374E">
        <w:rPr>
          <w:rFonts w:hAnsi="Times New Roman" w:ascii="Times New Roman"/>
          <w:sz w:val="24"/>
          <w:szCs w:val="24"/>
        </w:rPr>
        <w:tab/>
      </w:r>
      <w:r w:rsidRPr="0079374E">
        <w:rPr>
          <w:rFonts w:hAnsi="Times New Roman" w:ascii="Times New Roman"/>
          <w:sz w:val="24"/>
          <w:szCs w:val="24"/>
        </w:rPr>
        <w:tab/>
      </w:r>
      <w:r w:rsidRPr="0079374E">
        <w:rPr>
          <w:rFonts w:hAnsi="Times New Roman" w:ascii="Times New Roman"/>
          <w:sz w:val="24"/>
          <w:szCs w:val="24"/>
        </w:rPr>
        <w:tab/>
      </w:r>
      <w:r w:rsidRPr="0079374E">
        <w:rPr>
          <w:rFonts w:hAnsi="Times New Roman" w:ascii="Times New Roman"/>
          <w:sz w:val="24"/>
          <w:szCs w:val="24"/>
        </w:rPr>
        <w:tab/>
      </w:r>
      <w:r w:rsidRPr="0079374E">
        <w:rPr>
          <w:rFonts w:hAnsi="Times New Roman" w:ascii="Times New Roman"/>
          <w:sz w:val="24"/>
          <w:szCs w:val="24"/>
        </w:rPr>
        <w:tab/>
      </w:r>
      <w:r w:rsidRPr="0079374E">
        <w:rPr>
          <w:rFonts w:hAnsi="Times New Roman" w:ascii="Times New Roman"/>
          <w:sz w:val="24"/>
          <w:szCs w:val="24"/>
        </w:rPr>
        <w:tab/>
      </w:r>
      <w:r w:rsidRPr="0079374E">
        <w:rPr>
          <w:rFonts w:hAnsi="Times New Roman" w:ascii="Times New Roman"/>
          <w:sz w:val="24"/>
          <w:szCs w:val="24"/>
        </w:rPr>
        <w:tab/>
      </w:r>
      <w:r w:rsidRPr="0079374E">
        <w:rPr>
          <w:rStyle w:val="Naglaeno"/>
          <w:rFonts w:hAnsi="Times New Roman" w:ascii="Times New Roman"/>
          <w:b w:val="false"/>
          <w:sz w:val="24"/>
          <w:szCs w:val="24"/>
        </w:rPr>
        <w:t>722.067,60 kn</w:t>
      </w:r>
    </w:p>
    <w:p w14:textId="77777777" w14:paraId="6B291EAA" w:rsidRDefault="00F26821" w:rsidP="00F26821" w:rsidR="00F26821" w:rsidRPr="0079374E">
      <w:pPr>
        <w:spacing w:lineRule="auto" w:line="276" w:after="0"/>
        <w:jc w:val="both"/>
        <w:rPr>
          <w:rFonts w:hAnsi="Times New Roman" w:ascii="Times New Roman"/>
          <w:color w:themeShade="1A" w:themeColor="background2" w:val="1D1B11"/>
          <w:sz w:val="24"/>
          <w:szCs w:val="24"/>
        </w:rPr>
      </w:pPr>
    </w:p>
    <w:p w14:textId="49E6E3C7" w14:paraId="238A59D2" w:rsidRDefault="00F26821" w:rsidP="00F26821" w:rsidR="00F26821" w:rsidRPr="0079374E">
      <w:pPr>
        <w:spacing w:lineRule="auto" w:line="276" w:after="0"/>
        <w:jc w:val="both"/>
        <w:rPr>
          <w:rFonts w:hAnsi="Times New Roman" w:ascii="Times New Roman"/>
          <w:color w:themeShade="1A" w:themeColor="background2" w:val="1D1B11"/>
          <w:sz w:val="24"/>
          <w:szCs w:val="24"/>
        </w:rPr>
      </w:pPr>
      <w:r w:rsidRPr="0079374E">
        <w:rPr>
          <w:rFonts w:hAnsi="Times New Roman" w:ascii="Times New Roman"/>
          <w:color w:themeShade="1A" w:themeColor="background2" w:val="1D1B11"/>
          <w:sz w:val="24"/>
          <w:szCs w:val="24"/>
        </w:rPr>
        <w:t xml:space="preserve">Vrijednost </w:t>
      </w:r>
      <w:r w:rsidR="00FD7B8A" w:rsidRPr="0079374E">
        <w:rPr>
          <w:rFonts w:hAnsi="Times New Roman" w:ascii="Times New Roman"/>
          <w:color w:themeShade="1A" w:themeColor="background2" w:val="1D1B11"/>
          <w:sz w:val="24"/>
          <w:szCs w:val="24"/>
        </w:rPr>
        <w:t xml:space="preserve">je </w:t>
      </w:r>
      <w:r w:rsidRPr="0079374E">
        <w:rPr>
          <w:rFonts w:hAnsi="Times New Roman" w:ascii="Times New Roman"/>
          <w:color w:themeShade="1A" w:themeColor="background2" w:val="1D1B11"/>
          <w:sz w:val="24"/>
          <w:szCs w:val="24"/>
        </w:rPr>
        <w:t>iskazana prema procjeni stalnog sudskog vještaka iz lipnja 2017.</w:t>
      </w:r>
    </w:p>
    <w:p w14:textId="320382EE" w14:paraId="5329DF51" w:rsidRDefault="00F26821" w:rsidP="00F26821" w:rsidR="00F26821" w:rsidRPr="0079374E">
      <w:pPr>
        <w:spacing w:lineRule="auto" w:line="276" w:after="0"/>
        <w:jc w:val="both"/>
        <w:rPr>
          <w:rFonts w:hAnsi="Times New Roman" w:ascii="Times New Roman"/>
          <w:color w:themeShade="1A" w:themeColor="background2" w:val="1D1B11"/>
          <w:sz w:val="24"/>
          <w:szCs w:val="24"/>
        </w:rPr>
      </w:pPr>
      <w:r w:rsidRPr="0079374E">
        <w:rPr>
          <w:rFonts w:hAnsi="Times New Roman" w:ascii="Times New Roman"/>
          <w:color w:themeShade="1A" w:themeColor="background2" w:val="1D1B11"/>
          <w:sz w:val="24"/>
          <w:szCs w:val="24"/>
        </w:rPr>
        <w:t>U naravi radi se o građevnisnkim zemljištu u podsljemenskoj zoni Zagreba, Remetama površine 1.302 m2</w:t>
      </w:r>
    </w:p>
    <w:p w14:textId="77777777" w14:paraId="3E99EC1A" w:rsidRDefault="00F26821" w:rsidP="00F26821" w:rsidR="00F26821" w:rsidRPr="0079374E">
      <w:pPr>
        <w:spacing w:lineRule="auto" w:line="276" w:after="0"/>
        <w:jc w:val="both"/>
        <w:rPr>
          <w:rFonts w:hAnsi="Times New Roman" w:ascii="Times New Roman"/>
          <w:color w:themeShade="1A" w:themeColor="background2" w:val="1D1B11"/>
          <w:sz w:val="24"/>
          <w:szCs w:val="24"/>
        </w:rPr>
      </w:pPr>
    </w:p>
    <w:p w14:textId="10787B7A" w14:paraId="4BC2A400" w:rsidRDefault="00F26821" w:rsidP="00F26821" w:rsidR="00F26821" w:rsidRPr="0079374E">
      <w:pPr>
        <w:spacing w:lineRule="auto" w:line="276" w:after="0"/>
        <w:jc w:val="both"/>
        <w:rPr>
          <w:rFonts w:hAnsi="Times New Roman" w:ascii="Times New Roman"/>
          <w:color w:themeShade="1A" w:themeColor="background2" w:val="1D1B11"/>
          <w:sz w:val="24"/>
          <w:szCs w:val="24"/>
        </w:rPr>
      </w:pPr>
      <w:r w:rsidRPr="0079374E">
        <w:rPr>
          <w:rFonts w:hAnsi="Times New Roman" w:ascii="Times New Roman"/>
          <w:color w:themeShade="1A" w:themeColor="background2" w:val="1D1B11"/>
          <w:sz w:val="24"/>
          <w:szCs w:val="24"/>
        </w:rPr>
        <w:t>Suvlasnički dijelovi 12., 13. i 16. su opterećeni razlučnim pravom i prodavati će sa putem e-dražbe na Financijkoj agenciji, dok će se za suvlasnički udio 1/12 predložiti skupštini vjervnika donošenje odluke o pordaji prikupljanjem pisanih ponuda.</w:t>
      </w:r>
    </w:p>
    <w:p w14:textId="77777777" w14:paraId="0FA2EB5A" w:rsidRDefault="00031CA1" w:rsidP="00C81D32" w:rsidR="00031CA1" w:rsidRPr="0079374E">
      <w:pPr>
        <w:widowControl w:val="false"/>
        <w:autoSpaceDE w:val="false"/>
        <w:autoSpaceDN w:val="false"/>
        <w:adjustRightInd w:val="false"/>
        <w:spacing w:after="0"/>
        <w:jc w:val="both"/>
        <w:rPr>
          <w:rFonts w:hAnsi="Times New Roman" w:ascii="Times New Roman"/>
          <w:sz w:val="24"/>
          <w:szCs w:val="24"/>
        </w:rPr>
      </w:pPr>
    </w:p>
    <w:p w14:textId="77777777" w14:paraId="71B2A19E" w:rsidRDefault="00F26821" w:rsidP="00F26821" w:rsidR="00F26821" w:rsidRPr="0079374E">
      <w:pPr>
        <w:spacing w:lineRule="auto" w:line="276" w:after="0"/>
        <w:jc w:val="both"/>
        <w:rPr>
          <w:rFonts w:hAnsi="Times New Roman" w:ascii="Times New Roman"/>
          <w:color w:themeShade="1A" w:themeColor="background2" w:val="1D1B11"/>
          <w:sz w:val="24"/>
          <w:szCs w:val="24"/>
        </w:rPr>
      </w:pPr>
      <w:r w:rsidRPr="0079374E">
        <w:rPr>
          <w:rFonts w:hAnsi="Times New Roman" w:ascii="Times New Roman"/>
          <w:color w:themeShade="1A" w:themeColor="background2" w:val="1D1B11"/>
          <w:sz w:val="24"/>
          <w:szCs w:val="24"/>
        </w:rPr>
        <w:t xml:space="preserve">- 29.214 dionica Elektropromet d.d. oznake ELPR-R-A </w:t>
      </w:r>
    </w:p>
    <w:p w14:textId="2DE62BD5" w14:paraId="6CEF2833" w:rsidRDefault="00F26821" w:rsidP="00F26821" w:rsidR="00F26821" w:rsidRPr="0079374E">
      <w:pPr>
        <w:spacing w:lineRule="auto" w:line="276" w:after="0"/>
        <w:jc w:val="both"/>
        <w:rPr>
          <w:rFonts w:hAnsi="Times New Roman" w:ascii="Times New Roman"/>
          <w:color w:themeShade="1A" w:themeColor="background2" w:val="1D1B11"/>
          <w:sz w:val="24"/>
          <w:szCs w:val="24"/>
        </w:rPr>
      </w:pPr>
      <w:r w:rsidRPr="0079374E">
        <w:rPr>
          <w:rFonts w:hAnsi="Times New Roman" w:ascii="Times New Roman"/>
          <w:color w:themeShade="1A" w:themeColor="background2" w:val="1D1B11"/>
          <w:sz w:val="24"/>
          <w:szCs w:val="24"/>
        </w:rPr>
        <w:t>nominalne vrijednosti 8.764.200,00 kn, a čine 8,72% temeljnog kapitala, tržišna vrijednost nepoznata jer je dionica iako izlistana za Zagrebačkoj burzi nelikvidna, nad predmetnim društvom je podnešen prijedlog za otvaranje stečajnog postupka, međutin isti je u prekidu do okončanja upravnog spora radi poništenja rješenja o obustavi predstečajne nagodbe koja se ranije vodila. Dionice su opterećene založnim pravom vjerovnika NLB Interfinanz i nije izvjesno da se iz njihovog unovčenja može namiriti tražbina razlučnog vjerovnika.</w:t>
      </w:r>
    </w:p>
    <w:p w14:textId="77777777" w14:paraId="7771DADB" w:rsidRDefault="00F26821" w:rsidP="00F26821" w:rsidR="00F26821" w:rsidRPr="0079374E">
      <w:pPr>
        <w:spacing w:lineRule="auto" w:line="276" w:after="0"/>
        <w:jc w:val="both"/>
        <w:rPr>
          <w:rFonts w:hAnsi="Times New Roman" w:ascii="Times New Roman"/>
          <w:color w:themeShade="1A" w:themeColor="background2" w:val="1D1B11"/>
          <w:sz w:val="24"/>
          <w:szCs w:val="24"/>
        </w:rPr>
      </w:pPr>
    </w:p>
    <w:p w14:textId="77777777" w14:paraId="44C93A8C" w:rsidRDefault="00F26821" w:rsidP="00F26821" w:rsidR="00F26821" w:rsidRPr="0079374E">
      <w:pPr>
        <w:spacing w:lineRule="auto" w:line="276" w:after="0"/>
        <w:jc w:val="both"/>
        <w:rPr>
          <w:rFonts w:hAnsi="Times New Roman" w:ascii="Times New Roman"/>
          <w:color w:themeShade="1A" w:themeColor="background2" w:val="1D1B11"/>
          <w:sz w:val="24"/>
          <w:szCs w:val="24"/>
        </w:rPr>
      </w:pPr>
      <w:r w:rsidRPr="0079374E">
        <w:rPr>
          <w:rFonts w:hAnsi="Times New Roman" w:ascii="Times New Roman"/>
          <w:color w:themeShade="1A" w:themeColor="background2" w:val="1D1B11"/>
          <w:sz w:val="24"/>
          <w:szCs w:val="24"/>
        </w:rPr>
        <w:t>- 121.152 dionice Jadran TMN d.d. u stečaju, oznake JTMN-R-A</w:t>
      </w:r>
    </w:p>
    <w:p w14:textId="77777777" w14:paraId="76D7F7B4" w:rsidRDefault="00F26821" w:rsidP="00F26821" w:rsidR="00F26821" w:rsidRPr="0079374E">
      <w:pPr>
        <w:spacing w:lineRule="auto" w:line="276" w:after="0"/>
        <w:jc w:val="both"/>
        <w:rPr>
          <w:rFonts w:hAnsi="Times New Roman" w:ascii="Times New Roman"/>
          <w:color w:themeShade="1A" w:themeColor="background2" w:val="1D1B11"/>
          <w:sz w:val="24"/>
          <w:szCs w:val="24"/>
        </w:rPr>
      </w:pPr>
      <w:r w:rsidRPr="0079374E">
        <w:rPr>
          <w:rFonts w:hAnsi="Times New Roman" w:ascii="Times New Roman"/>
          <w:color w:themeShade="1A" w:themeColor="background2" w:val="1D1B11"/>
          <w:sz w:val="24"/>
          <w:szCs w:val="24"/>
        </w:rPr>
        <w:t>nominalne vrijednosti 36.345.600,00 kn, a čine 69,80% temeljnog kapitala, tržišne vrijednosti nema, društvo je u stečaju i nema izgleda za namirenje vjerovnika, a slijedom toga niti za namirenje dioničara.</w:t>
      </w:r>
    </w:p>
    <w:p w14:textId="77777777" w14:paraId="65E607E1" w:rsidRDefault="00F26821" w:rsidP="00F26821" w:rsidR="00F26821" w:rsidRPr="0079374E">
      <w:pPr>
        <w:spacing w:lineRule="auto" w:line="276" w:after="0"/>
        <w:jc w:val="both"/>
        <w:rPr>
          <w:rFonts w:hAnsi="Times New Roman" w:ascii="Times New Roman"/>
          <w:color w:themeShade="1A" w:themeColor="background2" w:val="1D1B11"/>
          <w:sz w:val="24"/>
          <w:szCs w:val="24"/>
        </w:rPr>
      </w:pPr>
    </w:p>
    <w:p w14:textId="77777777" w14:paraId="79259F07" w:rsidRDefault="00F26821" w:rsidP="00C81D32" w:rsidR="00F26821" w:rsidRPr="0079374E">
      <w:pPr>
        <w:widowControl w:val="false"/>
        <w:autoSpaceDE w:val="false"/>
        <w:autoSpaceDN w:val="false"/>
        <w:adjustRightInd w:val="false"/>
        <w:spacing w:after="0"/>
        <w:jc w:val="both"/>
        <w:rPr>
          <w:rFonts w:hAnsi="Times New Roman" w:ascii="Times New Roman"/>
          <w:sz w:val="24"/>
          <w:szCs w:val="24"/>
        </w:rPr>
      </w:pPr>
    </w:p>
    <w:p w14:textId="77777777" w14:paraId="690A790E" w:rsidRDefault="000E1F39" w:rsidP="000E1F39" w:rsidR="000E1F39" w:rsidRPr="0079374E">
      <w:pPr>
        <w:ind w:left="360"/>
        <w:rPr>
          <w:rFonts w:hAnsi="Times New Roman" w:ascii="Times New Roman"/>
          <w:sz w:val="24"/>
          <w:szCs w:val="24"/>
        </w:rPr>
      </w:pPr>
    </w:p>
    <w:p w14:textId="77777777" w14:paraId="28C3DF76" w:rsidRDefault="000E1F39" w:rsidP="000E1F39" w:rsidR="000E1F39" w:rsidRPr="0079374E">
      <w:pPr>
        <w:rPr>
          <w:rFonts w:hAnsi="Times New Roman" w:ascii="Times New Roman"/>
          <w:b/>
          <w:sz w:val="24"/>
          <w:szCs w:val="24"/>
        </w:rPr>
      </w:pPr>
      <w:r w:rsidRPr="0079374E">
        <w:rPr>
          <w:rFonts w:hAnsi="Times New Roman" w:ascii="Times New Roman"/>
          <w:b/>
          <w:sz w:val="24"/>
          <w:szCs w:val="24"/>
        </w:rPr>
        <w:t>III. RADNJE KOJE ĆE SE PODUZETI U NAREDNOM RAZDOBLJU</w:t>
      </w:r>
    </w:p>
    <w:p w14:textId="77777777" w14:paraId="7D6081BD" w:rsidRDefault="003528AE" w:rsidP="000E1F39" w:rsidR="003528AE" w:rsidRPr="0079374E">
      <w:pPr>
        <w:jc w:val="both"/>
        <w:rPr>
          <w:rFonts w:hAnsi="Times New Roman" w:ascii="Times New Roman"/>
          <w:sz w:val="24"/>
          <w:szCs w:val="24"/>
        </w:rPr>
      </w:pPr>
    </w:p>
    <w:p w14:textId="36AB0B72" w14:paraId="083CDB9C" w:rsidRDefault="00DA2CFF" w:rsidP="00F26821" w:rsidR="003528AE" w:rsidRPr="0079374E">
      <w:pPr>
        <w:spacing w:lineRule="auto" w:line="276"/>
        <w:jc w:val="both"/>
        <w:rPr>
          <w:rFonts w:hAnsi="Times New Roman" w:ascii="Times New Roman"/>
          <w:sz w:val="24"/>
          <w:szCs w:val="24"/>
        </w:rPr>
      </w:pPr>
      <w:r w:rsidRPr="0079374E">
        <w:rPr>
          <w:rFonts w:hAnsi="Times New Roman" w:ascii="Times New Roman"/>
          <w:sz w:val="24"/>
          <w:szCs w:val="24"/>
        </w:rPr>
        <w:t>Po predaji</w:t>
      </w:r>
      <w:r w:rsidR="00031CA1" w:rsidRPr="0079374E">
        <w:rPr>
          <w:rFonts w:hAnsi="Times New Roman" w:ascii="Times New Roman"/>
          <w:sz w:val="24"/>
          <w:szCs w:val="24"/>
        </w:rPr>
        <w:t xml:space="preserve"> ovog </w:t>
      </w:r>
      <w:r w:rsidR="00F26821" w:rsidRPr="0079374E">
        <w:rPr>
          <w:rFonts w:hAnsi="Times New Roman" w:ascii="Times New Roman"/>
          <w:sz w:val="24"/>
          <w:szCs w:val="24"/>
        </w:rPr>
        <w:t>izvješća stečajni upravitelj će predložiti</w:t>
      </w:r>
      <w:r w:rsidR="00031CA1" w:rsidRPr="0079374E">
        <w:rPr>
          <w:rFonts w:hAnsi="Times New Roman" w:ascii="Times New Roman"/>
          <w:sz w:val="24"/>
          <w:szCs w:val="24"/>
        </w:rPr>
        <w:t xml:space="preserve"> održavanje posebnog ispitnog ročišta radi ispitivanja neispitanih tražbina koje su pristigle u roku</w:t>
      </w:r>
      <w:r w:rsidR="00FD7B8A" w:rsidRPr="0079374E">
        <w:rPr>
          <w:rFonts w:hAnsi="Times New Roman" w:ascii="Times New Roman"/>
          <w:sz w:val="24"/>
          <w:szCs w:val="24"/>
        </w:rPr>
        <w:t xml:space="preserve"> od 3 mjeseca nakon ispitnog ročišta i</w:t>
      </w:r>
      <w:r w:rsidR="00031CA1" w:rsidRPr="0079374E">
        <w:rPr>
          <w:rFonts w:hAnsi="Times New Roman" w:ascii="Times New Roman"/>
          <w:sz w:val="24"/>
          <w:szCs w:val="24"/>
        </w:rPr>
        <w:t xml:space="preserve"> koje stečajni upravitelj nije bio u mogućnos</w:t>
      </w:r>
      <w:r w:rsidR="00FD7B8A" w:rsidRPr="0079374E">
        <w:rPr>
          <w:rFonts w:hAnsi="Times New Roman" w:ascii="Times New Roman"/>
          <w:sz w:val="24"/>
          <w:szCs w:val="24"/>
        </w:rPr>
        <w:t xml:space="preserve">ti ispitati do ispitnog ročišta, </w:t>
      </w:r>
      <w:r w:rsidR="00031CA1" w:rsidRPr="0079374E">
        <w:rPr>
          <w:rFonts w:hAnsi="Times New Roman" w:ascii="Times New Roman"/>
          <w:sz w:val="24"/>
          <w:szCs w:val="24"/>
        </w:rPr>
        <w:t>te održavanje skupšti</w:t>
      </w:r>
      <w:r w:rsidR="00AD2E2B" w:rsidRPr="0079374E">
        <w:rPr>
          <w:rFonts w:hAnsi="Times New Roman" w:ascii="Times New Roman"/>
          <w:sz w:val="24"/>
          <w:szCs w:val="24"/>
        </w:rPr>
        <w:t>n</w:t>
      </w:r>
      <w:r w:rsidR="00031CA1" w:rsidRPr="0079374E">
        <w:rPr>
          <w:rFonts w:hAnsi="Times New Roman" w:ascii="Times New Roman"/>
          <w:sz w:val="24"/>
          <w:szCs w:val="24"/>
        </w:rPr>
        <w:t>e vjerovnika r</w:t>
      </w:r>
      <w:r w:rsidR="00F26821" w:rsidRPr="0079374E">
        <w:rPr>
          <w:rFonts w:hAnsi="Times New Roman" w:ascii="Times New Roman"/>
          <w:sz w:val="24"/>
          <w:szCs w:val="24"/>
        </w:rPr>
        <w:t>adi dalj</w:t>
      </w:r>
      <w:r w:rsidR="00D559E0" w:rsidRPr="0079374E">
        <w:rPr>
          <w:rFonts w:hAnsi="Times New Roman" w:ascii="Times New Roman"/>
          <w:sz w:val="24"/>
          <w:szCs w:val="24"/>
        </w:rPr>
        <w:t>njih odluka o unovčenju imovine,</w:t>
      </w:r>
      <w:r w:rsidR="00FD7B8A" w:rsidRPr="0079374E">
        <w:rPr>
          <w:rFonts w:hAnsi="Times New Roman" w:ascii="Times New Roman"/>
          <w:sz w:val="24"/>
          <w:szCs w:val="24"/>
        </w:rPr>
        <w:t xml:space="preserve"> također predložiti će se donošnje rješenja o prodaji nekretnina sukladno čl. 247. SZ-a i zaključka o utvrđenju vrijednosti nekretnina.</w:t>
      </w:r>
    </w:p>
    <w:p w14:textId="77777777" w14:paraId="21C1931D" w:rsidRDefault="003528AE" w:rsidP="000E1F39" w:rsidR="003528AE" w:rsidRPr="0079374E">
      <w:pPr>
        <w:jc w:val="both"/>
        <w:rPr>
          <w:rFonts w:hAnsi="Times New Roman" w:ascii="Times New Roman"/>
          <w:sz w:val="24"/>
          <w:szCs w:val="24"/>
        </w:rPr>
      </w:pPr>
    </w:p>
    <w:p w14:textId="77777777" w14:paraId="1A359628" w:rsidRDefault="000E1F39" w:rsidP="000E1F39" w:rsidR="000E1F39" w:rsidRPr="0079374E">
      <w:pPr>
        <w:ind w:left="360"/>
        <w:rPr>
          <w:rFonts w:hAnsi="Times New Roman" w:ascii="Times New Roman"/>
          <w:sz w:val="24"/>
          <w:szCs w:val="24"/>
        </w:rPr>
      </w:pPr>
    </w:p>
    <w:p w14:textId="77777777" w14:paraId="13073FA6" w:rsidRDefault="00031CA1" w:rsidP="000E1F39" w:rsidR="00031CA1" w:rsidRPr="0079374E">
      <w:pPr>
        <w:rPr>
          <w:rFonts w:hAnsi="Times New Roman" w:ascii="Times New Roman"/>
          <w:sz w:val="24"/>
          <w:szCs w:val="24"/>
        </w:rPr>
      </w:pPr>
    </w:p>
    <w:p w14:textId="77777777" w14:paraId="182191D5" w:rsidRDefault="00031CA1" w:rsidP="000E1F39" w:rsidR="00031CA1" w:rsidRPr="0079374E">
      <w:pPr>
        <w:rPr>
          <w:rFonts w:hAnsi="Times New Roman" w:ascii="Times New Roman"/>
          <w:sz w:val="24"/>
          <w:szCs w:val="24"/>
        </w:rPr>
      </w:pPr>
    </w:p>
    <w:p w14:textId="77777777" w14:paraId="14CE2F1C" w:rsidRDefault="000E1F39" w:rsidP="000E1F39" w:rsidR="000E1F39" w:rsidRPr="0079374E">
      <w:pPr>
        <w:rPr>
          <w:rFonts w:hAnsi="Times New Roman" w:ascii="Times New Roman"/>
          <w:sz w:val="24"/>
          <w:szCs w:val="24"/>
        </w:rPr>
      </w:pPr>
      <w:r w:rsidRPr="0079374E">
        <w:rPr>
          <w:rFonts w:hAnsi="Times New Roman" w:ascii="Times New Roman"/>
          <w:sz w:val="24"/>
          <w:szCs w:val="24"/>
        </w:rPr>
        <w:t xml:space="preserve">Mjesto i datum </w:t>
      </w:r>
      <w:r w:rsidRPr="0079374E">
        <w:rPr>
          <w:rFonts w:hAnsi="Times New Roman" w:ascii="Times New Roman"/>
          <w:sz w:val="24"/>
          <w:szCs w:val="24"/>
        </w:rPr>
        <w:tab/>
      </w:r>
      <w:r w:rsidRPr="0079374E">
        <w:rPr>
          <w:rFonts w:hAnsi="Times New Roman" w:ascii="Times New Roman"/>
          <w:sz w:val="24"/>
          <w:szCs w:val="24"/>
        </w:rPr>
        <w:tab/>
      </w:r>
      <w:r w:rsidRPr="0079374E">
        <w:rPr>
          <w:rFonts w:hAnsi="Times New Roman" w:ascii="Times New Roman"/>
          <w:sz w:val="24"/>
          <w:szCs w:val="24"/>
        </w:rPr>
        <w:tab/>
      </w:r>
      <w:r w:rsidRPr="0079374E">
        <w:rPr>
          <w:rFonts w:hAnsi="Times New Roman" w:ascii="Times New Roman"/>
          <w:sz w:val="24"/>
          <w:szCs w:val="24"/>
        </w:rPr>
        <w:tab/>
      </w:r>
      <w:r w:rsidRPr="0079374E">
        <w:rPr>
          <w:rFonts w:hAnsi="Times New Roman" w:ascii="Times New Roman"/>
          <w:sz w:val="24"/>
          <w:szCs w:val="24"/>
        </w:rPr>
        <w:tab/>
      </w:r>
      <w:r w:rsidRPr="0079374E">
        <w:rPr>
          <w:rFonts w:hAnsi="Times New Roman" w:ascii="Times New Roman"/>
          <w:sz w:val="24"/>
          <w:szCs w:val="24"/>
        </w:rPr>
        <w:tab/>
        <w:t>Stečajni upravitelj</w:t>
      </w:r>
    </w:p>
    <w:p w14:textId="35D74539" w14:paraId="55C7F934" w:rsidRDefault="00031CA1" w:rsidR="00C61F72" w:rsidRPr="0079374E">
      <w:pPr>
        <w:rPr>
          <w:rFonts w:hAnsi="Times New Roman" w:ascii="Times New Roman"/>
          <w:sz w:val="24"/>
          <w:szCs w:val="24"/>
        </w:rPr>
      </w:pPr>
      <w:r w:rsidRPr="0079374E">
        <w:rPr>
          <w:rFonts w:hAnsi="Times New Roman" w:ascii="Times New Roman"/>
          <w:sz w:val="24"/>
          <w:szCs w:val="24"/>
        </w:rPr>
        <w:t>Zagreb, 02</w:t>
      </w:r>
      <w:r w:rsidR="005A60B9" w:rsidRPr="0079374E">
        <w:rPr>
          <w:rFonts w:hAnsi="Times New Roman" w:ascii="Times New Roman"/>
          <w:sz w:val="24"/>
          <w:szCs w:val="24"/>
        </w:rPr>
        <w:t>.</w:t>
      </w:r>
      <w:r w:rsidRPr="0079374E">
        <w:rPr>
          <w:rFonts w:hAnsi="Times New Roman" w:ascii="Times New Roman"/>
          <w:sz w:val="24"/>
          <w:szCs w:val="24"/>
        </w:rPr>
        <w:t>07</w:t>
      </w:r>
      <w:r w:rsidR="002874DF" w:rsidRPr="0079374E">
        <w:rPr>
          <w:rFonts w:hAnsi="Times New Roman" w:ascii="Times New Roman"/>
          <w:sz w:val="24"/>
          <w:szCs w:val="24"/>
        </w:rPr>
        <w:t>.2018</w:t>
      </w:r>
      <w:r w:rsidR="00D936AE" w:rsidRPr="0079374E">
        <w:rPr>
          <w:rFonts w:hAnsi="Times New Roman" w:ascii="Times New Roman"/>
          <w:sz w:val="24"/>
          <w:szCs w:val="24"/>
        </w:rPr>
        <w:t>.</w:t>
      </w:r>
      <w:r w:rsidR="00C81D32" w:rsidRPr="0079374E">
        <w:rPr>
          <w:rFonts w:hAnsi="Times New Roman" w:ascii="Times New Roman"/>
          <w:sz w:val="24"/>
          <w:szCs w:val="24"/>
        </w:rPr>
        <w:tab/>
      </w:r>
      <w:r w:rsidR="00C81D32" w:rsidRPr="0079374E">
        <w:rPr>
          <w:rFonts w:hAnsi="Times New Roman" w:ascii="Times New Roman"/>
          <w:sz w:val="24"/>
          <w:szCs w:val="24"/>
        </w:rPr>
        <w:tab/>
      </w:r>
      <w:r w:rsidR="00C81D32" w:rsidRPr="0079374E">
        <w:rPr>
          <w:rFonts w:hAnsi="Times New Roman" w:ascii="Times New Roman"/>
          <w:sz w:val="24"/>
          <w:szCs w:val="24"/>
        </w:rPr>
        <w:tab/>
      </w:r>
      <w:r w:rsidR="00C81D32" w:rsidRPr="0079374E">
        <w:rPr>
          <w:rFonts w:hAnsi="Times New Roman" w:ascii="Times New Roman"/>
          <w:sz w:val="24"/>
          <w:szCs w:val="24"/>
        </w:rPr>
        <w:tab/>
      </w:r>
      <w:r w:rsidR="00C81D32" w:rsidRPr="0079374E">
        <w:rPr>
          <w:rFonts w:hAnsi="Times New Roman" w:ascii="Times New Roman"/>
          <w:sz w:val="24"/>
          <w:szCs w:val="24"/>
        </w:rPr>
        <w:tab/>
      </w:r>
      <w:r w:rsidR="00C81D32" w:rsidRPr="0079374E">
        <w:rPr>
          <w:rFonts w:hAnsi="Times New Roman" w:ascii="Times New Roman"/>
          <w:sz w:val="24"/>
          <w:szCs w:val="24"/>
        </w:rPr>
        <w:tab/>
        <w:t>Duško Koruga</w:t>
      </w:r>
    </w:p>
    <w:sectPr w:rsidR="00C61F72" w:rsidRPr="0079374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31CA1"/>
    <w:rsid w:val="000975EE"/>
    <w:rsid w:val="000E1F39"/>
    <w:rsid w:val="00100DBB"/>
    <w:rsid w:val="00112E4A"/>
    <w:rsid w:val="00192EAC"/>
    <w:rsid w:val="001A5515"/>
    <w:rsid w:val="002460A4"/>
    <w:rsid w:val="002874DF"/>
    <w:rsid w:val="003528AE"/>
    <w:rsid w:val="00362F51"/>
    <w:rsid w:val="00397101"/>
    <w:rsid w:val="003D734A"/>
    <w:rsid w:val="00424F13"/>
    <w:rsid w:val="00482858"/>
    <w:rsid w:val="00566672"/>
    <w:rsid w:val="005724B0"/>
    <w:rsid w:val="005A60B9"/>
    <w:rsid w:val="006F6205"/>
    <w:rsid w:val="0079374E"/>
    <w:rsid w:val="007C772C"/>
    <w:rsid w:val="00816DAB"/>
    <w:rsid w:val="008512FB"/>
    <w:rsid w:val="00880CC4"/>
    <w:rsid w:val="009C5C5B"/>
    <w:rsid w:val="00A202CE"/>
    <w:rsid w:val="00AD290A"/>
    <w:rsid w:val="00AD2E2B"/>
    <w:rsid w:val="00AF0FEB"/>
    <w:rsid w:val="00BB7838"/>
    <w:rsid w:val="00BF7DC0"/>
    <w:rsid w:val="00C26FA1"/>
    <w:rsid w:val="00C61F72"/>
    <w:rsid w:val="00C81D32"/>
    <w:rsid w:val="00CD6CD6"/>
    <w:rsid w:val="00CD73A6"/>
    <w:rsid w:val="00D233AE"/>
    <w:rsid w:val="00D4220D"/>
    <w:rsid w:val="00D5428A"/>
    <w:rsid w:val="00D559E0"/>
    <w:rsid w:val="00D936AE"/>
    <w:rsid w:val="00DA2CFF"/>
    <w:rsid w:val="00DC7467"/>
    <w:rsid w:val="00E15C90"/>
    <w:rsid w:val="00E3541E"/>
    <w:rsid w:val="00E623C2"/>
    <w:rsid w:val="00E63F45"/>
    <w:rsid w:val="00EB01F6"/>
    <w:rsid w:val="00F11838"/>
    <w:rsid w:val="00F26821"/>
    <w:rsid w:val="00F62897"/>
    <w:rsid w:val="00FB65EE"/>
    <w:rsid w:val="00FD7B8A"/>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doNotAutoCompressPictures/>
  <w:shapeDefaults>
    <o:shapedefaults v:ext="edit" spidmax="1026"/>
    <o:shapelayout v:ext="edit">
      <o:idmap v:ext="edit" data="1"/>
    </o:shapelayout>
  </w:shapeDefaults>
  <w:decimalSymbol w:val=","/>
  <w:listSeparator w:val=";"/>
  <w14:docId w14:val="4A10BBFB"/>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pple-converted-space" w:type="character">
    <w:name w:val="apple-converted-space"/>
    <w:basedOn w:val="Zadanifontodlomka"/>
    <w:rsid w:val="00031CA1"/>
  </w:style>
  <w:style w:styleId="Naslov" w:type="paragraph">
    <w:name w:val="Title"/>
    <w:basedOn w:val="Normal"/>
    <w:link w:val="NaslovChar"/>
    <w:qFormat/>
    <w:rsid w:val="00C26FA1"/>
    <w:pPr>
      <w:widowControl w:val="false"/>
      <w:overflowPunct w:val="false"/>
      <w:autoSpaceDE w:val="false"/>
      <w:autoSpaceDN w:val="false"/>
      <w:adjustRightInd w:val="false"/>
      <w:spacing w:after="0"/>
      <w:jc w:val="center"/>
      <w:textAlignment w:val="baseline"/>
    </w:pPr>
    <w:rPr>
      <w:rFonts w:eastAsia="Times New Roman" w:hAnsi="Times New Roman" w:ascii="Times New Roman"/>
      <w:b/>
      <w:szCs w:val="20"/>
      <w:lang w:eastAsia="hr-HR"/>
    </w:rPr>
  </w:style>
  <w:style w:customStyle="true" w:styleId="NaslovChar" w:type="character">
    <w:name w:val="Naslov Char"/>
    <w:basedOn w:val="Zadanifontodlomka"/>
    <w:link w:val="Naslov"/>
    <w:rsid w:val="00C26FA1"/>
    <w:rPr>
      <w:rFonts w:cs="Times New Roman" w:eastAsia="Times New Roman" w:hAnsi="Times New Roman" w:ascii="Times New Roman"/>
      <w:b/>
      <w:szCs w:val="20"/>
      <w:lang w:eastAsia="hr-HR"/>
    </w:rPr>
  </w:style>
  <w:style w:styleId="Naglaeno" w:type="character">
    <w:name w:val="Strong"/>
    <w:qFormat/>
    <w:rsid w:val="00C26FA1"/>
    <w:rPr>
      <w:b/>
      <w:bCs/>
    </w:rPr>
  </w:style>
  <w:style w:styleId="Zaglavlje" w:type="paragraph">
    <w:name w:val="header"/>
    <w:basedOn w:val="Normal"/>
    <w:link w:val="ZaglavljeChar"/>
    <w:uiPriority w:val="99"/>
    <w:unhideWhenUsed/>
    <w:rsid w:val="002460A4"/>
    <w:pPr>
      <w:tabs>
        <w:tab w:pos="4320" w:val="center"/>
        <w:tab w:pos="8640" w:val="right"/>
      </w:tabs>
      <w:spacing w:after="0"/>
    </w:pPr>
    <w:rPr>
      <w:rFonts w:cstheme="minorBidi" w:eastAsiaTheme="minorEastAsia" w:hAnsiTheme="minorHAnsi" w:asciiTheme="minorHAnsi"/>
      <w:sz w:val="24"/>
      <w:szCs w:val="24"/>
      <w:lang w:eastAsia="ja-JP" w:val="en-US"/>
    </w:rPr>
  </w:style>
  <w:style w:customStyle="true" w:styleId="ZaglavljeChar" w:type="character">
    <w:name w:val="Zaglavlje Char"/>
    <w:basedOn w:val="Zadanifontodlomka"/>
    <w:link w:val="Zaglavlje"/>
    <w:uiPriority w:val="99"/>
    <w:rsid w:val="002460A4"/>
    <w:rPr>
      <w:sz w:val="24"/>
      <w:szCs w:val="24"/>
      <w:lang w:eastAsia="ja-JP" w:val="en-US"/>
    </w:rPr>
  </w:style>
  <w:style w:styleId="Tekstrezerviranogmjesta" w:type="character">
    <w:name w:val="Placeholder Text"/>
    <w:basedOn w:val="Zadanifontodlomka"/>
    <w:uiPriority w:val="99"/>
    <w:semiHidden/>
    <w:rsid w:val="009C5C5B"/>
    <w:rPr>
      <w:color w:val="808080"/>
      <w:bdr w:space="0" w:sz="0" w:color="auto" w:val="none"/>
      <w:shd w:fill="auto" w:color="auto" w:val="clear"/>
    </w:rPr>
  </w:style>
  <w:style w:customStyle="true" w:styleId="eSPISCCParagraphDefaultFont" w:type="character">
    <w:name w:val="eSPIS_CC_Paragraph Default Font"/>
    <w:basedOn w:val="Zadanifontodlomka"/>
    <w:rsid w:val="009C5C5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C5C5B"/>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9C5C5B"/>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9C5C5B"/>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pple-converted-space" w:type="character">
    <w:name w:val="apple-converted-space"/>
    <w:basedOn w:val="Zadanifontodlomka"/>
    <w:rsid w:val="00031CA1"/>
  </w:style>
  <w:style w:styleId="Naslov" w:type="paragraph">
    <w:name w:val="Title"/>
    <w:basedOn w:val="Normal"/>
    <w:link w:val="NaslovChar"/>
    <w:qFormat/>
    <w:rsid w:val="00C26FA1"/>
    <w:pPr>
      <w:widowControl w:val="0"/>
      <w:overflowPunct w:val="0"/>
      <w:autoSpaceDE w:val="0"/>
      <w:autoSpaceDN w:val="0"/>
      <w:adjustRightInd w:val="0"/>
      <w:spacing w:after="0"/>
      <w:jc w:val="center"/>
      <w:textAlignment w:val="baseline"/>
    </w:pPr>
    <w:rPr>
      <w:rFonts w:ascii="Times New Roman" w:eastAsia="Times New Roman" w:hAnsi="Times New Roman"/>
      <w:b/>
      <w:szCs w:val="20"/>
      <w:lang w:eastAsia="hr-HR"/>
    </w:rPr>
  </w:style>
  <w:style w:customStyle="1" w:styleId="NaslovChar" w:type="character">
    <w:name w:val="Naslov Char"/>
    <w:basedOn w:val="Zadanifontodlomka"/>
    <w:link w:val="Naslov"/>
    <w:rsid w:val="00C26FA1"/>
    <w:rPr>
      <w:rFonts w:ascii="Times New Roman" w:cs="Times New Roman" w:eastAsia="Times New Roman" w:hAnsi="Times New Roman"/>
      <w:b/>
      <w:szCs w:val="20"/>
      <w:lang w:eastAsia="hr-HR"/>
    </w:rPr>
  </w:style>
  <w:style w:styleId="Naglaeno" w:type="character">
    <w:name w:val="Strong"/>
    <w:qFormat/>
    <w:rsid w:val="00C26FA1"/>
    <w:rPr>
      <w:b/>
      <w:bCs/>
    </w:rPr>
  </w:style>
  <w:style w:styleId="Zaglavlje" w:type="paragraph">
    <w:name w:val="header"/>
    <w:basedOn w:val="Normal"/>
    <w:link w:val="ZaglavljeChar"/>
    <w:uiPriority w:val="99"/>
    <w:unhideWhenUsed/>
    <w:rsid w:val="002460A4"/>
    <w:pPr>
      <w:tabs>
        <w:tab w:pos="4320" w:val="center"/>
        <w:tab w:pos="8640" w:val="right"/>
      </w:tabs>
      <w:spacing w:after="0"/>
    </w:pPr>
    <w:rPr>
      <w:rFonts w:asciiTheme="minorHAnsi" w:cstheme="minorBidi" w:eastAsiaTheme="minorEastAsia" w:hAnsiTheme="minorHAnsi"/>
      <w:sz w:val="24"/>
      <w:szCs w:val="24"/>
      <w:lang w:eastAsia="ja-JP" w:val="en-US"/>
    </w:rPr>
  </w:style>
  <w:style w:customStyle="1" w:styleId="ZaglavljeChar" w:type="character">
    <w:name w:val="Zaglavlje Char"/>
    <w:basedOn w:val="Zadanifontodlomka"/>
    <w:link w:val="Zaglavlje"/>
    <w:uiPriority w:val="99"/>
    <w:rsid w:val="002460A4"/>
    <w:rPr>
      <w:sz w:val="24"/>
      <w:szCs w:val="24"/>
      <w:lang w:eastAsia="ja-JP" w:val="en-US"/>
    </w:rPr>
  </w:style>
  <w:style w:styleId="Tekstrezerviranogmjesta" w:type="character">
    <w:name w:val="Placeholder Text"/>
    <w:basedOn w:val="Zadanifontodlomka"/>
    <w:uiPriority w:val="99"/>
    <w:semiHidden/>
    <w:rsid w:val="009C5C5B"/>
    <w:rPr>
      <w:color w:val="808080"/>
      <w:bdr w:color="auto" w:space="0" w:sz="0" w:val="none"/>
      <w:shd w:color="auto" w:fill="auto" w:val="clear"/>
    </w:rPr>
  </w:style>
  <w:style w:customStyle="1" w:styleId="eSPISCCParagraphDefaultFont" w:type="character">
    <w:name w:val="eSPIS_CC_Paragraph Default Font"/>
    <w:basedOn w:val="Zadanifontodlomka"/>
    <w:rsid w:val="009C5C5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C5C5B"/>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C5C5B"/>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C5C5B"/>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934547">
      <w:bodyDiv w:val="true"/>
      <w:marLeft w:val="0"/>
      <w:marRight w:val="0"/>
      <w:marTop w:val="0"/>
      <w:marBottom w:val="0"/>
      <w:divBdr>
        <w:top w:space="0" w:sz="0" w:color="auto" w:val="none"/>
        <w:left w:space="0" w:sz="0" w:color="auto" w:val="none"/>
        <w:bottom w:space="0" w:sz="0" w:color="auto" w:val="none"/>
        <w:right w:space="0" w:sz="0" w:color="auto" w:val="none"/>
      </w:divBdr>
    </w:div>
    <w:div w:id="38869547">
      <w:bodyDiv w:val="true"/>
      <w:marLeft w:val="0"/>
      <w:marRight w:val="0"/>
      <w:marTop w:val="0"/>
      <w:marBottom w:val="0"/>
      <w:divBdr>
        <w:top w:space="0" w:sz="0" w:color="auto" w:val="none"/>
        <w:left w:space="0" w:sz="0" w:color="auto" w:val="none"/>
        <w:bottom w:space="0" w:sz="0" w:color="auto" w:val="none"/>
        <w:right w:space="0" w:sz="0" w:color="auto" w:val="none"/>
      </w:divBdr>
    </w:div>
    <w:div w:id="73549250">
      <w:bodyDiv w:val="true"/>
      <w:marLeft w:val="0"/>
      <w:marRight w:val="0"/>
      <w:marTop w:val="0"/>
      <w:marBottom w:val="0"/>
      <w:divBdr>
        <w:top w:space="0" w:sz="0" w:color="auto" w:val="none"/>
        <w:left w:space="0" w:sz="0" w:color="auto" w:val="none"/>
        <w:bottom w:space="0" w:sz="0" w:color="auto" w:val="none"/>
        <w:right w:space="0" w:sz="0" w:color="auto" w:val="none"/>
      </w:divBdr>
    </w:div>
    <w:div w:id="76288452">
      <w:bodyDiv w:val="true"/>
      <w:marLeft w:val="0"/>
      <w:marRight w:val="0"/>
      <w:marTop w:val="0"/>
      <w:marBottom w:val="0"/>
      <w:divBdr>
        <w:top w:space="0" w:sz="0" w:color="auto" w:val="none"/>
        <w:left w:space="0" w:sz="0" w:color="auto" w:val="none"/>
        <w:bottom w:space="0" w:sz="0" w:color="auto" w:val="none"/>
        <w:right w:space="0" w:sz="0" w:color="auto" w:val="none"/>
      </w:divBdr>
    </w:div>
    <w:div w:id="202601043">
      <w:bodyDiv w:val="true"/>
      <w:marLeft w:val="0"/>
      <w:marRight w:val="0"/>
      <w:marTop w:val="0"/>
      <w:marBottom w:val="0"/>
      <w:divBdr>
        <w:top w:space="0" w:sz="0" w:color="auto" w:val="none"/>
        <w:left w:space="0" w:sz="0" w:color="auto" w:val="none"/>
        <w:bottom w:space="0" w:sz="0" w:color="auto" w:val="none"/>
        <w:right w:space="0" w:sz="0" w:color="auto" w:val="none"/>
      </w:divBdr>
    </w:div>
    <w:div w:id="224073109">
      <w:bodyDiv w:val="true"/>
      <w:marLeft w:val="0"/>
      <w:marRight w:val="0"/>
      <w:marTop w:val="0"/>
      <w:marBottom w:val="0"/>
      <w:divBdr>
        <w:top w:space="0" w:sz="0" w:color="auto" w:val="none"/>
        <w:left w:space="0" w:sz="0" w:color="auto" w:val="none"/>
        <w:bottom w:space="0" w:sz="0" w:color="auto" w:val="none"/>
        <w:right w:space="0" w:sz="0" w:color="auto" w:val="none"/>
      </w:divBdr>
    </w:div>
    <w:div w:id="248662533">
      <w:bodyDiv w:val="true"/>
      <w:marLeft w:val="0"/>
      <w:marRight w:val="0"/>
      <w:marTop w:val="0"/>
      <w:marBottom w:val="0"/>
      <w:divBdr>
        <w:top w:space="0" w:sz="0" w:color="auto" w:val="none"/>
        <w:left w:space="0" w:sz="0" w:color="auto" w:val="none"/>
        <w:bottom w:space="0" w:sz="0" w:color="auto" w:val="none"/>
        <w:right w:space="0" w:sz="0" w:color="auto" w:val="none"/>
      </w:divBdr>
    </w:div>
    <w:div w:id="540240207">
      <w:bodyDiv w:val="true"/>
      <w:marLeft w:val="0"/>
      <w:marRight w:val="0"/>
      <w:marTop w:val="0"/>
      <w:marBottom w:val="0"/>
      <w:divBdr>
        <w:top w:space="0" w:sz="0" w:color="auto" w:val="none"/>
        <w:left w:space="0" w:sz="0" w:color="auto" w:val="none"/>
        <w:bottom w:space="0" w:sz="0" w:color="auto" w:val="none"/>
        <w:right w:space="0" w:sz="0" w:color="auto" w:val="none"/>
      </w:divBdr>
    </w:div>
    <w:div w:id="641614646">
      <w:bodyDiv w:val="true"/>
      <w:marLeft w:val="0"/>
      <w:marRight w:val="0"/>
      <w:marTop w:val="0"/>
      <w:marBottom w:val="0"/>
      <w:divBdr>
        <w:top w:space="0" w:sz="0" w:color="auto" w:val="none"/>
        <w:left w:space="0" w:sz="0" w:color="auto" w:val="none"/>
        <w:bottom w:space="0" w:sz="0" w:color="auto" w:val="none"/>
        <w:right w:space="0" w:sz="0" w:color="auto" w:val="none"/>
      </w:divBdr>
    </w:div>
    <w:div w:id="790905751">
      <w:bodyDiv w:val="true"/>
      <w:marLeft w:val="0"/>
      <w:marRight w:val="0"/>
      <w:marTop w:val="0"/>
      <w:marBottom w:val="0"/>
      <w:divBdr>
        <w:top w:space="0" w:sz="0" w:color="auto" w:val="none"/>
        <w:left w:space="0" w:sz="0" w:color="auto" w:val="none"/>
        <w:bottom w:space="0" w:sz="0" w:color="auto" w:val="none"/>
        <w:right w:space="0" w:sz="0" w:color="auto" w:val="none"/>
      </w:divBdr>
    </w:div>
    <w:div w:id="820075838">
      <w:bodyDiv w:val="true"/>
      <w:marLeft w:val="0"/>
      <w:marRight w:val="0"/>
      <w:marTop w:val="0"/>
      <w:marBottom w:val="0"/>
      <w:divBdr>
        <w:top w:space="0" w:sz="0" w:color="auto" w:val="none"/>
        <w:left w:space="0" w:sz="0" w:color="auto" w:val="none"/>
        <w:bottom w:space="0" w:sz="0" w:color="auto" w:val="none"/>
        <w:right w:space="0" w:sz="0" w:color="auto" w:val="none"/>
      </w:divBdr>
    </w:div>
    <w:div w:id="867988926">
      <w:bodyDiv w:val="true"/>
      <w:marLeft w:val="0"/>
      <w:marRight w:val="0"/>
      <w:marTop w:val="0"/>
      <w:marBottom w:val="0"/>
      <w:divBdr>
        <w:top w:space="0" w:sz="0" w:color="auto" w:val="none"/>
        <w:left w:space="0" w:sz="0" w:color="auto" w:val="none"/>
        <w:bottom w:space="0" w:sz="0" w:color="auto" w:val="none"/>
        <w:right w:space="0" w:sz="0" w:color="auto" w:val="none"/>
      </w:divBdr>
    </w:div>
    <w:div w:id="876502397">
      <w:bodyDiv w:val="true"/>
      <w:marLeft w:val="0"/>
      <w:marRight w:val="0"/>
      <w:marTop w:val="0"/>
      <w:marBottom w:val="0"/>
      <w:divBdr>
        <w:top w:space="0" w:sz="0" w:color="auto" w:val="none"/>
        <w:left w:space="0" w:sz="0" w:color="auto" w:val="none"/>
        <w:bottom w:space="0" w:sz="0" w:color="auto" w:val="none"/>
        <w:right w:space="0" w:sz="0" w:color="auto" w:val="none"/>
      </w:divBdr>
    </w:div>
    <w:div w:id="921914934">
      <w:bodyDiv w:val="true"/>
      <w:marLeft w:val="0"/>
      <w:marRight w:val="0"/>
      <w:marTop w:val="0"/>
      <w:marBottom w:val="0"/>
      <w:divBdr>
        <w:top w:space="0" w:sz="0" w:color="auto" w:val="none"/>
        <w:left w:space="0" w:sz="0" w:color="auto" w:val="none"/>
        <w:bottom w:space="0" w:sz="0" w:color="auto" w:val="none"/>
        <w:right w:space="0" w:sz="0" w:color="auto" w:val="none"/>
      </w:divBdr>
    </w:div>
    <w:div w:id="969434139">
      <w:bodyDiv w:val="true"/>
      <w:marLeft w:val="0"/>
      <w:marRight w:val="0"/>
      <w:marTop w:val="0"/>
      <w:marBottom w:val="0"/>
      <w:divBdr>
        <w:top w:space="0" w:sz="0" w:color="auto" w:val="none"/>
        <w:left w:space="0" w:sz="0" w:color="auto" w:val="none"/>
        <w:bottom w:space="0" w:sz="0" w:color="auto" w:val="none"/>
        <w:right w:space="0" w:sz="0" w:color="auto" w:val="none"/>
      </w:divBdr>
    </w:div>
    <w:div w:id="1095590587">
      <w:bodyDiv w:val="true"/>
      <w:marLeft w:val="0"/>
      <w:marRight w:val="0"/>
      <w:marTop w:val="0"/>
      <w:marBottom w:val="0"/>
      <w:divBdr>
        <w:top w:space="0" w:sz="0" w:color="auto" w:val="none"/>
        <w:left w:space="0" w:sz="0" w:color="auto" w:val="none"/>
        <w:bottom w:space="0" w:sz="0" w:color="auto" w:val="none"/>
        <w:right w:space="0" w:sz="0" w:color="auto" w:val="none"/>
      </w:divBdr>
    </w:div>
    <w:div w:id="1201867807">
      <w:bodyDiv w:val="true"/>
      <w:marLeft w:val="0"/>
      <w:marRight w:val="0"/>
      <w:marTop w:val="0"/>
      <w:marBottom w:val="0"/>
      <w:divBdr>
        <w:top w:space="0" w:sz="0" w:color="auto" w:val="none"/>
        <w:left w:space="0" w:sz="0" w:color="auto" w:val="none"/>
        <w:bottom w:space="0" w:sz="0" w:color="auto" w:val="none"/>
        <w:right w:space="0" w:sz="0" w:color="auto" w:val="none"/>
      </w:divBdr>
    </w:div>
    <w:div w:id="1234856228">
      <w:bodyDiv w:val="true"/>
      <w:marLeft w:val="0"/>
      <w:marRight w:val="0"/>
      <w:marTop w:val="0"/>
      <w:marBottom w:val="0"/>
      <w:divBdr>
        <w:top w:space="0" w:sz="0" w:color="auto" w:val="none"/>
        <w:left w:space="0" w:sz="0" w:color="auto" w:val="none"/>
        <w:bottom w:space="0" w:sz="0" w:color="auto" w:val="none"/>
        <w:right w:space="0" w:sz="0" w:color="auto" w:val="none"/>
      </w:divBdr>
    </w:div>
    <w:div w:id="1243300469">
      <w:bodyDiv w:val="true"/>
      <w:marLeft w:val="0"/>
      <w:marRight w:val="0"/>
      <w:marTop w:val="0"/>
      <w:marBottom w:val="0"/>
      <w:divBdr>
        <w:top w:space="0" w:sz="0" w:color="auto" w:val="none"/>
        <w:left w:space="0" w:sz="0" w:color="auto" w:val="none"/>
        <w:bottom w:space="0" w:sz="0" w:color="auto" w:val="none"/>
        <w:right w:space="0" w:sz="0" w:color="auto" w:val="none"/>
      </w:divBdr>
    </w:div>
    <w:div w:id="1302275250">
      <w:bodyDiv w:val="true"/>
      <w:marLeft w:val="0"/>
      <w:marRight w:val="0"/>
      <w:marTop w:val="0"/>
      <w:marBottom w:val="0"/>
      <w:divBdr>
        <w:top w:space="0" w:sz="0" w:color="auto" w:val="none"/>
        <w:left w:space="0" w:sz="0" w:color="auto" w:val="none"/>
        <w:bottom w:space="0" w:sz="0" w:color="auto" w:val="none"/>
        <w:right w:space="0" w:sz="0" w:color="auto" w:val="none"/>
      </w:divBdr>
    </w:div>
    <w:div w:id="1336955002">
      <w:bodyDiv w:val="true"/>
      <w:marLeft w:val="0"/>
      <w:marRight w:val="0"/>
      <w:marTop w:val="0"/>
      <w:marBottom w:val="0"/>
      <w:divBdr>
        <w:top w:space="0" w:sz="0" w:color="auto" w:val="none"/>
        <w:left w:space="0" w:sz="0" w:color="auto" w:val="none"/>
        <w:bottom w:space="0" w:sz="0" w:color="auto" w:val="none"/>
        <w:right w:space="0" w:sz="0" w:color="auto" w:val="none"/>
      </w:divBdr>
    </w:div>
    <w:div w:id="1523130260">
      <w:bodyDiv w:val="true"/>
      <w:marLeft w:val="0"/>
      <w:marRight w:val="0"/>
      <w:marTop w:val="0"/>
      <w:marBottom w:val="0"/>
      <w:divBdr>
        <w:top w:space="0" w:sz="0" w:color="auto" w:val="none"/>
        <w:left w:space="0" w:sz="0" w:color="auto" w:val="none"/>
        <w:bottom w:space="0" w:sz="0" w:color="auto" w:val="none"/>
        <w:right w:space="0" w:sz="0" w:color="auto" w:val="none"/>
      </w:divBdr>
    </w:div>
    <w:div w:id="1528906777">
      <w:bodyDiv w:val="true"/>
      <w:marLeft w:val="0"/>
      <w:marRight w:val="0"/>
      <w:marTop w:val="0"/>
      <w:marBottom w:val="0"/>
      <w:divBdr>
        <w:top w:space="0" w:sz="0" w:color="auto" w:val="none"/>
        <w:left w:space="0" w:sz="0" w:color="auto" w:val="none"/>
        <w:bottom w:space="0" w:sz="0" w:color="auto" w:val="none"/>
        <w:right w:space="0" w:sz="0" w:color="auto" w:val="none"/>
      </w:divBdr>
    </w:div>
    <w:div w:id="1579972501">
      <w:bodyDiv w:val="true"/>
      <w:marLeft w:val="0"/>
      <w:marRight w:val="0"/>
      <w:marTop w:val="0"/>
      <w:marBottom w:val="0"/>
      <w:divBdr>
        <w:top w:space="0" w:sz="0" w:color="auto" w:val="none"/>
        <w:left w:space="0" w:sz="0" w:color="auto" w:val="none"/>
        <w:bottom w:space="0" w:sz="0" w:color="auto" w:val="none"/>
        <w:right w:space="0" w:sz="0" w:color="auto" w:val="none"/>
      </w:divBdr>
    </w:div>
    <w:div w:id="1684361634">
      <w:bodyDiv w:val="true"/>
      <w:marLeft w:val="0"/>
      <w:marRight w:val="0"/>
      <w:marTop w:val="0"/>
      <w:marBottom w:val="0"/>
      <w:divBdr>
        <w:top w:space="0" w:sz="0" w:color="auto" w:val="none"/>
        <w:left w:space="0" w:sz="0" w:color="auto" w:val="none"/>
        <w:bottom w:space="0" w:sz="0" w:color="auto" w:val="none"/>
        <w:right w:space="0" w:sz="0" w:color="auto" w:val="none"/>
      </w:divBdr>
    </w:div>
    <w:div w:id="1782261352">
      <w:bodyDiv w:val="true"/>
      <w:marLeft w:val="0"/>
      <w:marRight w:val="0"/>
      <w:marTop w:val="0"/>
      <w:marBottom w:val="0"/>
      <w:divBdr>
        <w:top w:space="0" w:sz="0" w:color="auto" w:val="none"/>
        <w:left w:space="0" w:sz="0" w:color="auto" w:val="none"/>
        <w:bottom w:space="0" w:sz="0" w:color="auto" w:val="none"/>
        <w:right w:space="0" w:sz="0" w:color="auto" w:val="none"/>
      </w:divBdr>
    </w:div>
    <w:div w:id="1805005412">
      <w:bodyDiv w:val="true"/>
      <w:marLeft w:val="0"/>
      <w:marRight w:val="0"/>
      <w:marTop w:val="0"/>
      <w:marBottom w:val="0"/>
      <w:divBdr>
        <w:top w:space="0" w:sz="0" w:color="auto" w:val="none"/>
        <w:left w:space="0" w:sz="0" w:color="auto" w:val="none"/>
        <w:bottom w:space="0" w:sz="0" w:color="auto" w:val="none"/>
        <w:right w:space="0" w:sz="0" w:color="auto" w:val="none"/>
      </w:divBdr>
    </w:div>
    <w:div w:id="1845363288">
      <w:bodyDiv w:val="true"/>
      <w:marLeft w:val="0"/>
      <w:marRight w:val="0"/>
      <w:marTop w:val="0"/>
      <w:marBottom w:val="0"/>
      <w:divBdr>
        <w:top w:space="0" w:sz="0" w:color="auto" w:val="none"/>
        <w:left w:space="0" w:sz="0" w:color="auto" w:val="none"/>
        <w:bottom w:space="0" w:sz="0" w:color="auto" w:val="none"/>
        <w:right w:space="0" w:sz="0" w:color="auto" w:val="none"/>
      </w:divBdr>
    </w:div>
    <w:div w:id="1956060208">
      <w:bodyDiv w:val="true"/>
      <w:marLeft w:val="0"/>
      <w:marRight w:val="0"/>
      <w:marTop w:val="0"/>
      <w:marBottom w:val="0"/>
      <w:divBdr>
        <w:top w:space="0" w:sz="0" w:color="auto" w:val="none"/>
        <w:left w:space="0" w:sz="0" w:color="auto" w:val="none"/>
        <w:bottom w:space="0" w:sz="0" w:color="auto" w:val="none"/>
        <w:right w:space="0" w:sz="0" w:color="auto" w:val="none"/>
      </w:divBdr>
    </w:div>
    <w:div w:id="20329467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www.zakon.hr/cms.htm?id=198" TargetMode="External"/><Relationship Id="rId13" Type="http://schemas.openxmlformats.org/officeDocument/2006/relationships/hyperlink" Target="http://www.zakon.hr/cms.htm?id=203" TargetMode="External"/><Relationship Id="rId3" Type="http://schemas.openxmlformats.org/officeDocument/2006/relationships/styles" Target="styles.xml"/><Relationship Id="rId7" Type="http://schemas.openxmlformats.org/officeDocument/2006/relationships/hyperlink" Target="http://www.zakon.hr/cms.htm?id=197" TargetMode="External"/><Relationship Id="rId12" Type="http://schemas.openxmlformats.org/officeDocument/2006/relationships/hyperlink" Target="http://www.zakon.hr/cms.htm?id=20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on.hr/cms.htm?id=20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zakon.hr/cms.htm?id=200" TargetMode="External"/><Relationship Id="rId4" Type="http://schemas.microsoft.com/office/2007/relationships/stylesWithEffects" Target="stylesWithEffects.xml"/><Relationship Id="rId9" Type="http://schemas.openxmlformats.org/officeDocument/2006/relationships/hyperlink" Target="http://www.zakon.hr/cms.htm?id=199" TargetMode="External"/><Relationship Id="rId14" Type="http://schemas.openxmlformats.org/officeDocument/2006/relationships/hyperlink" Target="http://www.zakon.hr/cms.htm?id=204"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IBM Corporation</properties:Company>
  <properties:Pages>4</properties:Pages>
  <properties:Words>1359</properties:Words>
  <properties:Characters>8307</properties:Characters>
  <properties:Lines>194</properties:Lines>
  <properties:Paragraphs>66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2018-07-12T08:15:00Z</dcterms:created>
  <dc:creator>ADMINIBM</dc:creator>
  <cp:lastModifiedBy>Valentina Delač</cp:lastModifiedBy>
  <cp:lastPrinted>2018-07-06T07:14:00Z</cp:lastPrinted>
  <dcterms:modified xmlns:xsi="http://www.w3.org/2001/XMLSchema-instance" xsi:type="dcterms:W3CDTF">2018-07-12T08:15:00Z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St-918/2012-72 / Podnesak - Izvješće stečajnog upravitelja (ST_918_12_jadran_produkt_izvjesce_30062018.docx)</vt:lpwstr>
  </prop:property>
  <prop:property name="CC_coloring" pid="4" fmtid="{D5CDD505-2E9C-101B-9397-08002B2CF9AE}">
    <vt:bool>false</vt:bool>
  </prop:property>
  <prop:property name="BrojStranica" pid="5" fmtid="{D5CDD505-2E9C-101B-9397-08002B2CF9AE}">
    <vt:i4>4</vt:i4>
  </prop:property>
</prop:Properties>
</file>