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920e4" w14:paraId="e8920e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C1A8C" w:rsidP="006C1A8C" w:rsidR="006C1A8C" w:rsidRPr="006C1A8C">
      <w:pPr>
        <w:spacing w:after="0"/>
        <w:ind w:left="5664"/>
        <w:rPr>
          <w:rFonts w:cs="Arial" w:eastAsia="Times New Roman" w:hAnsi="Arial" w:ascii="Arial"/>
          <w:b/>
          <w:lang w:eastAsia="hr-HR"/>
        </w:rPr>
      </w:pPr>
      <w:r w:rsidRPr="006C1A8C">
        <w:rPr>
          <w:rFonts w:cs="Times New Roman" w:eastAsia="Calibri"/>
          <w:b/>
          <w:noProof/>
        </w:rPr>
        <w:t xml:space="preserve">     </w:t>
      </w:r>
      <w:r w:rsidRPr="006C1A8C">
        <w:rPr>
          <w:rFonts w:cs="Times New Roman" w:eastAsia="Times New Roman"/>
          <w:lang w:eastAsia="hr-HR"/>
        </w:rPr>
        <w:t>Poslovni broj 3. St-7/2010-310</w:t>
      </w:r>
    </w:p>
    <w:p w:rsidRDefault="006C1A8C" w:rsidP="006C1A8C" w:rsidR="006C1A8C" w:rsidRPr="006C1A8C">
      <w:pPr>
        <w:spacing w:after="0"/>
        <w:ind w:firstLine="708"/>
        <w:rPr>
          <w:rFonts w:cs="Arial" w:eastAsia="Times New Roman" w:hAnsi="Arial" w:ascii="Arial"/>
          <w:b/>
          <w:lang w:eastAsia="hr-HR"/>
        </w:rPr>
      </w:pPr>
      <w:bookmarkStart w:name="_GoBack" w:id="0"/>
      <w:bookmarkEnd w:id="0"/>
      <w:r w:rsidRPr="006C1A8C">
        <w:rPr>
          <w:rFonts w:cs="Times New Roman" w:eastAsia="Times New Roman"/>
          <w:lang w:eastAsia="hr-HR"/>
        </w:rPr>
        <w:t xml:space="preserve">REPUBLIKA HRVATSKA </w:t>
      </w:r>
      <w:r w:rsidRPr="006C1A8C">
        <w:rPr>
          <w:rFonts w:cs="Times New Roman" w:eastAsia="Times New Roman"/>
          <w:lang w:eastAsia="hr-HR"/>
        </w:rPr>
        <w:tab/>
      </w:r>
      <w:r w:rsidRPr="006C1A8C">
        <w:rPr>
          <w:rFonts w:cs="Times New Roman" w:eastAsia="Times New Roman"/>
          <w:lang w:eastAsia="hr-HR"/>
        </w:rPr>
        <w:tab/>
      </w:r>
      <w:r w:rsidRPr="006C1A8C">
        <w:rPr>
          <w:rFonts w:cs="Times New Roman" w:eastAsia="Times New Roman"/>
          <w:lang w:eastAsia="hr-HR"/>
        </w:rPr>
        <w:tab/>
      </w:r>
      <w:r w:rsidRPr="006C1A8C">
        <w:rPr>
          <w:rFonts w:cs="Times New Roman" w:eastAsia="Times New Roman"/>
          <w:lang w:eastAsia="hr-HR"/>
        </w:rPr>
        <w:tab/>
      </w:r>
      <w:r w:rsidRPr="006C1A8C">
        <w:rPr>
          <w:rFonts w:cs="Times New Roman" w:eastAsia="Times New Roman"/>
          <w:lang w:eastAsia="hr-HR"/>
        </w:rPr>
        <w:tab/>
      </w:r>
    </w:p>
    <w:p w:rsidRDefault="006C1A8C" w:rsidP="006C1A8C" w:rsidR="006C1A8C" w:rsidRPr="006C1A8C">
      <w:pPr>
        <w:spacing w:after="0"/>
        <w:ind w:firstLine="708"/>
        <w:rPr>
          <w:rFonts w:cs="Times New Roman" w:eastAsia="Times New Roman"/>
          <w:lang w:eastAsia="hr-HR"/>
        </w:rPr>
      </w:pPr>
      <w:r w:rsidRPr="006C1A8C">
        <w:rPr>
          <w:rFonts w:cs="Times New Roman" w:eastAsia="Times New Roman"/>
          <w:lang w:eastAsia="hr-HR"/>
        </w:rPr>
        <w:t>TRGOVAČKI SUD U ZADRU</w:t>
      </w:r>
    </w:p>
    <w:p w:rsidRDefault="006C1A8C" w:rsidP="006C1A8C" w:rsidR="006C1A8C" w:rsidRPr="006C1A8C">
      <w:pPr>
        <w:spacing w:after="0"/>
        <w:ind w:firstLine="708"/>
        <w:rPr>
          <w:rFonts w:cs="Times New Roman" w:eastAsia="Times New Roman"/>
          <w:lang w:eastAsia="hr-HR"/>
        </w:rPr>
      </w:pPr>
      <w:r w:rsidRPr="006C1A8C">
        <w:rPr>
          <w:rFonts w:cs="Times New Roman" w:eastAsia="Times New Roman"/>
          <w:lang w:eastAsia="hr-HR"/>
        </w:rPr>
        <w:t>Zadar, Dr. Franje Tuđmana 35</w:t>
      </w:r>
    </w:p>
    <w:p w:rsidRDefault="006C1A8C" w:rsidP="006C1A8C" w:rsidR="006C1A8C" w:rsidRPr="006C1A8C">
      <w:pPr>
        <w:spacing w:after="0"/>
        <w:rPr>
          <w:rFonts w:cs="Times New Roman" w:eastAsia="Times New Roman"/>
          <w:lang w:eastAsia="hr-HR"/>
        </w:rPr>
      </w:pPr>
      <w:r w:rsidRPr="006C1A8C">
        <w:rPr>
          <w:rFonts w:cs="Times New Roman" w:eastAsia="Times New Roman"/>
          <w:lang w:eastAsia="hr-HR"/>
        </w:rPr>
        <w:tab/>
      </w:r>
      <w:r w:rsidRPr="006C1A8C">
        <w:rPr>
          <w:rFonts w:cs="Times New Roman" w:eastAsia="Times New Roman"/>
          <w:lang w:eastAsia="hr-HR"/>
        </w:rPr>
        <w:tab/>
      </w:r>
    </w:p>
    <w:p w:rsidRDefault="006C1A8C" w:rsidP="006C1A8C" w:rsidR="006C1A8C" w:rsidRPr="006C1A8C">
      <w:pPr>
        <w:spacing w:after="0"/>
        <w:jc w:val="center"/>
        <w:rPr>
          <w:rFonts w:cs="Times New Roman" w:eastAsia="Times New Roman"/>
          <w:lang w:eastAsia="hr-HR"/>
        </w:rPr>
      </w:pPr>
      <w:r w:rsidRPr="006C1A8C">
        <w:rPr>
          <w:rFonts w:cs="Times New Roman" w:eastAsia="Times New Roman"/>
          <w:lang w:eastAsia="hr-HR"/>
        </w:rPr>
        <w:t xml:space="preserve">R E P U B L I K A  H R V A T S KA </w:t>
      </w:r>
    </w:p>
    <w:p w:rsidRDefault="006C1A8C" w:rsidP="006C1A8C" w:rsidR="006C1A8C" w:rsidRPr="006C1A8C">
      <w:pPr>
        <w:spacing w:after="0"/>
        <w:jc w:val="both"/>
        <w:rPr>
          <w:rFonts w:cs="Times New Roman" w:eastAsia="Times New Roman"/>
          <w:bCs/>
          <w:lang w:eastAsia="hr-HR"/>
        </w:rPr>
      </w:pPr>
    </w:p>
    <w:p w:rsidRDefault="006C1A8C" w:rsidP="006C1A8C" w:rsidR="006C1A8C" w:rsidRPr="006C1A8C">
      <w:pPr>
        <w:spacing w:after="0"/>
        <w:jc w:val="center"/>
        <w:rPr>
          <w:rFonts w:cs="Times New Roman" w:eastAsia="Times New Roman"/>
          <w:bCs/>
          <w:lang w:eastAsia="hr-HR"/>
        </w:rPr>
      </w:pPr>
      <w:r w:rsidRPr="006C1A8C">
        <w:rPr>
          <w:rFonts w:cs="Times New Roman" w:eastAsia="Times New Roman"/>
          <w:bCs/>
          <w:lang w:eastAsia="hr-HR"/>
        </w:rPr>
        <w:t xml:space="preserve">Z A K LJ U Č A K </w:t>
      </w:r>
    </w:p>
    <w:p w:rsidRDefault="006C1A8C" w:rsidP="006C1A8C" w:rsidR="006C1A8C" w:rsidRPr="006C1A8C">
      <w:pPr>
        <w:spacing w:after="0"/>
        <w:jc w:val="center"/>
        <w:rPr>
          <w:rFonts w:cs="Times New Roman" w:eastAsia="Times New Roman"/>
          <w:lang w:eastAsia="hr-HR"/>
        </w:rPr>
      </w:pPr>
    </w:p>
    <w:p w:rsidRDefault="006C1A8C" w:rsidP="006C1A8C" w:rsidR="006C1A8C" w:rsidRPr="006C1A8C">
      <w:pPr>
        <w:ind w:firstLine="705"/>
        <w:jc w:val="both"/>
        <w:rPr>
          <w:rFonts w:cs="Times New Roman" w:eastAsia="Calibri"/>
        </w:rPr>
      </w:pPr>
      <w:r w:rsidRPr="006C1A8C">
        <w:rPr>
          <w:rFonts w:cs="Times New Roman" w:eastAsia="Calibri"/>
        </w:rPr>
        <w:tab/>
        <w:t xml:space="preserve">Trgovački sud u Zadru, OIB: 39670464653, po sutkinji Tini Grgas, u stečajnom postupku nad stečajnim dužnikom HERES d.o.o. u stečaju sa sjedištem u Viru, Virski put 137, OIB: 21920680004, kojeg zastupa stečajna upraviteljica Marica Nekić iz Zadra, Put </w:t>
      </w:r>
      <w:proofErr w:type="spellStart"/>
      <w:r w:rsidRPr="006C1A8C">
        <w:rPr>
          <w:rFonts w:cs="Times New Roman" w:eastAsia="Calibri"/>
        </w:rPr>
        <w:t>Gazića</w:t>
      </w:r>
      <w:proofErr w:type="spellEnd"/>
      <w:r w:rsidRPr="006C1A8C">
        <w:rPr>
          <w:rFonts w:cs="Times New Roman" w:eastAsia="Calibri"/>
        </w:rPr>
        <w:t xml:space="preserve"> 14 A, odlučujući o prijedlogu stečajne upraviteljice od 4. srpnja 2017. za davanje suglasnosti za završnu diobu i određivanje završnog ročišta vjerovnika, postupajući sukladno odredbama čl. 192. i čl. 193. Stečajnog zakona (Narodne novine br. 44/96, 29/99, 129/00, 123/03 i 82/06, 116/10, 25/12 i 133/12), 11. srpnja 2017. </w:t>
      </w:r>
    </w:p>
    <w:p w:rsidRDefault="006C1A8C" w:rsidP="006C1A8C" w:rsidR="006C1A8C" w:rsidRPr="006C1A8C">
      <w:pPr>
        <w:spacing w:after="0"/>
        <w:jc w:val="center"/>
        <w:rPr>
          <w:rFonts w:cs="Times New Roman" w:eastAsia="Times New Roman"/>
          <w:lang w:eastAsia="hr-HR"/>
        </w:rPr>
      </w:pPr>
      <w:r w:rsidRPr="006C1A8C">
        <w:rPr>
          <w:rFonts w:cs="Times New Roman" w:eastAsia="Times New Roman"/>
          <w:lang w:eastAsia="hr-HR"/>
        </w:rPr>
        <w:t xml:space="preserve">z a k </w:t>
      </w:r>
      <w:proofErr w:type="spellStart"/>
      <w:r w:rsidRPr="006C1A8C">
        <w:rPr>
          <w:rFonts w:cs="Times New Roman" w:eastAsia="Times New Roman"/>
          <w:lang w:eastAsia="hr-HR"/>
        </w:rPr>
        <w:t>lj</w:t>
      </w:r>
      <w:proofErr w:type="spellEnd"/>
      <w:r w:rsidRPr="006C1A8C">
        <w:rPr>
          <w:rFonts w:cs="Times New Roman" w:eastAsia="Times New Roman"/>
          <w:lang w:eastAsia="hr-HR"/>
        </w:rPr>
        <w:t xml:space="preserve"> u č i o   j e</w:t>
      </w:r>
    </w:p>
    <w:p w:rsidRDefault="006C1A8C" w:rsidP="006C1A8C" w:rsidR="006C1A8C" w:rsidRPr="006C1A8C">
      <w:pPr>
        <w:tabs>
          <w:tab w:pos="1080" w:val="left"/>
        </w:tabs>
        <w:spacing w:after="0"/>
        <w:jc w:val="both"/>
        <w:rPr>
          <w:rFonts w:cs="Times New Roman" w:eastAsia="Times New Roman"/>
          <w:lang w:eastAsia="hr-HR"/>
        </w:rPr>
      </w:pPr>
      <w:r w:rsidRPr="006C1A8C">
        <w:rPr>
          <w:rFonts w:cs="Times New Roman" w:eastAsia="Times New Roman"/>
          <w:lang w:eastAsia="hr-HR"/>
        </w:rPr>
        <w:t xml:space="preserve">  </w:t>
      </w:r>
    </w:p>
    <w:p w:rsidRDefault="006C1A8C" w:rsidP="006C1A8C" w:rsidR="006C1A8C" w:rsidRPr="006C1A8C">
      <w:pPr>
        <w:tabs>
          <w:tab w:pos="709" w:val="left"/>
        </w:tabs>
        <w:spacing w:after="0"/>
        <w:jc w:val="both"/>
        <w:rPr>
          <w:rFonts w:cs="Times New Roman" w:eastAsia="Times New Roman"/>
          <w:lang w:eastAsia="hr-HR"/>
        </w:rPr>
      </w:pPr>
      <w:r w:rsidRPr="006C1A8C">
        <w:rPr>
          <w:rFonts w:cs="Times New Roman" w:eastAsia="Times New Roman"/>
          <w:lang w:eastAsia="hr-HR"/>
        </w:rPr>
        <w:tab/>
        <w:t xml:space="preserve">I. Daje se suglasnost stečajnoj upraviteljici uvodno označenog stečajnog dužnika za završnu diobu prema prijedlogu završne diobe i završnom popisu od 4. srpnja 2017. izloženima u stečajnoj pisarnici ovog suda 10. srpnja 2017. na uvid svim sudionicima stečajnoga postupka i objavljenima na mrežnoj stranici e-Oglasna ploča sudova 5. srpnja 2017.   </w:t>
      </w:r>
    </w:p>
    <w:p w:rsidRDefault="006C1A8C" w:rsidP="006C1A8C" w:rsidR="006C1A8C" w:rsidRPr="006C1A8C">
      <w:pPr>
        <w:tabs>
          <w:tab w:pos="709" w:val="left"/>
        </w:tabs>
        <w:spacing w:after="0"/>
        <w:jc w:val="both"/>
        <w:rPr>
          <w:rFonts w:cs="Times New Roman" w:eastAsia="Times New Roman"/>
          <w:lang w:eastAsia="hr-HR"/>
        </w:rPr>
      </w:pPr>
      <w:r w:rsidRPr="006C1A8C">
        <w:rPr>
          <w:rFonts w:cs="Times New Roman" w:eastAsia="Times New Roman"/>
          <w:lang w:eastAsia="hr-HR"/>
        </w:rPr>
        <w:tab/>
        <w:t xml:space="preserve">II. </w:t>
      </w:r>
      <w:r w:rsidRPr="006C1A8C">
        <w:rPr>
          <w:rFonts w:cs="Times New Roman" w:eastAsia="Times New Roman"/>
          <w:b/>
          <w:lang w:eastAsia="hr-HR"/>
        </w:rPr>
        <w:t>Završno ročište vjerovnika određuje se za dan</w:t>
      </w:r>
      <w:r w:rsidRPr="006C1A8C">
        <w:rPr>
          <w:rFonts w:cs="Times New Roman" w:eastAsia="Times New Roman"/>
          <w:lang w:eastAsia="hr-HR"/>
        </w:rPr>
        <w:t xml:space="preserve"> </w:t>
      </w:r>
      <w:r w:rsidRPr="006C1A8C">
        <w:rPr>
          <w:rFonts w:cs="Times New Roman" w:eastAsia="Times New Roman"/>
          <w:b/>
          <w:lang w:eastAsia="hr-HR"/>
        </w:rPr>
        <w:t xml:space="preserve">6. rujna 2017. u 10,30 sati </w:t>
      </w:r>
      <w:r w:rsidRPr="006C1A8C">
        <w:rPr>
          <w:rFonts w:cs="Times New Roman" w:eastAsia="Times New Roman"/>
          <w:lang w:eastAsia="hr-HR"/>
        </w:rPr>
        <w:t>u zgradi Trgovačkog suda u Zadru, Ul. Franje Tuđmana br. 35, sudnica broj 26/I.</w:t>
      </w:r>
    </w:p>
    <w:p w:rsidRDefault="006C1A8C" w:rsidP="006C1A8C" w:rsidR="006C1A8C" w:rsidRPr="006C1A8C">
      <w:pPr>
        <w:tabs>
          <w:tab w:pos="709" w:val="left"/>
        </w:tabs>
        <w:spacing w:after="0"/>
        <w:jc w:val="both"/>
        <w:rPr>
          <w:rFonts w:cs="Times New Roman" w:eastAsia="Times New Roman"/>
          <w:lang w:eastAsia="hr-HR"/>
        </w:rPr>
      </w:pPr>
      <w:r w:rsidRPr="006C1A8C">
        <w:rPr>
          <w:rFonts w:cs="Times New Roman" w:eastAsia="Times New Roman"/>
          <w:lang w:eastAsia="hr-HR"/>
        </w:rPr>
        <w:tab/>
        <w:t>III.</w:t>
      </w:r>
      <w:r w:rsidRPr="006C1A8C">
        <w:rPr>
          <w:rFonts w:cs="Times New Roman" w:eastAsia="Times New Roman"/>
          <w:b/>
          <w:lang w:eastAsia="hr-HR"/>
        </w:rPr>
        <w:t xml:space="preserve"> </w:t>
      </w:r>
      <w:r w:rsidRPr="006C1A8C">
        <w:rPr>
          <w:rFonts w:cs="Times New Roman" w:eastAsia="Times New Roman"/>
          <w:lang w:eastAsia="hr-HR"/>
        </w:rPr>
        <w:t>Na završnom ročištu vjerovnika će se raspravljati o:</w:t>
      </w:r>
    </w:p>
    <w:p w:rsidRDefault="006C1A8C" w:rsidP="006C1A8C" w:rsidR="006C1A8C" w:rsidRPr="006C1A8C">
      <w:pPr>
        <w:numPr>
          <w:ilvl w:val="0"/>
          <w:numId w:val="47"/>
        </w:numPr>
        <w:tabs>
          <w:tab w:pos="709" w:val="left"/>
        </w:tabs>
        <w:spacing w:after="0"/>
        <w:contextualSpacing/>
        <w:jc w:val="both"/>
        <w:rPr>
          <w:rFonts w:cs="Times New Roman" w:eastAsia="Times New Roman"/>
          <w:lang w:eastAsia="hr-HR"/>
        </w:rPr>
      </w:pPr>
      <w:r w:rsidRPr="006C1A8C">
        <w:rPr>
          <w:rFonts w:cs="Times New Roman" w:eastAsia="Times New Roman"/>
          <w:lang w:eastAsia="hr-HR"/>
        </w:rPr>
        <w:t xml:space="preserve">završnom računu stečajne upraviteljice, </w:t>
      </w:r>
    </w:p>
    <w:p w:rsidRDefault="006C1A8C" w:rsidP="006C1A8C" w:rsidR="006C1A8C" w:rsidRPr="006C1A8C">
      <w:pPr>
        <w:numPr>
          <w:ilvl w:val="0"/>
          <w:numId w:val="47"/>
        </w:numPr>
        <w:tabs>
          <w:tab w:pos="709" w:val="left"/>
        </w:tabs>
        <w:spacing w:after="0"/>
        <w:contextualSpacing/>
        <w:jc w:val="both"/>
        <w:rPr>
          <w:rFonts w:cs="Times New Roman" w:eastAsia="Times New Roman"/>
          <w:lang w:eastAsia="hr-HR"/>
        </w:rPr>
      </w:pPr>
      <w:r w:rsidRPr="006C1A8C">
        <w:rPr>
          <w:rFonts w:cs="Times New Roman" w:eastAsia="Times New Roman"/>
          <w:lang w:eastAsia="hr-HR"/>
        </w:rPr>
        <w:t>mogućim prigovorima na završni popis,</w:t>
      </w:r>
    </w:p>
    <w:p w:rsidRDefault="006C1A8C" w:rsidP="006C1A8C" w:rsidR="006C1A8C" w:rsidRPr="006C1A8C">
      <w:pPr>
        <w:numPr>
          <w:ilvl w:val="0"/>
          <w:numId w:val="47"/>
        </w:numPr>
        <w:tabs>
          <w:tab w:pos="709" w:val="left"/>
        </w:tabs>
        <w:spacing w:after="0"/>
        <w:contextualSpacing/>
        <w:jc w:val="both"/>
        <w:rPr>
          <w:rFonts w:cs="Times New Roman" w:eastAsia="Times New Roman"/>
          <w:lang w:eastAsia="hr-HR"/>
        </w:rPr>
      </w:pPr>
      <w:r w:rsidRPr="006C1A8C">
        <w:rPr>
          <w:rFonts w:cs="Times New Roman" w:eastAsia="Times New Roman"/>
          <w:lang w:eastAsia="hr-HR"/>
        </w:rPr>
        <w:t xml:space="preserve">neunovčenim i neunovčivim predmetima stečajne mase i  </w:t>
      </w:r>
    </w:p>
    <w:p w:rsidRDefault="006C1A8C" w:rsidP="006C1A8C" w:rsidR="006C1A8C" w:rsidRPr="006C1A8C">
      <w:pPr>
        <w:numPr>
          <w:ilvl w:val="0"/>
          <w:numId w:val="47"/>
        </w:numPr>
        <w:tabs>
          <w:tab w:pos="709" w:val="left"/>
        </w:tabs>
        <w:spacing w:after="0"/>
        <w:contextualSpacing/>
        <w:jc w:val="both"/>
        <w:rPr>
          <w:rFonts w:cs="Times New Roman" w:eastAsia="Calibri"/>
        </w:rPr>
      </w:pPr>
      <w:r w:rsidRPr="006C1A8C">
        <w:rPr>
          <w:rFonts w:cs="Times New Roman" w:eastAsia="Times New Roman"/>
          <w:lang w:eastAsia="hr-HR"/>
        </w:rPr>
        <w:t xml:space="preserve">upisu stečajne mase iza stečajnog dužnika u sudski registar radi nastavka unovčenja imovine stečajnog dužnika. </w:t>
      </w:r>
    </w:p>
    <w:p w:rsidRDefault="006C1A8C" w:rsidP="006C1A8C" w:rsidR="006C1A8C" w:rsidRPr="006C1A8C">
      <w:pPr>
        <w:tabs>
          <w:tab w:pos="709" w:val="left"/>
        </w:tabs>
        <w:spacing w:after="0"/>
        <w:jc w:val="both"/>
        <w:rPr>
          <w:rFonts w:cs="Times New Roman" w:eastAsia="Calibri"/>
        </w:rPr>
      </w:pPr>
      <w:r w:rsidRPr="006C1A8C">
        <w:rPr>
          <w:rFonts w:cs="Times New Roman" w:eastAsia="Calibri"/>
        </w:rPr>
        <w:tab/>
        <w:t xml:space="preserve">IV. Nalaže se stečajnoj upraviteljici uvodno označenog stečajnog dužnika podnijeti ovom sudu završni račun i pisano izvješće o završnom računu s prilozima najkasnije 15 dana prije završnog ročišta radi izlaganja istih u stečajnoj pisarnici ovog suda i radi objave na e-Oglasnoj ploči suda. Stečajna upraviteljica je u završnom računu dužna podnijeti izvješće o provedenom stečajnom postupku i njegovim troškovima, izvješće o unovčenoj stečajnoj masi i obavljenim isplatama vjerovnicima, o sporovima koji su vođeni u tijeku postupka i o sporovima koji su još uvijek u tijeku i njihovim izgledima, o neunovčenoj i neunovčivoj stečajnoj masi i o razlozima koji sprječavaju unovčenje te imovine, kao i o svim drugim okolnostima koje su bile značajne u tijeku stečajnoga postupka i koje su značajne za nastavak stečajnog postupka nad stečajnom masom iza stečajnog dužnika. </w:t>
      </w:r>
    </w:p>
    <w:p w:rsidRDefault="006C1A8C" w:rsidP="006C1A8C" w:rsidR="006C1A8C" w:rsidRPr="006C1A8C">
      <w:pPr>
        <w:tabs>
          <w:tab w:pos="709" w:val="left"/>
        </w:tabs>
        <w:spacing w:after="0"/>
        <w:jc w:val="both"/>
        <w:rPr>
          <w:rFonts w:cs="Times New Roman" w:eastAsia="Calibri"/>
        </w:rPr>
      </w:pPr>
      <w:r w:rsidRPr="006C1A8C">
        <w:rPr>
          <w:rFonts w:cs="Times New Roman" w:eastAsia="Calibri"/>
        </w:rPr>
        <w:tab/>
        <w:t xml:space="preserve">V. Završni račun će se prije ispitivanja od strane ovog suda, dostaviti odboru vjerovnika putem mrežne stranice e-Oglasna ploča sudova uz određivanje roka u kojem se treba izjasniti o završnom računu. </w:t>
      </w:r>
    </w:p>
    <w:p w:rsidRDefault="006C1A8C" w:rsidP="006C1A8C" w:rsidR="006C1A8C" w:rsidRPr="006C1A8C">
      <w:pPr>
        <w:tabs>
          <w:tab w:pos="709" w:val="left"/>
        </w:tabs>
        <w:spacing w:after="0"/>
        <w:jc w:val="both"/>
        <w:rPr>
          <w:rFonts w:cs="Times New Roman" w:eastAsia="Calibri"/>
        </w:rPr>
      </w:pPr>
      <w:r w:rsidRPr="006C1A8C">
        <w:rPr>
          <w:rFonts w:cs="Times New Roman" w:eastAsia="Calibri"/>
        </w:rPr>
        <w:lastRenderedPageBreak/>
        <w:tab/>
        <w:t xml:space="preserve">VI. Ispitani završni račun, zajedno s dokazima i izjašnjenjem odbora vjerovnika, ovaj sud će staviti na uvid vjerovnicima u stečajnu pisarnicu ovog suda najkasnije 8 dana prije održavanja završnog ročišta te putem e-Oglasne ploče suda. </w:t>
      </w:r>
    </w:p>
    <w:p w:rsidRDefault="006C1A8C" w:rsidP="006C1A8C" w:rsidR="006C1A8C" w:rsidRPr="006C1A8C">
      <w:pPr>
        <w:spacing w:after="0"/>
        <w:jc w:val="center"/>
        <w:rPr>
          <w:rFonts w:cs="Times New Roman" w:eastAsia="Times New Roman"/>
          <w:lang w:eastAsia="hr-HR"/>
        </w:rPr>
      </w:pPr>
      <w:r w:rsidRPr="006C1A8C">
        <w:rPr>
          <w:rFonts w:cs="Times New Roman" w:eastAsia="Times New Roman"/>
          <w:lang w:eastAsia="hr-HR"/>
        </w:rPr>
        <w:t>Obrazloženje</w:t>
      </w:r>
    </w:p>
    <w:p w:rsidRDefault="006C1A8C" w:rsidP="006C1A8C" w:rsidR="006C1A8C" w:rsidRPr="006C1A8C">
      <w:pPr>
        <w:spacing w:after="0"/>
        <w:jc w:val="center"/>
        <w:rPr>
          <w:rFonts w:cs="Times New Roman" w:eastAsia="Times New Roman"/>
          <w:lang w:eastAsia="hr-HR"/>
        </w:rPr>
      </w:pPr>
    </w:p>
    <w:p w:rsidRDefault="006C1A8C" w:rsidP="006C1A8C" w:rsidR="006C1A8C" w:rsidRPr="006C1A8C">
      <w:pPr>
        <w:spacing w:after="0"/>
        <w:jc w:val="both"/>
        <w:rPr>
          <w:rFonts w:cs="Times New Roman" w:eastAsia="Times New Roman"/>
          <w:lang w:eastAsia="hr-HR"/>
        </w:rPr>
      </w:pPr>
      <w:r w:rsidRPr="006C1A8C">
        <w:rPr>
          <w:rFonts w:cs="Times New Roman" w:eastAsia="Times New Roman"/>
          <w:lang w:eastAsia="hr-HR"/>
        </w:rPr>
        <w:tab/>
        <w:t xml:space="preserve">Rješenjem ovog suda poslovni broj gornji od 9. kolovoza 2010. otvoren je stečajni postupak nad uvodno označenim stečajnim dužnikom. </w:t>
      </w:r>
    </w:p>
    <w:p w:rsidRDefault="006C1A8C" w:rsidP="006C1A8C" w:rsidR="006C1A8C" w:rsidRPr="006C1A8C">
      <w:pPr>
        <w:spacing w:after="0"/>
        <w:ind w:firstLine="708"/>
        <w:jc w:val="both"/>
        <w:rPr>
          <w:rFonts w:cs="Times New Roman" w:eastAsia="Calibri"/>
        </w:rPr>
      </w:pPr>
      <w:r w:rsidRPr="006C1A8C">
        <w:rPr>
          <w:rFonts w:cs="Times New Roman" w:eastAsia="Times New Roman"/>
          <w:lang w:eastAsia="hr-HR"/>
        </w:rPr>
        <w:t xml:space="preserve">Stečajna upraviteljica dužnika je 4. srpnja 2017. dostavila ovom sudu </w:t>
      </w:r>
      <w:r w:rsidRPr="006C1A8C">
        <w:rPr>
          <w:rFonts w:cs="Times New Roman" w:eastAsia="Calibri"/>
        </w:rPr>
        <w:t xml:space="preserve">prijedlog za davanje suglasnosti za završnu diobu i za određivanje završnog ročišta vjerovnika uz prijedlog završne diobe i završni popis </w:t>
      </w:r>
      <w:r w:rsidRPr="006C1A8C">
        <w:rPr>
          <w:rFonts w:cs="Times New Roman" w:eastAsia="Times New Roman"/>
          <w:lang w:eastAsia="hr-HR"/>
        </w:rPr>
        <w:t>sukladno odredbama čl. 192. do 196.  Stečajnog zakona (Narodne novine br. 44/96, 29/99, 129/00, 123/03 i 82/06, 116/10, 25/12 i 133/12, dalje: SZ).</w:t>
      </w:r>
    </w:p>
    <w:p w:rsidRDefault="006C1A8C" w:rsidP="006C1A8C" w:rsidR="006C1A8C" w:rsidRPr="006C1A8C">
      <w:pPr>
        <w:spacing w:after="0"/>
        <w:ind w:firstLine="708"/>
        <w:jc w:val="both"/>
        <w:rPr>
          <w:rFonts w:cs="Times New Roman" w:eastAsia="Times New Roman"/>
          <w:lang w:eastAsia="hr-HR"/>
        </w:rPr>
      </w:pPr>
      <w:r w:rsidRPr="006C1A8C">
        <w:rPr>
          <w:rFonts w:cs="Times New Roman" w:eastAsia="Times New Roman"/>
          <w:lang w:eastAsia="hr-HR"/>
        </w:rPr>
        <w:t>S obzirom da su u konkretnom slučaju ispunjene zakonske pretpostavke iz čl. 192. i 193. SZ-a, to je odlučeno kao u izreci zaključka.</w:t>
      </w:r>
    </w:p>
    <w:p w:rsidRDefault="006C1A8C" w:rsidP="006C1A8C" w:rsidR="006C1A8C" w:rsidRPr="006C1A8C">
      <w:pPr>
        <w:spacing w:after="0"/>
        <w:ind w:firstLine="708"/>
        <w:jc w:val="both"/>
        <w:rPr>
          <w:rFonts w:cs="Times New Roman" w:eastAsia="Times New Roman"/>
          <w:lang w:eastAsia="hr-HR"/>
        </w:rPr>
      </w:pPr>
    </w:p>
    <w:p w:rsidRDefault="006C1A8C" w:rsidP="006C1A8C" w:rsidR="006C1A8C" w:rsidRPr="006C1A8C">
      <w:pPr>
        <w:spacing w:after="0"/>
        <w:rPr>
          <w:rFonts w:cs="Times New Roman" w:eastAsia="Times New Roman"/>
          <w:lang w:eastAsia="hr-HR"/>
        </w:rPr>
      </w:pPr>
    </w:p>
    <w:p w:rsidRDefault="006C1A8C" w:rsidP="006C1A8C" w:rsidR="006C1A8C" w:rsidRPr="006C1A8C">
      <w:pPr>
        <w:spacing w:after="0"/>
        <w:jc w:val="center"/>
        <w:rPr>
          <w:rFonts w:cs="Times New Roman" w:eastAsia="Times New Roman"/>
          <w:lang w:eastAsia="hr-HR"/>
        </w:rPr>
      </w:pPr>
      <w:r w:rsidRPr="006C1A8C">
        <w:rPr>
          <w:rFonts w:cs="Times New Roman" w:eastAsia="Times New Roman"/>
          <w:lang w:eastAsia="hr-HR"/>
        </w:rPr>
        <w:t xml:space="preserve">U Zadru 11. srpnja 2017. </w:t>
      </w:r>
    </w:p>
    <w:p w:rsidRDefault="006C1A8C" w:rsidP="006C1A8C" w:rsidR="006C1A8C" w:rsidRPr="006C1A8C">
      <w:pPr>
        <w:spacing w:after="0"/>
        <w:jc w:val="center"/>
        <w:rPr>
          <w:rFonts w:cs="Times New Roman" w:eastAsia="Times New Roman"/>
          <w:lang w:eastAsia="hr-HR"/>
        </w:rPr>
      </w:pPr>
    </w:p>
    <w:p w:rsidRDefault="006C1A8C" w:rsidP="006C1A8C" w:rsidR="006C1A8C" w:rsidRPr="006C1A8C">
      <w:pPr>
        <w:spacing w:after="0"/>
        <w:jc w:val="right"/>
        <w:rPr>
          <w:rFonts w:cs="Times New Roman" w:eastAsia="Times New Roman"/>
          <w:lang w:eastAsia="hr-HR"/>
        </w:rPr>
      </w:pPr>
      <w:r w:rsidRPr="006C1A8C">
        <w:rPr>
          <w:rFonts w:cs="Times New Roman" w:eastAsia="Times New Roman"/>
          <w:lang w:eastAsia="hr-HR"/>
        </w:rPr>
        <w:t xml:space="preserve">                             </w:t>
      </w:r>
    </w:p>
    <w:p w:rsidRDefault="006C1A8C" w:rsidP="006C1A8C" w:rsidR="006C1A8C" w:rsidRPr="006C1A8C">
      <w:pPr>
        <w:spacing w:after="0"/>
        <w:jc w:val="right"/>
        <w:rPr>
          <w:rFonts w:cs="Times New Roman" w:eastAsia="Times New Roman"/>
          <w:lang w:eastAsia="hr-HR"/>
        </w:rPr>
      </w:pPr>
      <w:r w:rsidRPr="006C1A8C">
        <w:rPr>
          <w:rFonts w:cs="Times New Roman" w:eastAsia="Times New Roman"/>
          <w:lang w:eastAsia="hr-HR"/>
        </w:rPr>
        <w:t xml:space="preserve">                                                  Sutkinja</w:t>
      </w:r>
    </w:p>
    <w:p w:rsidRDefault="006C1A8C" w:rsidP="006C1A8C" w:rsidR="006C1A8C" w:rsidRPr="006C1A8C">
      <w:pPr>
        <w:spacing w:after="0"/>
        <w:jc w:val="right"/>
        <w:rPr>
          <w:rFonts w:cs="Times New Roman" w:eastAsia="Times New Roman"/>
          <w:lang w:eastAsia="hr-HR"/>
        </w:rPr>
      </w:pPr>
      <w:r w:rsidRPr="006C1A8C">
        <w:rPr>
          <w:rFonts w:cs="Times New Roman" w:eastAsia="Times New Roman"/>
          <w:lang w:eastAsia="hr-HR"/>
        </w:rPr>
        <w:t xml:space="preserve">                                                                                         Tina Grgas</w:t>
      </w:r>
    </w:p>
    <w:p w:rsidRDefault="006C1A8C" w:rsidP="006C1A8C" w:rsidR="006C1A8C" w:rsidRPr="006C1A8C">
      <w:pPr>
        <w:spacing w:after="0"/>
        <w:ind w:firstLine="708"/>
        <w:rPr>
          <w:rFonts w:cs="Times New Roman" w:eastAsia="Times New Roman"/>
          <w:lang w:eastAsia="hr-HR"/>
        </w:rPr>
      </w:pPr>
    </w:p>
    <w:p w:rsidRDefault="006C1A8C" w:rsidP="006C1A8C" w:rsidR="006C1A8C" w:rsidRPr="006C1A8C">
      <w:pPr>
        <w:spacing w:after="0"/>
        <w:ind w:firstLine="708"/>
        <w:rPr>
          <w:rFonts w:cs="Times New Roman" w:eastAsia="Times New Roman"/>
          <w:lang w:eastAsia="hr-HR"/>
        </w:rPr>
      </w:pPr>
      <w:r w:rsidRPr="006C1A8C">
        <w:rPr>
          <w:rFonts w:cs="Times New Roman" w:eastAsia="Times New Roman"/>
          <w:lang w:eastAsia="hr-HR"/>
        </w:rPr>
        <w:t xml:space="preserve">UPUTA O PRAVNOM LIJEKU: </w:t>
      </w:r>
    </w:p>
    <w:p w:rsidRDefault="006C1A8C" w:rsidP="006C1A8C" w:rsidR="006C1A8C" w:rsidRPr="006C1A8C">
      <w:pPr>
        <w:spacing w:after="0"/>
        <w:ind w:firstLine="708"/>
        <w:jc w:val="both"/>
        <w:rPr>
          <w:rFonts w:cs="Times New Roman" w:eastAsia="Times New Roman"/>
          <w:lang w:eastAsia="hr-HR"/>
        </w:rPr>
      </w:pPr>
      <w:r w:rsidRPr="006C1A8C">
        <w:rPr>
          <w:rFonts w:cs="Times New Roman" w:eastAsia="Times New Roman"/>
          <w:lang w:eastAsia="hr-HR"/>
        </w:rPr>
        <w:t xml:space="preserve">Protiv ovog zaključka o upravljanju postupkom nije dopuštena žalba. </w:t>
      </w:r>
    </w:p>
    <w:p w:rsidRDefault="006C1A8C" w:rsidP="006C1A8C" w:rsidR="006C1A8C" w:rsidRPr="006C1A8C">
      <w:pPr>
        <w:spacing w:after="0"/>
        <w:ind w:firstLine="708"/>
        <w:jc w:val="both"/>
        <w:rPr>
          <w:rFonts w:cs="Times New Roman" w:eastAsia="Times New Roman"/>
          <w:lang w:eastAsia="hr-HR"/>
        </w:rPr>
      </w:pPr>
    </w:p>
    <w:p w:rsidRDefault="006C1A8C" w:rsidP="006C1A8C" w:rsidR="006C1A8C" w:rsidRPr="006C1A8C">
      <w:pPr>
        <w:spacing w:after="0"/>
        <w:ind w:firstLine="708"/>
        <w:rPr>
          <w:rFonts w:cs="Times New Roman" w:eastAsia="Times New Roman"/>
          <w:lang w:eastAsia="hr-HR"/>
        </w:rPr>
      </w:pPr>
    </w:p>
    <w:p w:rsidRDefault="006C1A8C" w:rsidP="006C1A8C" w:rsidR="006C1A8C" w:rsidRPr="006C1A8C">
      <w:pPr>
        <w:spacing w:after="0"/>
        <w:ind w:firstLine="708"/>
        <w:rPr>
          <w:rFonts w:cs="Times New Roman" w:eastAsia="Times New Roman"/>
          <w:lang w:eastAsia="hr-HR"/>
        </w:rPr>
      </w:pPr>
      <w:r w:rsidRPr="006C1A8C">
        <w:rPr>
          <w:rFonts w:cs="Times New Roman" w:eastAsia="Times New Roman"/>
          <w:lang w:eastAsia="hr-HR"/>
        </w:rPr>
        <w:t xml:space="preserve">Dostaviti: </w:t>
      </w:r>
    </w:p>
    <w:p w:rsidRDefault="006C1A8C" w:rsidP="006C1A8C" w:rsidR="006C1A8C" w:rsidRPr="006C1A8C">
      <w:pPr>
        <w:spacing w:after="0"/>
        <w:ind w:left="360"/>
        <w:rPr>
          <w:rFonts w:cs="Times New Roman" w:eastAsia="Times New Roman"/>
          <w:lang w:eastAsia="hr-HR"/>
        </w:rPr>
      </w:pPr>
      <w:r w:rsidRPr="006C1A8C">
        <w:rPr>
          <w:rFonts w:cs="Times New Roman" w:eastAsia="Times New Roman"/>
          <w:lang w:eastAsia="hr-HR"/>
        </w:rPr>
        <w:tab/>
        <w:t>e-Oglasna ploča suda</w:t>
      </w:r>
    </w:p>
    <w:p w:rsidRDefault="006C1A8C" w:rsidP="006C1A8C" w:rsidR="006C1A8C" w:rsidRPr="006C1A8C">
      <w:pPr>
        <w:spacing w:after="0"/>
        <w:rPr>
          <w:rFonts w:cs="Times New Roman" w:eastAsia="Times New Roman"/>
          <w:lang w:eastAsia="hr-HR"/>
        </w:rPr>
      </w:pPr>
    </w:p>
    <w:p w:rsidRDefault="006C1A8C" w:rsidP="006C1A8C" w:rsidR="006C1A8C" w:rsidRPr="006C1A8C">
      <w:pPr>
        <w:spacing w:after="0"/>
        <w:rPr>
          <w:rFonts w:cs="Times New Roman" w:eastAsia="Times New Roman"/>
          <w:lang w:eastAsia="hr-HR"/>
        </w:rPr>
      </w:pPr>
    </w:p>
    <w:p w:rsidRDefault="006C1A8C" w:rsidP="006C1A8C" w:rsidR="006C1A8C" w:rsidRPr="006C1A8C">
      <w:pPr>
        <w:spacing w:after="0"/>
        <w:rPr>
          <w:rFonts w:cs="Times New Roman" w:eastAsia="Times New Roman"/>
          <w:lang w:eastAsia="hr-HR"/>
        </w:rPr>
      </w:pPr>
    </w:p>
    <w:p w:rsidRDefault="006C1A8C" w:rsidP="006C1A8C" w:rsidR="006C1A8C" w:rsidRPr="006C1A8C">
      <w:pPr>
        <w:tabs>
          <w:tab w:pos="7088" w:val="left"/>
        </w:tabs>
        <w:spacing w:after="0"/>
        <w:contextualSpacing/>
        <w:rPr>
          <w:rFonts w:cs="Times New Roman" w:eastAsia="Times New Roman"/>
          <w:noProof/>
          <w:lang w:eastAsia="hr-HR"/>
        </w:rPr>
      </w:pPr>
      <w:r w:rsidRPr="006C1A8C">
        <w:rPr>
          <w:rFonts w:cs="Times New Roman" w:eastAsia="Times New Roman"/>
          <w:noProof/>
          <w:lang w:eastAsia="hr-HR"/>
        </w:rPr>
        <w:tab/>
      </w:r>
    </w:p>
    <w:p w:rsidRDefault="006C1A8C" w:rsidP="006C1A8C" w:rsidR="006C1A8C" w:rsidRPr="006C1A8C">
      <w:pPr>
        <w:keepNext/>
        <w:spacing w:after="480" w:before="480"/>
        <w:jc w:val="center"/>
        <w:rPr>
          <w:rFonts w:cs="Times New Roman" w:eastAsia="Calibri"/>
          <w:b/>
          <w:caps/>
          <w:spacing w:val="100"/>
          <w:lang w:val="en-US"/>
        </w:rPr>
      </w:pPr>
    </w:p>
    <w:p w:rsidRDefault="006C1A8C" w:rsidP="006C1A8C" w:rsidR="006C1A8C" w:rsidRPr="006C1A8C">
      <w:pPr>
        <w:spacing w:before="480"/>
        <w:jc w:val="both"/>
        <w:rPr>
          <w:rFonts w:cs="Times New Roman" w:eastAsia="Times New Roman"/>
          <w:noProof/>
          <w:lang w:eastAsia="hr-HR" w:val="en-US"/>
        </w:rPr>
      </w:pPr>
    </w:p>
    <w:p w:rsidRDefault="006C1A8C" w:rsidP="006C1A8C" w:rsidR="006C1A8C" w:rsidRPr="006C1A8C">
      <w:pPr>
        <w:ind w:firstLine="567"/>
        <w:jc w:val="both"/>
        <w:rPr>
          <w:rFonts w:cs="Times New Roman" w:eastAsia="Times New Roman"/>
          <w:noProof/>
          <w:lang w:eastAsia="hr-HR" w:val="en-US"/>
        </w:rPr>
      </w:pPr>
    </w:p>
    <w:p w:rsidRDefault="006C1A8C" w:rsidP="006C1A8C" w:rsidR="006C1A8C" w:rsidRPr="006C1A8C">
      <w:pPr>
        <w:spacing w:after="120" w:before="360"/>
        <w:ind w:left="5387"/>
        <w:rPr>
          <w:rFonts w:cs="Times New Roman" w:eastAsia="Calibri"/>
          <w:noProof/>
        </w:rPr>
      </w:pPr>
    </w:p>
    <w:p w:rsidRDefault="006C1A8C" w:rsidP="006C1A8C" w:rsidR="006C1A8C" w:rsidRPr="006C1A8C">
      <w:pPr>
        <w:rPr>
          <w:rFonts w:cs="Times New Roman" w:eastAsia="Calibri"/>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1A109F"/>
    <w:multiLevelType w:val="hybridMultilevel"/>
    <w:tmpl w:val="1654D93C"/>
    <w:lvl w:tplc="01A42DE6"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1A8C"/>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07122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St-7/2010-339</izvorni_sadrzaj>
    <derivirana_varijabla naziv="DomainObject.Oznaka_1">St-7/2010-339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St-7/2010-339</izvorni_sadrzaj>
    <derivirana_varijabla naziv="DomainObject.PoslovniBrojDokumenta_1">St-7/2010-339</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AED0E1-50B2-4053-A1C0-32D0A93F76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575</properties:Words>
  <properties:Characters>3100</properties:Characters>
  <properties:Lines>83</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2017-07-11T08:24:00Z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St-7/2010-339 / Odluka - Rješenje - određivanje završnog ročišta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