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7e2a" w14:paraId="a567e2a" w:rsidRDefault="00585A5E" w:rsidP="00585A5E" w:rsidR="00DB75B7">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585A5E" w:rsidP="00585A5E" w:rsidR="00585A5E">
      <w:pPr>
        <w:rPr>
          <w:rFonts w:hAnsi="Times New Roman" w:ascii="Times New Roman"/>
          <w:szCs w:val="24"/>
        </w:rPr>
      </w:pPr>
      <w:r>
        <w:rPr>
          <w:rFonts w:hAnsi="Times New Roman" w:ascii="Times New Roman"/>
          <w:szCs w:val="24"/>
        </w:rPr>
        <w:t xml:space="preserve">           Republika Hrvatska</w:t>
      </w:r>
    </w:p>
    <w:p w:rsidRDefault="00585A5E" w:rsidP="00585A5E" w:rsidR="00585A5E">
      <w:pPr>
        <w:rPr>
          <w:rFonts w:hAnsi="Times New Roman" w:ascii="Times New Roman"/>
          <w:szCs w:val="24"/>
        </w:rPr>
      </w:pPr>
      <w:r>
        <w:rPr>
          <w:rFonts w:hAnsi="Times New Roman" w:ascii="Times New Roman"/>
          <w:szCs w:val="24"/>
        </w:rPr>
        <w:t xml:space="preserve">TRGOVAČKI SUD U ZAGREBU                                      </w:t>
      </w:r>
      <w:r>
        <w:rPr>
          <w:rFonts w:hAnsi="Times New Roman" w:ascii="Times New Roman"/>
          <w:szCs w:val="24"/>
        </w:rPr>
        <w:tab/>
      </w:r>
      <w:r>
        <w:rPr>
          <w:rFonts w:hAnsi="Times New Roman" w:ascii="Times New Roman"/>
          <w:szCs w:val="24"/>
        </w:rPr>
        <w:tab/>
      </w:r>
    </w:p>
    <w:p w:rsidRDefault="00585A5E" w:rsidP="00585A5E" w:rsidR="00585A5E">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w:t>
      </w:r>
      <w:r>
        <w:rPr>
          <w:rFonts w:hAnsi="Times New Roman" w:ascii="Times New Roman"/>
          <w:szCs w:val="24"/>
        </w:rPr>
        <w:tab/>
      </w:r>
      <w:r>
        <w:rPr>
          <w:rFonts w:hAnsi="Times New Roman" w:ascii="Times New Roman"/>
          <w:szCs w:val="24"/>
        </w:rPr>
        <w:tab/>
        <w:t xml:space="preserve">                           </w:t>
      </w:r>
    </w:p>
    <w:p w:rsidRDefault="00585A5E" w:rsidP="00585A5E" w:rsidR="00585A5E">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20.St-</w:t>
      </w:r>
      <w:r w:rsidR="00437EAB">
        <w:rPr>
          <w:rFonts w:hAnsi="Times New Roman" w:ascii="Times New Roman"/>
          <w:szCs w:val="24"/>
        </w:rPr>
        <w:t>734/12</w:t>
      </w:r>
      <w:r w:rsidR="00561489">
        <w:rPr>
          <w:rFonts w:hAnsi="Times New Roman" w:ascii="Times New Roman"/>
          <w:szCs w:val="24"/>
        </w:rPr>
        <w:t>-238</w:t>
      </w:r>
    </w:p>
    <w:p w:rsidRDefault="00585A5E" w:rsidP="00585A5E" w:rsidR="00585A5E">
      <w:pPr>
        <w:jc w:val="right"/>
        <w:rPr>
          <w:rFonts w:hAnsi="Times New Roman" w:ascii="Times New Roman"/>
          <w:szCs w:val="24"/>
        </w:rPr>
      </w:pPr>
    </w:p>
    <w:p w:rsidRDefault="00585A5E" w:rsidP="00585A5E" w:rsidR="00585A5E">
      <w:pPr>
        <w:jc w:val="center"/>
        <w:rPr>
          <w:rFonts w:hAnsi="Times New Roman" w:ascii="Times New Roman"/>
          <w:szCs w:val="24"/>
        </w:rPr>
      </w:pPr>
      <w:r>
        <w:rPr>
          <w:rFonts w:hAnsi="Times New Roman" w:ascii="Times New Roman"/>
          <w:szCs w:val="24"/>
        </w:rPr>
        <w:t xml:space="preserve">R E P U B L I K A    H R V A T S K A </w:t>
      </w:r>
    </w:p>
    <w:p w:rsidRDefault="00585A5E" w:rsidP="00585A5E" w:rsidR="00585A5E">
      <w:pPr>
        <w:jc w:val="center"/>
        <w:rPr>
          <w:rFonts w:hAnsi="Times New Roman" w:ascii="Times New Roman"/>
          <w:szCs w:val="24"/>
        </w:rPr>
      </w:pPr>
      <w:r>
        <w:rPr>
          <w:rFonts w:hAnsi="Times New Roman" w:ascii="Times New Roman"/>
          <w:szCs w:val="24"/>
        </w:rPr>
        <w:t xml:space="preserve">      </w:t>
      </w:r>
    </w:p>
    <w:p w:rsidRDefault="00585A5E" w:rsidP="00585A5E" w:rsidR="00585A5E">
      <w:pPr>
        <w:jc w:val="center"/>
        <w:rPr>
          <w:rFonts w:hAnsi="Times New Roman" w:ascii="Times New Roman"/>
          <w:szCs w:val="24"/>
        </w:rPr>
      </w:pPr>
      <w:r>
        <w:rPr>
          <w:rFonts w:hAnsi="Times New Roman" w:ascii="Times New Roman"/>
          <w:szCs w:val="24"/>
        </w:rPr>
        <w:t>R J E Š E N J E</w:t>
      </w:r>
    </w:p>
    <w:p w:rsidRDefault="008630B4" w:rsidP="00585A5E" w:rsidR="008630B4">
      <w:pPr>
        <w:jc w:val="center"/>
        <w:rPr>
          <w:rFonts w:hAnsi="Times New Roman" w:ascii="Times New Roman"/>
          <w:szCs w:val="24"/>
        </w:rPr>
      </w:pPr>
    </w:p>
    <w:p w:rsidRDefault="00CF26DA" w:rsidP="008630B4" w:rsidR="00CF26DA">
      <w:pPr>
        <w:ind w:firstLine="708"/>
        <w:jc w:val="both"/>
        <w:rPr>
          <w:rFonts w:hAnsi="Times New Roman" w:ascii="Times New Roman"/>
          <w:bCs/>
        </w:rPr>
      </w:pP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xml:space="preserve">, </w:t>
      </w:r>
      <w:r w:rsidR="00EB6674">
        <w:rPr>
          <w:rFonts w:hAnsi="Times New Roman" w:ascii="Times New Roman"/>
          <w:color w:val="000000"/>
          <w:szCs w:val="24"/>
        </w:rPr>
        <w:t xml:space="preserve">u stečajnom postupku nad stečajnim dužnikom </w:t>
      </w:r>
      <w:r w:rsidR="00437EAB">
        <w:rPr>
          <w:rFonts w:hAnsi="Times New Roman" w:ascii="Times New Roman"/>
          <w:szCs w:val="24"/>
        </w:rPr>
        <w:t>SAMOBOR BENZ d.o.</w:t>
      </w:r>
      <w:r w:rsidR="00437EAB" w:rsidRPr="00866DEA">
        <w:rPr>
          <w:rFonts w:hAnsi="Times New Roman" w:ascii="Times New Roman"/>
          <w:szCs w:val="24"/>
        </w:rPr>
        <w:t>o. u stečaju, Samobor, Mir</w:t>
      </w:r>
      <w:r w:rsidR="00437EAB">
        <w:rPr>
          <w:rFonts w:hAnsi="Times New Roman" w:ascii="Times New Roman"/>
          <w:szCs w:val="24"/>
        </w:rPr>
        <w:t>ka Bogovića 20, OIB 23833525806</w:t>
      </w:r>
      <w:r w:rsidR="00EB6674">
        <w:rPr>
          <w:rFonts w:hAnsi="Times New Roman" w:ascii="Times New Roman"/>
        </w:rPr>
        <w:t>,</w:t>
      </w:r>
      <w:r w:rsidR="00AB66B9">
        <w:rPr>
          <w:rFonts w:hAnsi="Times New Roman" w:ascii="Times New Roman"/>
        </w:rPr>
        <w:t xml:space="preserve"> dana </w:t>
      </w:r>
      <w:r w:rsidR="00AB66B9" w:rsidRPr="00561489">
        <w:rPr>
          <w:rFonts w:hAnsi="Times New Roman" w:ascii="Times New Roman"/>
        </w:rPr>
        <w:t>18</w:t>
      </w:r>
      <w:r w:rsidRPr="00561489">
        <w:rPr>
          <w:rFonts w:hAnsi="Times New Roman" w:ascii="Times New Roman"/>
        </w:rPr>
        <w:t xml:space="preserve">. </w:t>
      </w:r>
      <w:r w:rsidR="0011369F" w:rsidRPr="00561489">
        <w:rPr>
          <w:rFonts w:hAnsi="Times New Roman" w:ascii="Times New Roman"/>
        </w:rPr>
        <w:t>ožujka</w:t>
      </w:r>
      <w:r w:rsidR="00437EAB" w:rsidRPr="00561489">
        <w:rPr>
          <w:rFonts w:hAnsi="Times New Roman" w:ascii="Times New Roman"/>
        </w:rPr>
        <w:t xml:space="preserve">  </w:t>
      </w:r>
      <w:r w:rsidR="00437EAB">
        <w:rPr>
          <w:rFonts w:hAnsi="Times New Roman" w:ascii="Times New Roman"/>
        </w:rPr>
        <w:t>2019</w:t>
      </w:r>
      <w:r>
        <w:rPr>
          <w:rFonts w:hAnsi="Times New Roman" w:ascii="Times New Roman"/>
        </w:rPr>
        <w:t>.</w:t>
      </w:r>
    </w:p>
    <w:p w:rsidRDefault="00585A5E" w:rsidP="00585A5E" w:rsidR="00585A5E">
      <w:pPr>
        <w:pStyle w:val="Tijeloteksta2"/>
        <w:rPr>
          <w:rFonts w:cs="Times New Roman" w:hAnsi="Times New Roman" w:ascii="Times New Roman"/>
          <w:sz w:val="24"/>
          <w:szCs w:val="24"/>
        </w:rPr>
      </w:pPr>
    </w:p>
    <w:p w:rsidRDefault="00585A5E" w:rsidP="00585A5E" w:rsidR="00585A5E">
      <w:pPr>
        <w:pStyle w:val="Tijeloteksta2"/>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5A5E" w:rsidP="00585A5E" w:rsidR="00585A5E">
      <w:pPr>
        <w:jc w:val="center"/>
        <w:rPr>
          <w:rFonts w:hAnsi="Times New Roman" w:ascii="Times New Roman"/>
          <w:szCs w:val="24"/>
        </w:rPr>
      </w:pPr>
    </w:p>
    <w:p w:rsidRDefault="0011369F" w:rsidP="00FB04A0" w:rsidR="0011369F">
      <w:pPr>
        <w:pStyle w:val="Tijeloteksta"/>
        <w:numPr>
          <w:ilvl w:val="0"/>
          <w:numId w:val="4"/>
        </w:numPr>
        <w:rPr>
          <w:szCs w:val="24"/>
        </w:rPr>
      </w:pPr>
      <w:r>
        <w:rPr>
          <w:szCs w:val="24"/>
        </w:rPr>
        <w:t xml:space="preserve">Određuje se nagrada stečajnom upravitelju  u stečajnom postupku pod </w:t>
      </w:r>
      <w:proofErr w:type="spellStart"/>
      <w:r w:rsidR="00437EAB">
        <w:rPr>
          <w:szCs w:val="24"/>
        </w:rPr>
        <w:t>posl</w:t>
      </w:r>
      <w:proofErr w:type="spellEnd"/>
      <w:r w:rsidR="00437EAB">
        <w:rPr>
          <w:szCs w:val="24"/>
        </w:rPr>
        <w:t>.</w:t>
      </w:r>
      <w:r>
        <w:rPr>
          <w:szCs w:val="24"/>
        </w:rPr>
        <w:t xml:space="preserve"> br. St-</w:t>
      </w:r>
      <w:r w:rsidR="00437EAB">
        <w:rPr>
          <w:szCs w:val="24"/>
        </w:rPr>
        <w:t>734/12</w:t>
      </w:r>
      <w:r>
        <w:rPr>
          <w:szCs w:val="24"/>
        </w:rPr>
        <w:t xml:space="preserve"> nad stečajnim dužnikom </w:t>
      </w:r>
      <w:r w:rsidR="00437EAB">
        <w:rPr>
          <w:szCs w:val="24"/>
        </w:rPr>
        <w:t>SAMOBOR BENZ d.o.</w:t>
      </w:r>
      <w:r w:rsidR="00437EAB" w:rsidRPr="00866DEA">
        <w:rPr>
          <w:szCs w:val="24"/>
        </w:rPr>
        <w:t>o. u stečaju, Samobor, Mir</w:t>
      </w:r>
      <w:r w:rsidR="00437EAB">
        <w:rPr>
          <w:szCs w:val="24"/>
        </w:rPr>
        <w:t>ka Bogovića 20, OIB 23833525806</w:t>
      </w:r>
      <w:r>
        <w:rPr>
          <w:szCs w:val="24"/>
        </w:rPr>
        <w:t xml:space="preserve">, u </w:t>
      </w:r>
      <w:r w:rsidR="00DB5FE6">
        <w:rPr>
          <w:szCs w:val="24"/>
        </w:rPr>
        <w:t>neto</w:t>
      </w:r>
      <w:r>
        <w:rPr>
          <w:szCs w:val="24"/>
        </w:rPr>
        <w:t xml:space="preserve"> iznosu od </w:t>
      </w:r>
      <w:r w:rsidR="00FB04A0">
        <w:rPr>
          <w:szCs w:val="24"/>
        </w:rPr>
        <w:t>190.589,76</w:t>
      </w:r>
      <w:r>
        <w:rPr>
          <w:szCs w:val="24"/>
        </w:rPr>
        <w:t xml:space="preserve"> kn.</w:t>
      </w:r>
    </w:p>
    <w:p w:rsidRDefault="00FB04A0" w:rsidP="00FB04A0" w:rsidR="00FB04A0" w:rsidRPr="00EB6674">
      <w:pPr>
        <w:pStyle w:val="Tijeloteksta"/>
        <w:numPr>
          <w:ilvl w:val="0"/>
          <w:numId w:val="4"/>
        </w:numPr>
        <w:rPr>
          <w:szCs w:val="24"/>
        </w:rPr>
      </w:pPr>
      <w:r>
        <w:rPr>
          <w:szCs w:val="24"/>
        </w:rPr>
        <w:t xml:space="preserve">Određuje se nagrada stečajnom upravitelju  u stečajnom postupku pod </w:t>
      </w:r>
      <w:proofErr w:type="spellStart"/>
      <w:r>
        <w:rPr>
          <w:szCs w:val="24"/>
        </w:rPr>
        <w:t>posl</w:t>
      </w:r>
      <w:proofErr w:type="spellEnd"/>
      <w:r>
        <w:rPr>
          <w:szCs w:val="24"/>
        </w:rPr>
        <w:t>. br. St-734/12 nad stečajnim dužnikom SAMOBOR BENZ d.o.</w:t>
      </w:r>
      <w:r w:rsidRPr="00866DEA">
        <w:rPr>
          <w:szCs w:val="24"/>
        </w:rPr>
        <w:t>o. u stečaju, Samobor, Mir</w:t>
      </w:r>
      <w:r>
        <w:rPr>
          <w:szCs w:val="24"/>
        </w:rPr>
        <w:t xml:space="preserve">ka Bogovića 20, OIB 23833525806, u bruto iznosu od 262.502,23 </w:t>
      </w:r>
      <w:r w:rsidR="00953D4E">
        <w:rPr>
          <w:szCs w:val="24"/>
        </w:rPr>
        <w:t>kn (s troškovima na isplatu bruto nagrade ukupan iznos iznosi 282.189,90 kn).</w:t>
      </w:r>
    </w:p>
    <w:p w:rsidRDefault="0011369F" w:rsidP="0011369F" w:rsidR="0011369F">
      <w:pPr>
        <w:pStyle w:val="Tijeloteksta"/>
        <w:ind w:left="1080"/>
        <w:rPr>
          <w:szCs w:val="24"/>
        </w:rPr>
      </w:pPr>
    </w:p>
    <w:p w:rsidRDefault="0011369F" w:rsidP="0011369F" w:rsidR="0011369F">
      <w:pPr>
        <w:jc w:val="center"/>
        <w:rPr>
          <w:rFonts w:hAnsi="Times New Roman" w:ascii="Times New Roman"/>
          <w:szCs w:val="24"/>
        </w:rPr>
      </w:pPr>
      <w:r>
        <w:rPr>
          <w:rFonts w:hAnsi="Times New Roman" w:ascii="Times New Roman"/>
          <w:szCs w:val="24"/>
        </w:rPr>
        <w:t>Obrazloženje</w:t>
      </w:r>
    </w:p>
    <w:p w:rsidRDefault="0011369F" w:rsidP="0011369F" w:rsidR="0011369F">
      <w:pPr>
        <w:jc w:val="both"/>
        <w:rPr>
          <w:rFonts w:hAnsi="Times New Roman" w:ascii="Times New Roman"/>
          <w:bCs/>
          <w:szCs w:val="24"/>
        </w:rPr>
      </w:pPr>
    </w:p>
    <w:p w:rsidRDefault="0011369F" w:rsidP="0011369F" w:rsidR="0011369F">
      <w:pPr>
        <w:pStyle w:val="Tijeloteksta"/>
        <w:ind w:firstLine="567"/>
        <w:rPr>
          <w:szCs w:val="24"/>
        </w:rPr>
      </w:pPr>
      <w:r>
        <w:rPr>
          <w:szCs w:val="24"/>
        </w:rPr>
        <w:t xml:space="preserve">Rješenjem </w:t>
      </w:r>
      <w:r w:rsidR="00BE0533">
        <w:rPr>
          <w:szCs w:val="24"/>
        </w:rPr>
        <w:t>Trgovačkog</w:t>
      </w:r>
      <w:r>
        <w:rPr>
          <w:szCs w:val="24"/>
        </w:rPr>
        <w:t xml:space="preserve"> suda </w:t>
      </w:r>
      <w:r w:rsidR="00BE0533">
        <w:rPr>
          <w:szCs w:val="24"/>
        </w:rPr>
        <w:t xml:space="preserve">u Zagrebu pod </w:t>
      </w:r>
      <w:proofErr w:type="spellStart"/>
      <w:r w:rsidR="00BE0533">
        <w:rPr>
          <w:szCs w:val="24"/>
        </w:rPr>
        <w:t>posl</w:t>
      </w:r>
      <w:proofErr w:type="spellEnd"/>
      <w:r w:rsidR="00BE0533">
        <w:rPr>
          <w:szCs w:val="24"/>
        </w:rPr>
        <w:t xml:space="preserve">. </w:t>
      </w:r>
      <w:r>
        <w:rPr>
          <w:szCs w:val="24"/>
        </w:rPr>
        <w:t>br. St-</w:t>
      </w:r>
      <w:r w:rsidR="00D467C7">
        <w:rPr>
          <w:szCs w:val="24"/>
        </w:rPr>
        <w:t>734/12 od 19</w:t>
      </w:r>
      <w:r>
        <w:rPr>
          <w:szCs w:val="24"/>
        </w:rPr>
        <w:t xml:space="preserve">. </w:t>
      </w:r>
      <w:r w:rsidR="00D467C7">
        <w:rPr>
          <w:szCs w:val="24"/>
        </w:rPr>
        <w:t>studenog  2012</w:t>
      </w:r>
      <w:r>
        <w:rPr>
          <w:szCs w:val="24"/>
        </w:rPr>
        <w:t xml:space="preserve">.g. otvoren je stečajni postupak nad dužnikom </w:t>
      </w:r>
      <w:r w:rsidR="00D467C7">
        <w:rPr>
          <w:szCs w:val="24"/>
        </w:rPr>
        <w:t>SAMOBOR BENZ d.o.</w:t>
      </w:r>
      <w:r w:rsidR="00D467C7" w:rsidRPr="00866DEA">
        <w:rPr>
          <w:szCs w:val="24"/>
        </w:rPr>
        <w:t>o., Samobor, Mir</w:t>
      </w:r>
      <w:r w:rsidR="00D467C7">
        <w:rPr>
          <w:szCs w:val="24"/>
        </w:rPr>
        <w:t>ka Bogovića 20, OIB 23833525806</w:t>
      </w:r>
      <w:r w:rsidR="005114AA">
        <w:rPr>
          <w:szCs w:val="24"/>
        </w:rPr>
        <w:t>, te je citiranim rješenjem imenovan i stečajni upravitelj.</w:t>
      </w:r>
    </w:p>
    <w:p w:rsidRDefault="0011369F" w:rsidP="0011369F" w:rsidR="0011369F">
      <w:pPr>
        <w:pStyle w:val="Tijeloteksta"/>
        <w:ind w:firstLine="567"/>
      </w:pPr>
      <w:r>
        <w:rPr>
          <w:szCs w:val="24"/>
        </w:rPr>
        <w:t xml:space="preserve"> </w:t>
      </w:r>
    </w:p>
    <w:p w:rsidRDefault="0011369F" w:rsidP="00967CCD" w:rsidR="005114AA">
      <w:pPr>
        <w:pStyle w:val="Tijeloteksta"/>
        <w:ind w:firstLine="567"/>
        <w:rPr>
          <w:szCs w:val="24"/>
        </w:rPr>
      </w:pPr>
      <w:r>
        <w:rPr>
          <w:szCs w:val="24"/>
        </w:rPr>
        <w:t>Stečajnu masu ovog dužnika</w:t>
      </w:r>
      <w:r w:rsidR="005114AA">
        <w:rPr>
          <w:szCs w:val="24"/>
        </w:rPr>
        <w:t xml:space="preserve"> činile su nekretnine</w:t>
      </w:r>
      <w:r w:rsidR="00967CCD">
        <w:rPr>
          <w:szCs w:val="24"/>
        </w:rPr>
        <w:t xml:space="preserve"> i pokretnine,a koje su  tijekom trajanja stečajnog postupak unovčene za ukupan iznos od 6.227.131,68 kn</w:t>
      </w:r>
      <w:r w:rsidR="005114AA">
        <w:rPr>
          <w:szCs w:val="24"/>
        </w:rPr>
        <w:t xml:space="preserve">, odnosno sveukupna  vrijednost unovčene stečajne mase iznosi </w:t>
      </w:r>
      <w:r w:rsidR="00967CCD">
        <w:rPr>
          <w:szCs w:val="24"/>
        </w:rPr>
        <w:t xml:space="preserve">6.227.131,68 </w:t>
      </w:r>
      <w:r w:rsidR="005114AA">
        <w:rPr>
          <w:szCs w:val="24"/>
        </w:rPr>
        <w:t>kn.</w:t>
      </w:r>
    </w:p>
    <w:p w:rsidRDefault="008072FF" w:rsidP="0011369F" w:rsidR="008072FF">
      <w:pPr>
        <w:pStyle w:val="Tijeloteksta"/>
        <w:ind w:firstLine="567"/>
        <w:rPr>
          <w:szCs w:val="24"/>
        </w:rPr>
      </w:pPr>
    </w:p>
    <w:p w:rsidRDefault="00967CCD" w:rsidP="0011369F" w:rsidR="007D5E34">
      <w:pPr>
        <w:pStyle w:val="Tijeloteksta"/>
        <w:ind w:firstLine="567"/>
        <w:rPr>
          <w:szCs w:val="24"/>
        </w:rPr>
      </w:pPr>
      <w:r>
        <w:rPr>
          <w:szCs w:val="24"/>
        </w:rPr>
        <w:t>U ovom stečajnom postupku do 2</w:t>
      </w:r>
      <w:r w:rsidR="005114AA">
        <w:rPr>
          <w:szCs w:val="24"/>
        </w:rPr>
        <w:t xml:space="preserve">. listopada 2015.g. ukupna vrijednost unovčene stečajne mase iznosi </w:t>
      </w:r>
      <w:r w:rsidR="007D5E34">
        <w:rPr>
          <w:szCs w:val="24"/>
        </w:rPr>
        <w:t>2.301.795,26</w:t>
      </w:r>
      <w:r w:rsidR="005114AA">
        <w:rPr>
          <w:szCs w:val="24"/>
        </w:rPr>
        <w:t xml:space="preserve"> kn. </w:t>
      </w:r>
    </w:p>
    <w:p w:rsidRDefault="002865AA" w:rsidP="0011369F" w:rsidR="005114AA">
      <w:pPr>
        <w:pStyle w:val="Tijeloteksta"/>
        <w:ind w:firstLine="567"/>
        <w:rPr>
          <w:szCs w:val="24"/>
        </w:rPr>
      </w:pPr>
      <w:r>
        <w:rPr>
          <w:szCs w:val="24"/>
        </w:rPr>
        <w:t>S obzirom na vrijeme unovčenja, u odnosu na vrijednost ostvarene stečajne mase, na nagradu stečajnog upravitelj</w:t>
      </w:r>
      <w:r w:rsidR="006D70D6">
        <w:rPr>
          <w:szCs w:val="24"/>
        </w:rPr>
        <w:t>a</w:t>
      </w:r>
      <w:r>
        <w:rPr>
          <w:szCs w:val="24"/>
        </w:rPr>
        <w:t xml:space="preserve"> primjenjuju se kriteriji iz Uredbe o kriterijima i načinu obračuna i plaćanja nagrada stečajnim upraviteljima iz 2003.g.</w:t>
      </w:r>
      <w:r w:rsidR="004D21B0">
        <w:rPr>
          <w:szCs w:val="24"/>
        </w:rPr>
        <w:t xml:space="preserve"> (NN 189/03</w:t>
      </w:r>
      <w:r w:rsidR="00191FCC">
        <w:rPr>
          <w:szCs w:val="24"/>
        </w:rPr>
        <w:t>, dalje Uredba</w:t>
      </w:r>
      <w:r w:rsidR="004D21B0">
        <w:rPr>
          <w:szCs w:val="24"/>
        </w:rPr>
        <w:t>)</w:t>
      </w:r>
      <w:r w:rsidR="00191FCC">
        <w:rPr>
          <w:szCs w:val="24"/>
        </w:rPr>
        <w:t>, pa je na  temelju citirane Uredbe, sukladno čl. 3. i čl. 4.,</w:t>
      </w:r>
      <w:r w:rsidR="006D70D6">
        <w:rPr>
          <w:szCs w:val="24"/>
        </w:rPr>
        <w:t xml:space="preserve">  odnosno, uzimajući u obzir obujam poslova i rad stečajnog upravitelja, kao i vrijednost unovčene stečajne mase, kao i uz primjenu tablice vrijednosti unovčene stečajne mase i postotaka, u odnosu na unovčenu vrijednost stečajne mase, stečajnom upravitelju odobrena neto nagradu u iznosu od </w:t>
      </w:r>
      <w:r w:rsidR="009F3B51">
        <w:rPr>
          <w:szCs w:val="24"/>
        </w:rPr>
        <w:t>190.589,76</w:t>
      </w:r>
      <w:r w:rsidR="006D70D6">
        <w:rPr>
          <w:szCs w:val="24"/>
        </w:rPr>
        <w:t xml:space="preserve"> k</w:t>
      </w:r>
      <w:r w:rsidR="009F3B51">
        <w:rPr>
          <w:szCs w:val="24"/>
        </w:rPr>
        <w:t>n.</w:t>
      </w:r>
    </w:p>
    <w:p w:rsidRDefault="00A47796" w:rsidP="0011369F" w:rsidR="00A47796">
      <w:pPr>
        <w:pStyle w:val="Tijeloteksta"/>
        <w:ind w:firstLine="567"/>
        <w:rPr>
          <w:szCs w:val="24"/>
        </w:rPr>
      </w:pPr>
    </w:p>
    <w:p w:rsidRDefault="005F2F75" w:rsidP="0011369F" w:rsidR="005F2F75">
      <w:pPr>
        <w:pStyle w:val="Tijeloteksta"/>
        <w:ind w:firstLine="567"/>
        <w:rPr>
          <w:szCs w:val="24"/>
        </w:rPr>
      </w:pPr>
    </w:p>
    <w:p w:rsidRDefault="00C10E00" w:rsidP="0011369F" w:rsidR="00CD7377">
      <w:pPr>
        <w:pStyle w:val="Tijeloteksta"/>
        <w:ind w:firstLine="567"/>
        <w:rPr>
          <w:szCs w:val="24"/>
        </w:rPr>
      </w:pPr>
      <w:r>
        <w:rPr>
          <w:szCs w:val="24"/>
        </w:rPr>
        <w:lastRenderedPageBreak/>
        <w:t xml:space="preserve">U daljnjem tijeku postupka, a nakon što je na snagu stupila </w:t>
      </w:r>
      <w:r w:rsidR="00351429">
        <w:rPr>
          <w:szCs w:val="24"/>
        </w:rPr>
        <w:t xml:space="preserve">Uredba o kriterijima i načinu obračuna i plaćanja nagrade stečajnim upraviteljima (NN 105/15 od 2. listopada 2015), stečajni upravitelj unovčio je daljnju stečajnu masu za iznos od </w:t>
      </w:r>
      <w:r w:rsidR="00704D1D">
        <w:rPr>
          <w:szCs w:val="24"/>
        </w:rPr>
        <w:t>3.925.336,42</w:t>
      </w:r>
      <w:r w:rsidR="00351429">
        <w:rPr>
          <w:szCs w:val="24"/>
        </w:rPr>
        <w:t xml:space="preserve"> kn</w:t>
      </w:r>
      <w:r w:rsidR="005F2F75">
        <w:rPr>
          <w:szCs w:val="24"/>
        </w:rPr>
        <w:t xml:space="preserve">. </w:t>
      </w:r>
      <w:r w:rsidR="00F820B2">
        <w:rPr>
          <w:szCs w:val="24"/>
        </w:rPr>
        <w:t>Stoga je</w:t>
      </w:r>
      <w:r w:rsidR="00766A91">
        <w:rPr>
          <w:szCs w:val="24"/>
        </w:rPr>
        <w:t>,</w:t>
      </w:r>
      <w:r w:rsidR="00F820B2">
        <w:rPr>
          <w:szCs w:val="24"/>
        </w:rPr>
        <w:t xml:space="preserve"> u odnosu na ovaj dio unovčene stečajne mase, stečajnom upravitelju</w:t>
      </w:r>
      <w:r w:rsidR="00CD5379">
        <w:rPr>
          <w:szCs w:val="24"/>
        </w:rPr>
        <w:t xml:space="preserve"> određen preostali iznos nagrade, iskazan u bruto iznosu</w:t>
      </w:r>
      <w:r w:rsidR="00FB25B1">
        <w:rPr>
          <w:szCs w:val="24"/>
        </w:rPr>
        <w:t xml:space="preserve"> od </w:t>
      </w:r>
      <w:r w:rsidR="004B31B3">
        <w:rPr>
          <w:szCs w:val="24"/>
        </w:rPr>
        <w:t>262.502,23</w:t>
      </w:r>
      <w:r w:rsidR="00FB25B1">
        <w:rPr>
          <w:szCs w:val="24"/>
        </w:rPr>
        <w:t xml:space="preserve"> kn, odnosno</w:t>
      </w:r>
      <w:r w:rsidR="00766A91">
        <w:rPr>
          <w:szCs w:val="24"/>
        </w:rPr>
        <w:t xml:space="preserve"> sukladno čl. 2. st. 1., čl. 5. st. 1., čl. 6.,  te čl. 7. Uredbe, </w:t>
      </w:r>
      <w:r w:rsidR="00CD7377">
        <w:rPr>
          <w:szCs w:val="24"/>
        </w:rPr>
        <w:t xml:space="preserve"> uzimajući u obzir vrijednost unovčene stečajne mase uz primjenu tablice vrijednosti u</w:t>
      </w:r>
      <w:r w:rsidR="00CD5379">
        <w:rPr>
          <w:szCs w:val="24"/>
        </w:rPr>
        <w:t xml:space="preserve">novčene stečajne mase i nagrade u </w:t>
      </w:r>
      <w:r w:rsidR="004B31B3">
        <w:rPr>
          <w:szCs w:val="24"/>
        </w:rPr>
        <w:t>postocima</w:t>
      </w:r>
      <w:r w:rsidR="00FB25B1">
        <w:rPr>
          <w:szCs w:val="24"/>
        </w:rPr>
        <w:t>, određena je  visina brut</w:t>
      </w:r>
      <w:r w:rsidR="004B31B3">
        <w:rPr>
          <w:szCs w:val="24"/>
        </w:rPr>
        <w:t>o nagrade stečajnom upravitelju</w:t>
      </w:r>
      <w:r w:rsidR="001147C3">
        <w:rPr>
          <w:szCs w:val="24"/>
        </w:rPr>
        <w:t>.</w:t>
      </w:r>
    </w:p>
    <w:p w:rsidRDefault="001147C3" w:rsidP="001147C3" w:rsidR="001147C3">
      <w:pPr>
        <w:ind w:firstLine="708"/>
        <w:jc w:val="both"/>
        <w:rPr>
          <w:rFonts w:hAnsi="Times New Roman" w:ascii="Times New Roman"/>
          <w:szCs w:val="24"/>
        </w:rPr>
      </w:pPr>
    </w:p>
    <w:p w:rsidRDefault="001147C3" w:rsidP="0063253B" w:rsidR="001147C3" w:rsidRPr="00906803">
      <w:pPr>
        <w:ind w:firstLine="708"/>
        <w:jc w:val="both"/>
        <w:rPr>
          <w:rFonts w:hAnsi="Times New Roman" w:ascii="Times New Roman"/>
          <w:szCs w:val="24"/>
        </w:rPr>
      </w:pPr>
      <w:r w:rsidRPr="00906803">
        <w:rPr>
          <w:rFonts w:hAnsi="Times New Roman" w:ascii="Times New Roman"/>
          <w:szCs w:val="24"/>
        </w:rPr>
        <w:t>Nadalje, sukladno čl. 15. Uredbe, a u svezi s čl. 9. i čl. 111. Zakona o doprinosima (NN 84/08, 152/08, 94/09, 18/11, 22/12, 144/12, 148/13, 41/14, 143/14, 115/16, 106/18)  stečajnom upravitelju</w:t>
      </w:r>
      <w:r>
        <w:rPr>
          <w:rFonts w:hAnsi="Times New Roman" w:ascii="Times New Roman"/>
          <w:szCs w:val="24"/>
        </w:rPr>
        <w:t xml:space="preserve"> na ukupan iznos bruto nagrade </w:t>
      </w:r>
      <w:r w:rsidR="0063253B">
        <w:rPr>
          <w:rFonts w:hAnsi="Times New Roman" w:ascii="Times New Roman"/>
          <w:szCs w:val="24"/>
        </w:rPr>
        <w:t xml:space="preserve">pripada i pravo na isplatu troškova u iznosu od 19.687,67 kn, a koji se odnose na doprinose za zdravstveno osiguranje temeljem citiranog zakona, a s obzirom da je obveznik isplate </w:t>
      </w:r>
      <w:r w:rsidRPr="00906803">
        <w:rPr>
          <w:rFonts w:hAnsi="Times New Roman" w:ascii="Times New Roman"/>
          <w:szCs w:val="24"/>
        </w:rPr>
        <w:t xml:space="preserve">isplatitelj, konkretno </w:t>
      </w:r>
      <w:r w:rsidR="0063253B">
        <w:rPr>
          <w:rFonts w:hAnsi="Times New Roman" w:ascii="Times New Roman"/>
          <w:szCs w:val="24"/>
        </w:rPr>
        <w:t>stečajni dužnik.</w:t>
      </w:r>
    </w:p>
    <w:p w:rsidRDefault="001147C3" w:rsidP="0011369F" w:rsidR="001147C3">
      <w:pPr>
        <w:pStyle w:val="Tijeloteksta"/>
        <w:ind w:firstLine="567"/>
        <w:rPr>
          <w:szCs w:val="24"/>
        </w:rPr>
      </w:pPr>
    </w:p>
    <w:p w:rsidRDefault="00FB25B1" w:rsidP="0011369F" w:rsidR="00CD7377">
      <w:pPr>
        <w:pStyle w:val="Tijeloteksta"/>
        <w:ind w:firstLine="567"/>
        <w:rPr>
          <w:szCs w:val="24"/>
        </w:rPr>
      </w:pPr>
      <w:r>
        <w:rPr>
          <w:szCs w:val="24"/>
        </w:rPr>
        <w:t xml:space="preserve"> </w:t>
      </w:r>
      <w:r w:rsidR="008232A7">
        <w:rPr>
          <w:szCs w:val="24"/>
        </w:rPr>
        <w:t xml:space="preserve">Čl. 94. st. 1. Stečajnog zakona (NN 71/15,104/17), propisano je da stečajni upravitelj ima pravo na nagradu za svoj rad i naknadu stvarnih troškova, te da nagradu stečajnom upravitelju, rješenjem određuje </w:t>
      </w:r>
      <w:r w:rsidR="006E3EF5">
        <w:rPr>
          <w:szCs w:val="24"/>
        </w:rPr>
        <w:t xml:space="preserve">sud, prema Uredbi </w:t>
      </w:r>
      <w:r w:rsidR="00865B89">
        <w:rPr>
          <w:szCs w:val="24"/>
        </w:rPr>
        <w:t>Vlade</w:t>
      </w:r>
      <w:r w:rsidR="006E3EF5">
        <w:rPr>
          <w:szCs w:val="24"/>
        </w:rPr>
        <w:t xml:space="preserve"> RH</w:t>
      </w:r>
      <w:r w:rsidR="008232A7">
        <w:rPr>
          <w:szCs w:val="24"/>
        </w:rPr>
        <w:t xml:space="preserve"> </w:t>
      </w:r>
      <w:r w:rsidR="00865B89">
        <w:rPr>
          <w:szCs w:val="24"/>
        </w:rPr>
        <w:t xml:space="preserve">koja </w:t>
      </w:r>
      <w:r w:rsidR="008232A7">
        <w:rPr>
          <w:szCs w:val="24"/>
        </w:rPr>
        <w:t>utvrđuje kriterije i načina obračuna i plaćanja nagrade stečajnim upraviteljima.</w:t>
      </w:r>
    </w:p>
    <w:p w:rsidRDefault="00721360" w:rsidP="0011369F" w:rsidR="00721360">
      <w:pPr>
        <w:pStyle w:val="Tijeloteksta"/>
        <w:ind w:firstLine="567"/>
        <w:rPr>
          <w:szCs w:val="24"/>
        </w:rPr>
      </w:pPr>
    </w:p>
    <w:p w:rsidRDefault="008232A7" w:rsidP="0011369F" w:rsidR="008232A7">
      <w:pPr>
        <w:pStyle w:val="Tijeloteksta"/>
        <w:ind w:firstLine="567"/>
        <w:rPr>
          <w:szCs w:val="24"/>
        </w:rPr>
      </w:pPr>
      <w:r>
        <w:rPr>
          <w:szCs w:val="24"/>
        </w:rPr>
        <w:t>Slijedom iznesenih zakonskih odredbi i odredbi važećih Uredbi, doneseno je ovo rješenje.</w:t>
      </w:r>
    </w:p>
    <w:p w:rsidRDefault="00C10E00" w:rsidP="0011369F" w:rsidR="00C10E00">
      <w:pPr>
        <w:pStyle w:val="Tijeloteksta"/>
        <w:ind w:firstLine="567"/>
        <w:rPr>
          <w:szCs w:val="24"/>
        </w:rPr>
      </w:pPr>
    </w:p>
    <w:p w:rsidRDefault="00C10E00" w:rsidP="0011369F" w:rsidR="00C10E00">
      <w:pPr>
        <w:pStyle w:val="Tijeloteksta"/>
        <w:ind w:firstLine="567"/>
        <w:rPr>
          <w:szCs w:val="24"/>
        </w:rPr>
      </w:pPr>
    </w:p>
    <w:p w:rsidRDefault="00721360" w:rsidP="00585A5E" w:rsidR="00585A5E">
      <w:pPr>
        <w:jc w:val="center"/>
        <w:rPr>
          <w:rFonts w:hAnsi="Times New Roman" w:ascii="Times New Roman"/>
          <w:szCs w:val="24"/>
        </w:rPr>
      </w:pPr>
      <w:r>
        <w:rPr>
          <w:rFonts w:hAnsi="Times New Roman" w:ascii="Times New Roman"/>
          <w:szCs w:val="24"/>
        </w:rPr>
        <w:t>U Zagrebu 1</w:t>
      </w:r>
      <w:r w:rsidR="00DD3C36">
        <w:rPr>
          <w:rFonts w:hAnsi="Times New Roman" w:ascii="Times New Roman"/>
          <w:szCs w:val="24"/>
        </w:rPr>
        <w:t>8</w:t>
      </w:r>
      <w:r w:rsidR="00585A5E">
        <w:rPr>
          <w:rFonts w:hAnsi="Times New Roman" w:ascii="Times New Roman"/>
          <w:szCs w:val="24"/>
        </w:rPr>
        <w:t xml:space="preserve">. </w:t>
      </w:r>
      <w:r w:rsidR="008232A7">
        <w:rPr>
          <w:rFonts w:hAnsi="Times New Roman" w:ascii="Times New Roman"/>
          <w:szCs w:val="24"/>
        </w:rPr>
        <w:t>ožujka</w:t>
      </w:r>
      <w:r>
        <w:rPr>
          <w:rFonts w:hAnsi="Times New Roman" w:ascii="Times New Roman"/>
          <w:szCs w:val="24"/>
        </w:rPr>
        <w:t xml:space="preserve"> 2019</w:t>
      </w:r>
      <w:r w:rsidR="00585A5E">
        <w:rPr>
          <w:rFonts w:hAnsi="Times New Roman" w:ascii="Times New Roman"/>
          <w:szCs w:val="24"/>
        </w:rPr>
        <w:t>.g.</w:t>
      </w:r>
    </w:p>
    <w:p w:rsidRDefault="00585A5E" w:rsidP="00585A5E" w:rsidR="00585A5E">
      <w:pPr>
        <w:jc w:val="center"/>
        <w:rPr>
          <w:rFonts w:hAnsi="Times New Roman" w:ascii="Times New Roman"/>
          <w:szCs w:val="24"/>
        </w:rPr>
      </w:pPr>
    </w:p>
    <w:p w:rsidRDefault="00585A5E" w:rsidP="00585A5E" w:rsidR="00585A5E">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sidR="000F527E">
        <w:rPr>
          <w:rFonts w:hAnsi="Times New Roman" w:ascii="Times New Roman"/>
          <w:szCs w:val="24"/>
        </w:rPr>
        <w:t xml:space="preserve">          </w:t>
      </w:r>
      <w:r>
        <w:rPr>
          <w:rFonts w:hAnsi="Times New Roman" w:ascii="Times New Roman"/>
          <w:szCs w:val="24"/>
        </w:rPr>
        <w:t>SUDAC:</w:t>
      </w:r>
      <w:r>
        <w:rPr>
          <w:rFonts w:hAnsi="Times New Roman" w:ascii="Times New Roman"/>
          <w:szCs w:val="24"/>
        </w:rPr>
        <w:tab/>
      </w:r>
      <w:r>
        <w:rPr>
          <w:rFonts w:hAnsi="Times New Roman" w:ascii="Times New Roman"/>
          <w:szCs w:val="24"/>
        </w:rPr>
        <w:tab/>
        <w:t xml:space="preserve">                       </w:t>
      </w:r>
    </w:p>
    <w:p w:rsidRDefault="00585A5E" w:rsidP="00585A5E" w:rsidR="00585A5E">
      <w:pPr>
        <w:ind w:firstLine="720" w:left="2160"/>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t xml:space="preserve">    </w:t>
      </w:r>
      <w:r w:rsidR="006B61A1">
        <w:rPr>
          <w:rFonts w:hAnsi="Times New Roman" w:ascii="Times New Roman"/>
          <w:szCs w:val="24"/>
        </w:rPr>
        <w:t>LUCIJA BUTIGAN</w:t>
      </w:r>
      <w:r w:rsidR="00561489">
        <w:rPr>
          <w:rFonts w:hAnsi="Times New Roman" w:ascii="Times New Roman"/>
          <w:szCs w:val="24"/>
        </w:rPr>
        <w:t>,v.r.</w:t>
      </w:r>
    </w:p>
    <w:p w:rsidRDefault="00DB75B7" w:rsidP="00585A5E" w:rsidR="00DB75B7">
      <w:pPr>
        <w:rPr>
          <w:rFonts w:hAnsi="Times New Roman" w:ascii="Times New Roman"/>
          <w:szCs w:val="24"/>
        </w:rPr>
      </w:pPr>
    </w:p>
    <w:p w:rsidRDefault="00585A5E" w:rsidP="00585A5E" w:rsidR="00585A5E" w:rsidRPr="003F240D">
      <w:pPr>
        <w:rPr>
          <w:rFonts w:hAnsi="Times New Roman" w:ascii="Times New Roman"/>
          <w:szCs w:val="24"/>
        </w:rPr>
      </w:pPr>
      <w:r w:rsidRPr="003F240D">
        <w:rPr>
          <w:rFonts w:hAnsi="Times New Roman" w:ascii="Times New Roman"/>
          <w:szCs w:val="24"/>
        </w:rPr>
        <w:t>UPUTA O PRAVNOM LIJEKU:</w:t>
      </w:r>
    </w:p>
    <w:p w:rsidRDefault="00585A5E" w:rsidP="00585A5E" w:rsidR="00585A5E">
      <w:pPr>
        <w:pStyle w:val="Tijeloteksta"/>
        <w:rPr>
          <w:szCs w:val="24"/>
        </w:rPr>
      </w:pPr>
      <w:r>
        <w:rPr>
          <w:szCs w:val="24"/>
        </w:rPr>
        <w:t>Protiv ovog rješenja pravo žalbe ima stečajni upravitelj, dužnik pojedinac i svaki  stečajni vjerovnik. (čl. 94. st. 5. Stečajnog zakona).</w:t>
      </w:r>
    </w:p>
    <w:p w:rsidRDefault="00EB6674" w:rsidP="00585A5E" w:rsidR="00EB6674">
      <w:pPr>
        <w:pStyle w:val="Tijeloteksta"/>
        <w:rPr>
          <w:szCs w:val="24"/>
        </w:rPr>
      </w:pPr>
    </w:p>
    <w:p w:rsidRDefault="00BA31FD" w:rsidP="00585A5E" w:rsidR="00BA31FD">
      <w:pPr>
        <w:pStyle w:val="Tijeloteksta"/>
        <w:rPr>
          <w:szCs w:val="24"/>
        </w:rPr>
      </w:pPr>
    </w:p>
    <w:p w:rsidRDefault="00561489" w:rsidP="00F32A7B" w:rsidR="00561489"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561489" w:rsidP="00F32A7B" w:rsidR="00561489"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585A5E" w:rsidP="00561489" w:rsidR="00E33188">
      <w:pPr>
        <w:pStyle w:val="Tijeloteksta"/>
        <w:ind w:left="720"/>
      </w:pPr>
      <w:bookmarkStart w:name="_GoBack" w:id="0"/>
      <w:bookmarkEnd w:id="0"/>
      <w:r w:rsidRPr="0004369C">
        <w:rPr>
          <w:color w:val="FFFFFF"/>
          <w:szCs w:val="24"/>
        </w:rPr>
        <w:t>ploča Trgovačkog suda</w:t>
      </w:r>
    </w:p>
    <w:sectPr w:rsidSect="00A71104" w:rsidR="00E33188">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A90" w:rsidP="00CE1A90" w:rsidR="00CE1A90">
      <w:r>
        <w:separator/>
      </w:r>
    </w:p>
  </w:endnote>
  <w:endnote w:id="0" w:type="continuationSeparator">
    <w:p w:rsidRDefault="00CE1A90" w:rsidP="00CE1A90" w:rsidR="00CE1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A90" w:rsidP="00CE1A90" w:rsidR="00CE1A90">
      <w:r>
        <w:separator/>
      </w:r>
    </w:p>
  </w:footnote>
  <w:footnote w:id="0" w:type="continuationSeparator">
    <w:p w:rsidRDefault="00CE1A90" w:rsidP="00CE1A90" w:rsidR="00CE1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493555"/>
      <w:docPartObj>
        <w:docPartGallery w:val="Page Numbers (Top of Page)"/>
        <w:docPartUnique/>
      </w:docPartObj>
    </w:sdtPr>
    <w:sdtEndPr/>
    <w:sdtContent>
      <w:p w:rsidRDefault="00CE1A90" w:rsidP="00CE1A90" w:rsidR="00CE1A90">
        <w:pPr>
          <w:pStyle w:val="Zaglavlje"/>
          <w:ind w:firstLine="4248"/>
          <w:jc w:val="center"/>
        </w:pPr>
        <w:r>
          <w:fldChar w:fldCharType="begin"/>
        </w:r>
        <w:r>
          <w:instrText>PAGE   \* MERGEFORMAT</w:instrText>
        </w:r>
        <w:r>
          <w:fldChar w:fldCharType="separate"/>
        </w:r>
        <w:r w:rsidR="00561489">
          <w:rPr>
            <w:noProof/>
          </w:rPr>
          <w:t>2</w:t>
        </w:r>
        <w:r>
          <w:fldChar w:fldCharType="end"/>
        </w:r>
        <w:r>
          <w:t xml:space="preserve"> </w:t>
        </w:r>
        <w:r>
          <w:rPr>
            <w:rFonts w:hAnsi="Times New Roman" w:ascii="Times New Roman"/>
            <w:szCs w:val="24"/>
          </w:rPr>
          <w:tab/>
        </w:r>
        <w:r>
          <w:rPr>
            <w:rFonts w:hAnsi="Times New Roman" w:ascii="Times New Roman"/>
            <w:szCs w:val="24"/>
          </w:rPr>
          <w:tab/>
          <w:t>20.St-</w:t>
        </w:r>
        <w:r w:rsidR="00955A41">
          <w:rPr>
            <w:rFonts w:hAnsi="Times New Roman" w:ascii="Times New Roman"/>
            <w:szCs w:val="24"/>
          </w:rPr>
          <w:t>734/12</w:t>
        </w:r>
      </w:p>
    </w:sdtContent>
  </w:sdt>
  <w:p w:rsidRDefault="00CE1A90" w:rsidR="00CE1A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F403C"/>
    <w:multiLevelType w:val="hybridMultilevel"/>
    <w:tmpl w:val="46709C9E"/>
    <w:lvl w:tplc="82E628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8F13534"/>
    <w:multiLevelType w:val="hybridMultilevel"/>
    <w:tmpl w:val="FA2ACD76"/>
    <w:lvl w:tplc="93F481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CA6ED0"/>
    <w:multiLevelType w:val="hybridMultilevel"/>
    <w:tmpl w:val="2774EE54"/>
    <w:lvl w:tplc="1D9E94CE"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FA70653"/>
    <w:multiLevelType w:val="hybridMultilevel"/>
    <w:tmpl w:val="AB86D754"/>
    <w:lvl w:tplc="CA0496C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5A5E"/>
    <w:rsid w:val="0004369C"/>
    <w:rsid w:val="000F527E"/>
    <w:rsid w:val="0011369F"/>
    <w:rsid w:val="001147C3"/>
    <w:rsid w:val="00191FCC"/>
    <w:rsid w:val="001F6333"/>
    <w:rsid w:val="002865AA"/>
    <w:rsid w:val="002C0948"/>
    <w:rsid w:val="00331AD6"/>
    <w:rsid w:val="00351429"/>
    <w:rsid w:val="003F240D"/>
    <w:rsid w:val="004132CA"/>
    <w:rsid w:val="00437EAB"/>
    <w:rsid w:val="004B31B3"/>
    <w:rsid w:val="004D21B0"/>
    <w:rsid w:val="005114AA"/>
    <w:rsid w:val="00561489"/>
    <w:rsid w:val="00585A5E"/>
    <w:rsid w:val="005F2F75"/>
    <w:rsid w:val="0063253B"/>
    <w:rsid w:val="006B61A1"/>
    <w:rsid w:val="006D70D6"/>
    <w:rsid w:val="006E3EF5"/>
    <w:rsid w:val="00704D1D"/>
    <w:rsid w:val="00721360"/>
    <w:rsid w:val="00766A91"/>
    <w:rsid w:val="007D5E34"/>
    <w:rsid w:val="007E78C9"/>
    <w:rsid w:val="008072FF"/>
    <w:rsid w:val="008232A7"/>
    <w:rsid w:val="008630B4"/>
    <w:rsid w:val="00865B89"/>
    <w:rsid w:val="009047E2"/>
    <w:rsid w:val="00953D4E"/>
    <w:rsid w:val="00955A41"/>
    <w:rsid w:val="00967CCD"/>
    <w:rsid w:val="009F3B51"/>
    <w:rsid w:val="00A47796"/>
    <w:rsid w:val="00A71104"/>
    <w:rsid w:val="00AB66B9"/>
    <w:rsid w:val="00AD5533"/>
    <w:rsid w:val="00B145E7"/>
    <w:rsid w:val="00B809F7"/>
    <w:rsid w:val="00BA31FD"/>
    <w:rsid w:val="00BE0533"/>
    <w:rsid w:val="00BE3772"/>
    <w:rsid w:val="00C04438"/>
    <w:rsid w:val="00C10E00"/>
    <w:rsid w:val="00CD5379"/>
    <w:rsid w:val="00CD7377"/>
    <w:rsid w:val="00CE1A90"/>
    <w:rsid w:val="00CE4463"/>
    <w:rsid w:val="00CF26DA"/>
    <w:rsid w:val="00D467C7"/>
    <w:rsid w:val="00DB5FE6"/>
    <w:rsid w:val="00DB75B7"/>
    <w:rsid w:val="00DD3C36"/>
    <w:rsid w:val="00E33188"/>
    <w:rsid w:val="00EB6674"/>
    <w:rsid w:val="00EB7DC9"/>
    <w:rsid w:val="00F26B97"/>
    <w:rsid w:val="00F62920"/>
    <w:rsid w:val="00F820B2"/>
    <w:rsid w:val="00FB04A0"/>
    <w:rsid w:val="00FB25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5A5E"/>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85A5E"/>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true" w:styleId="Tijeloteksta2Char" w:type="character">
    <w:name w:val="Tijelo teksta 2 Char"/>
    <w:basedOn w:val="Zadanifontodlomka"/>
    <w:link w:val="Tijeloteksta2"/>
    <w:semiHidden/>
    <w:rsid w:val="00585A5E"/>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85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5A5E"/>
    <w:rPr>
      <w:rFonts w:cs="Tahoma" w:eastAsia="Times New Roman" w:hAnsi="Tahoma" w:asci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true" w:styleId="ZaglavljeChar" w:type="character">
    <w:name w:val="Zaglavlje Char"/>
    <w:basedOn w:val="Zadanifontodlomka"/>
    <w:link w:val="Zaglavlje"/>
    <w:uiPriority w:val="99"/>
    <w:rsid w:val="00CE1A90"/>
    <w:rPr>
      <w:rFonts w:cs="Times New Roman" w:eastAsia="Times New Roman" w:hAnsi="Arial" w:asci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true" w:styleId="PodnojeChar" w:type="character">
    <w:name w:val="Podnožje Char"/>
    <w:basedOn w:val="Zadanifontodlomka"/>
    <w:link w:val="Podnoje"/>
    <w:uiPriority w:val="99"/>
    <w:rsid w:val="00CE1A9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61489"/>
    <w:rPr>
      <w:color w:val="808080"/>
      <w:bdr w:space="0" w:sz="0" w:color="auto" w:val="none"/>
      <w:shd w:fill="CCFFFF" w:color="auto" w:val="clear"/>
    </w:rPr>
  </w:style>
  <w:style w:customStyle="true" w:styleId="eSPISCCParagraphDefaultFont" w:type="character">
    <w:name w:val="eSPIS_CC_Paragraph Default Font"/>
    <w:basedOn w:val="Zadanifontodlomka"/>
    <w:rsid w:val="005614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148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14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14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5A5E"/>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85A5E"/>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1" w:styleId="Tijeloteksta2Char" w:type="character">
    <w:name w:val="Tijelo teksta 2 Char"/>
    <w:basedOn w:val="Zadanifontodlomka"/>
    <w:link w:val="Tijeloteksta2"/>
    <w:semiHidden/>
    <w:rsid w:val="00585A5E"/>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85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585A5E"/>
    <w:rPr>
      <w:rFonts w:ascii="Tahoma" w:cs="Tahoma" w:eastAsia="Times New Roman" w:hAns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1" w:styleId="ZaglavljeChar" w:type="character">
    <w:name w:val="Zaglavlje Char"/>
    <w:basedOn w:val="Zadanifontodlomka"/>
    <w:link w:val="Zaglavlje"/>
    <w:uiPriority w:val="99"/>
    <w:rsid w:val="00CE1A90"/>
    <w:rPr>
      <w:rFonts w:ascii="Arial" w:cs="Times New Roman" w:eastAsia="Times New Roman" w:hAns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1" w:styleId="PodnojeChar" w:type="character">
    <w:name w:val="Podnožje Char"/>
    <w:basedOn w:val="Zadanifontodlomka"/>
    <w:link w:val="Podnoje"/>
    <w:uiPriority w:val="99"/>
    <w:rsid w:val="00CE1A9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61489"/>
    <w:rPr>
      <w:color w:val="808080"/>
      <w:bdr w:color="auto" w:space="0" w:sz="0" w:val="none"/>
      <w:shd w:color="auto" w:fill="CCFFFF" w:val="clear"/>
    </w:rPr>
  </w:style>
  <w:style w:customStyle="1" w:styleId="eSPISCCParagraphDefaultFont" w:type="character">
    <w:name w:val="eSPIS_CC_Paragraph Default Font"/>
    <w:basedOn w:val="Zadanifontodlomka"/>
    <w:rsid w:val="005614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148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14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14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261039">
      <w:bodyDiv w:val="true"/>
      <w:marLeft w:val="0"/>
      <w:marRight w:val="0"/>
      <w:marTop w:val="0"/>
      <w:marBottom w:val="0"/>
      <w:divBdr>
        <w:top w:space="0" w:sz="0" w:color="auto" w:val="none"/>
        <w:left w:space="0" w:sz="0" w:color="auto" w:val="none"/>
        <w:bottom w:space="0" w:sz="0" w:color="auto" w:val="none"/>
        <w:right w:space="0" w:sz="0" w:color="auto" w:val="none"/>
      </w:divBdr>
    </w:div>
    <w:div w:id="436369420">
      <w:bodyDiv w:val="true"/>
      <w:marLeft w:val="0"/>
      <w:marRight w:val="0"/>
      <w:marTop w:val="0"/>
      <w:marBottom w:val="0"/>
      <w:divBdr>
        <w:top w:space="0" w:sz="0" w:color="auto" w:val="none"/>
        <w:left w:space="0" w:sz="0" w:color="auto" w:val="none"/>
        <w:bottom w:space="0" w:sz="0" w:color="auto" w:val="none"/>
        <w:right w:space="0" w:sz="0" w:color="auto" w:val="none"/>
      </w:divBdr>
    </w:div>
    <w:div w:id="824709677">
      <w:bodyDiv w:val="true"/>
      <w:marLeft w:val="0"/>
      <w:marRight w:val="0"/>
      <w:marTop w:val="0"/>
      <w:marBottom w:val="0"/>
      <w:divBdr>
        <w:top w:space="0" w:sz="0" w:color="auto" w:val="none"/>
        <w:left w:space="0" w:sz="0" w:color="auto" w:val="none"/>
        <w:bottom w:space="0" w:sz="0" w:color="auto" w:val="none"/>
        <w:right w:space="0" w:sz="0" w:color="auto" w:val="none"/>
      </w:divBdr>
    </w:div>
    <w:div w:id="1693997051">
      <w:bodyDiv w:val="true"/>
      <w:marLeft w:val="0"/>
      <w:marRight w:val="0"/>
      <w:marTop w:val="0"/>
      <w:marBottom w:val="0"/>
      <w:divBdr>
        <w:top w:space="0" w:sz="0" w:color="auto" w:val="none"/>
        <w:left w:space="0" w:sz="0" w:color="auto" w:val="none"/>
        <w:bottom w:space="0" w:sz="0" w:color="auto" w:val="none"/>
        <w:right w:space="0" w:sz="0" w:color="auto" w:val="none"/>
      </w:divBdr>
    </w:div>
    <w:div w:id="179235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St-734/2012-238</izvorni_sadrzaj>
    <derivirana_varijabla naziv="DomainObject.Oznaka_1">St-734/2012-238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St-734/2012-238</izvorni_sadrzaj>
    <derivirana_varijabla naziv="DomainObject.PoslovniBrojDokumenta_1">St-734/2012-238</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St-734/2012-237</izvorni_sadrzaj>
    <derivirana_varijabla naziv="DomainObject.PredzadnjaOdlukaIzPredmeta.Oznaka_1">St-734/2012-237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3307</properties:Characters>
  <properties:Lines>84</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2019-03-14T10:33:00Z</dcterms:created>
  <dc:creator>Valentina Kranjčić</dc:creator>
  <cp:lastModifiedBy>Monika Grbac</cp:lastModifiedBy>
  <cp:lastPrinted>2019-03-14T10:45:00Z</cp:lastPrinted>
  <dcterms:modified xmlns:xsi="http://www.w3.org/2001/XMLSchema-instance" xsi:type="dcterms:W3CDTF">2019-03-18T06:19:00Z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St-734/2012-238 / Odluka - Rješenje - određivanje nagrade stečajnom upravitelju (st-734-12.docx)</vt:lpwstr>
  </prop:property>
  <prop:property name="CC_coloring" pid="4" fmtid="{D5CDD505-2E9C-101B-9397-08002B2CF9AE}">
    <vt:bool>true</vt:bool>
  </prop:property>
  <prop:property name="BrojStranica" pid="5" fmtid="{D5CDD505-2E9C-101B-9397-08002B2CF9AE}">
    <vt:i4>2</vt:i4>
  </prop:property>
</prop:Properties>
</file>