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63AAA" w:rsidRPr="00C61EDF">
        <w:trPr>
          <w:trHeight w:val="2231"/>
        </w:trPr>
        <w:tc>
          <w:tcPr>
            <w:tcW w:type="dxa" w:w="3369"/>
            <w:vAlign w:val="center"/>
          </w:tcPr>
          <w:p w:rsidRDefault="00B63AAA" w:rsidP="00A66C00" w:rsidR="00B63AA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63AAA" w:rsidP="00A66C00" w:rsidR="00B63AAA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63AAA" w:rsidP="00A66C00" w:rsidR="00B63AAA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63AAA" w:rsidP="00DA5B9D" w:rsidR="00B63AAA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63AAA" w:rsidP="00DA5B9D" w:rsidR="00B63AAA">
            <w:pPr>
              <w:jc w:val="both"/>
            </w:pPr>
          </w:p>
          <w:p w:rsidRDefault="00B63AAA" w:rsidP="00DA5B9D" w:rsidR="00B63AAA">
            <w:pPr>
              <w:jc w:val="both"/>
            </w:pPr>
          </w:p>
          <w:p w:rsidRDefault="00B63AAA" w:rsidP="00DA5B9D" w:rsidR="00B63AAA">
            <w:pPr>
              <w:jc w:val="both"/>
            </w:pPr>
          </w:p>
          <w:p w:rsidRDefault="00B63AAA" w:rsidP="00DA5B9D" w:rsidR="00B63AAA">
            <w:pPr>
              <w:jc w:val="right"/>
            </w:pPr>
          </w:p>
          <w:p w:rsidRDefault="00B63AAA" w:rsidP="00DA5B9D" w:rsidR="00B63AAA">
            <w:pPr>
              <w:jc w:val="right"/>
            </w:pPr>
          </w:p>
          <w:p w:rsidRDefault="00B63AAA" w:rsidP="00DA5B9D" w:rsidR="00B63AAA">
            <w:pPr>
              <w:jc w:val="right"/>
              <w:rPr>
                <w:noProof/>
              </w:rPr>
            </w:pPr>
          </w:p>
          <w:p w:rsidRDefault="00B63AAA" w:rsidP="00DA5B9D" w:rsidR="00B63AAA">
            <w:pPr>
              <w:jc w:val="right"/>
              <w:rPr>
                <w:noProof/>
              </w:rPr>
            </w:pPr>
          </w:p>
          <w:p w:rsidRDefault="00B63AAA" w:rsidP="00DA5B9D" w:rsidR="00B63AAA">
            <w:pPr>
              <w:jc w:val="right"/>
              <w:rPr>
                <w:noProof/>
                <w:sz w:val="24"/>
              </w:rPr>
            </w:pPr>
          </w:p>
          <w:p w:rsidRDefault="00B63AAA" w:rsidP="00B63AAA" w:rsidR="00B63AAA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15</w:t>
            </w:r>
            <w:r w:rsidRPr="00E003B6">
              <w:rPr>
                <w:noProof/>
                <w:sz w:val="24"/>
                <w:szCs w:val="24"/>
              </w:rPr>
              <w:t>/2017</w:t>
            </w:r>
            <w:r>
              <w:rPr>
                <w:noProof/>
                <w:sz w:val="24"/>
                <w:szCs w:val="24"/>
              </w:rPr>
              <w:t>-90</w:t>
            </w:r>
          </w:p>
        </w:tc>
      </w:tr>
    </w:tbl>
    <w:p w14:textId="45bb8a2" w14:paraId="45bb8a2" w:rsidRDefault="00646B20" w:rsidP="003D787B" w:rsidR="00646B20" w:rsidRPr="000F734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3D787B" w:rsidP="00EE72CA" w:rsidR="003D787B" w:rsidRPr="000F7346">
      <w:pPr>
        <w:pStyle w:val="Bezproreda"/>
        <w:spacing w:after="240"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0F7346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890814" w:rsidP="00EE72CA" w:rsidR="0097393A" w:rsidRPr="000F7346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0F7346" w:rsidR="0097393A" w:rsidRPr="000F73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0F7346">
        <w:rPr>
          <w:rFonts w:cs="Times New Roman" w:hAnsi="Times New Roman" w:ascii="Times New Roman"/>
          <w:sz w:val="24"/>
          <w:szCs w:val="24"/>
        </w:rPr>
        <w:t xml:space="preserve"> </w:t>
      </w:r>
      <w:r w:rsidRPr="000F7346"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0F7346">
        <w:rPr>
          <w:rFonts w:cs="Times New Roman" w:hAnsi="Times New Roman" w:ascii="Times New Roman"/>
          <w:sz w:val="24"/>
          <w:szCs w:val="24"/>
        </w:rPr>
        <w:t xml:space="preserve">, </w:t>
      </w:r>
      <w:r w:rsidR="00B63AAA" w:rsidRPr="00B63AAA">
        <w:rPr>
          <w:rFonts w:cs="Times New Roman" w:hAnsi="Times New Roman" w:ascii="Times New Roman"/>
          <w:sz w:val="24"/>
          <w:szCs w:val="24"/>
        </w:rPr>
        <w:t xml:space="preserve">u stečajnom postupku nad dužnikom KUPRIĆ d.o.o. u stečaju, OIB: 96106549521, Imotski, Kralja Tomislava 38, </w:t>
      </w:r>
      <w:r w:rsidR="001A30A7">
        <w:rPr>
          <w:rFonts w:cs="Times New Roman" w:hAnsi="Times New Roman" w:ascii="Times New Roman"/>
          <w:sz w:val="24"/>
          <w:szCs w:val="24"/>
        </w:rPr>
        <w:t>14</w:t>
      </w:r>
      <w:r w:rsidR="00B63AAA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B63AAA" w:rsidRPr="00B63AAA">
        <w:rPr>
          <w:rFonts w:cs="Times New Roman" w:hAnsi="Times New Roman" w:ascii="Times New Roman"/>
          <w:sz w:val="24"/>
          <w:szCs w:val="24"/>
        </w:rPr>
        <w:t>2019.</w:t>
      </w:r>
    </w:p>
    <w:p w:rsidRDefault="00890814" w:rsidP="00EE72CA" w:rsidR="00646B20" w:rsidRPr="000F7346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</w:t>
      </w:r>
      <w:r w:rsidR="00646B20" w:rsidRPr="000F7346">
        <w:rPr>
          <w:rFonts w:cs="Times New Roman" w:hAnsi="Times New Roman" w:ascii="Times New Roman"/>
          <w:sz w:val="24"/>
          <w:szCs w:val="24"/>
        </w:rPr>
        <w:t xml:space="preserve"> i o    j e</w:t>
      </w:r>
    </w:p>
    <w:p w:rsidRDefault="000F7346" w:rsidP="00B63AAA" w:rsidR="00B63AAA" w:rsidRPr="00B63A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Odobrava se stečajno</w:t>
      </w:r>
      <w:r w:rsidR="00B9214F">
        <w:rPr>
          <w:rFonts w:cs="Times New Roman" w:hAnsi="Times New Roman" w:ascii="Times New Roman"/>
          <w:sz w:val="24"/>
          <w:szCs w:val="24"/>
        </w:rPr>
        <w:t>m upravitelju</w:t>
      </w:r>
      <w:r w:rsidRPr="000F7346">
        <w:rPr>
          <w:rFonts w:cs="Times New Roman" w:hAnsi="Times New Roman" w:ascii="Times New Roman"/>
          <w:sz w:val="24"/>
          <w:szCs w:val="24"/>
        </w:rPr>
        <w:t xml:space="preserve"> podnošenje tužb</w:t>
      </w:r>
      <w:r w:rsidR="00E144A6">
        <w:rPr>
          <w:rFonts w:cs="Times New Roman" w:hAnsi="Times New Roman" w:ascii="Times New Roman"/>
          <w:sz w:val="24"/>
          <w:szCs w:val="24"/>
        </w:rPr>
        <w:t>e radi pobijanja pravne</w:t>
      </w:r>
      <w:r w:rsidRPr="000F7346">
        <w:rPr>
          <w:rFonts w:cs="Times New Roman" w:hAnsi="Times New Roman" w:ascii="Times New Roman"/>
          <w:sz w:val="24"/>
          <w:szCs w:val="24"/>
        </w:rPr>
        <w:t xml:space="preserve"> radnj</w:t>
      </w:r>
      <w:r w:rsidR="00E144A6">
        <w:rPr>
          <w:rFonts w:cs="Times New Roman" w:hAnsi="Times New Roman" w:ascii="Times New Roman"/>
          <w:sz w:val="24"/>
          <w:szCs w:val="24"/>
        </w:rPr>
        <w:t>e</w:t>
      </w:r>
      <w:r w:rsidRPr="000F7346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840EAD">
        <w:rPr>
          <w:rFonts w:cs="Times New Roman" w:hAnsi="Times New Roman" w:ascii="Times New Roman"/>
          <w:sz w:val="24"/>
          <w:szCs w:val="24"/>
        </w:rPr>
        <w:t xml:space="preserve"> i to</w:t>
      </w:r>
      <w:r w:rsidR="00E144A6">
        <w:rPr>
          <w:rFonts w:cs="Times New Roman" w:hAnsi="Times New Roman" w:ascii="Times New Roman"/>
          <w:sz w:val="24"/>
          <w:szCs w:val="24"/>
        </w:rPr>
        <w:t xml:space="preserve"> </w:t>
      </w:r>
      <w:r w:rsidR="00B63AAA" w:rsidRPr="00B63AAA">
        <w:rPr>
          <w:rFonts w:cs="Times New Roman" w:hAnsi="Times New Roman" w:ascii="Times New Roman"/>
          <w:sz w:val="24"/>
          <w:szCs w:val="24"/>
        </w:rPr>
        <w:t xml:space="preserve">Sporazuma o osiguranju novčane tražbine zasnivanjem založnog prava, odnosno prijenosom vlasništva nekretnina od 3. kolovoza 2009. </w:t>
      </w:r>
    </w:p>
    <w:p w:rsidRDefault="000F7346" w:rsidP="00B63AAA" w:rsidR="000F7346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63AAA" w:rsidP="00AA250E" w:rsidR="00B63AAA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63AAA">
        <w:rPr>
          <w:rFonts w:cs="Times New Roman" w:hAnsi="Times New Roman" w:ascii="Times New Roman"/>
          <w:sz w:val="24"/>
          <w:szCs w:val="24"/>
        </w:rPr>
        <w:t>Rješenjem ovoga suda poslovni broj 11.St-15/2017 od 5. prosinca 2017.otvoren je stečajni postupak nad dužnikom KUPRIĆ d.o.o., OIB: 96106549521, Imotski, Kralja Tomislava 38. Istim rješenjem za stečajnog upravitelja imenovan je Bože Guvo iz Splita.</w:t>
      </w:r>
    </w:p>
    <w:p w:rsidRDefault="008D1901" w:rsidP="00AA250E" w:rsidR="00B63AAA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Uz dopunu izvješća stečajnog upravitelja o gospodarskom položaju stečajnog dužnika od 3. travnja 2018. (listovi 220-234 spisa) stečajni upravitelj dostavio je i dopise Marije Jerončić Mandić, odvjetnice u Splitu, u kojima je ista dala pravno mišljenje o mogućnosti pobijanja pravne radnje stečajnog dužnika i to </w:t>
      </w:r>
      <w:r w:rsidRPr="008D1901">
        <w:rPr>
          <w:rFonts w:cs="Times New Roman" w:hAnsi="Times New Roman" w:ascii="Times New Roman"/>
          <w:sz w:val="24"/>
          <w:szCs w:val="24"/>
        </w:rPr>
        <w:t>Sporazuma o osiguranju novčane tražbine zasnivanjem založnog prava, odnosno prijenosom vlasništva nekretnina od 3. kolovoza 2009.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44A6" w:rsidP="00AA250E" w:rsidR="008D1901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8D1901">
        <w:rPr>
          <w:rFonts w:cs="Times New Roman" w:hAnsi="Times New Roman" w:ascii="Times New Roman"/>
          <w:sz w:val="24"/>
          <w:szCs w:val="24"/>
        </w:rPr>
        <w:t>skupštini vjerovnika</w:t>
      </w:r>
      <w:r w:rsidR="00422C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održano</w:t>
      </w:r>
      <w:r w:rsidR="008D1901">
        <w:rPr>
          <w:rFonts w:cs="Times New Roman" w:hAnsi="Times New Roman" w:ascii="Times New Roman"/>
          <w:sz w:val="24"/>
          <w:szCs w:val="24"/>
        </w:rPr>
        <w:t>j kod ovog suda</w:t>
      </w:r>
      <w:r w:rsidR="00B63AAA">
        <w:rPr>
          <w:rFonts w:cs="Times New Roman" w:hAnsi="Times New Roman" w:ascii="Times New Roman"/>
          <w:sz w:val="24"/>
          <w:szCs w:val="24"/>
        </w:rPr>
        <w:t xml:space="preserve"> </w:t>
      </w:r>
      <w:r w:rsidR="00422C96">
        <w:rPr>
          <w:rFonts w:cs="Times New Roman" w:hAnsi="Times New Roman" w:ascii="Times New Roman"/>
          <w:sz w:val="24"/>
          <w:szCs w:val="24"/>
        </w:rPr>
        <w:t>3. svibnja 2018</w:t>
      </w:r>
      <w:r w:rsidR="00B63AAA">
        <w:rPr>
          <w:rFonts w:cs="Times New Roman" w:hAnsi="Times New Roman" w:ascii="Times New Roman"/>
          <w:sz w:val="24"/>
          <w:szCs w:val="24"/>
        </w:rPr>
        <w:t>.</w:t>
      </w:r>
      <w:r w:rsidR="00422C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D1901">
        <w:rPr>
          <w:rFonts w:cs="Times New Roman" w:hAnsi="Times New Roman" w:ascii="Times New Roman"/>
          <w:sz w:val="24"/>
          <w:szCs w:val="24"/>
        </w:rPr>
        <w:t xml:space="preserve">jednoglasno je odgođeno donošenje odluke o pokretanju parnice radi pobijanja pravne radnje stečajnog dužnika, a do izrade vještva sudskog vještaka Daria Vučka o vrijednosti nekretnina u vlasništvu stečajnog dužnika, a koje bi bile predmetom ove parnice. </w:t>
      </w:r>
    </w:p>
    <w:p w:rsidRDefault="00A15710" w:rsidP="00AA250E" w:rsidR="00A15710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Uz podnesak od 26. srpnja 2018. stečajni upravitelj dostavio je vještvo stalnog </w:t>
      </w:r>
      <w:r w:rsidRPr="00A15710">
        <w:rPr>
          <w:rFonts w:cs="Times New Roman" w:hAnsi="Times New Roman" w:ascii="Times New Roman"/>
          <w:sz w:val="24"/>
          <w:szCs w:val="24"/>
        </w:rPr>
        <w:t>sudskog vještaka</w:t>
      </w:r>
      <w:r>
        <w:rPr>
          <w:rFonts w:cs="Times New Roman" w:hAnsi="Times New Roman" w:ascii="Times New Roman"/>
          <w:sz w:val="24"/>
          <w:szCs w:val="24"/>
        </w:rPr>
        <w:t xml:space="preserve"> za arhitekturu i graditeljstvo</w:t>
      </w:r>
      <w:r w:rsidRPr="00A15710">
        <w:rPr>
          <w:rFonts w:cs="Times New Roman" w:hAnsi="Times New Roman" w:ascii="Times New Roman"/>
          <w:sz w:val="24"/>
          <w:szCs w:val="24"/>
        </w:rPr>
        <w:t xml:space="preserve"> Daria Vučka</w:t>
      </w:r>
      <w:r>
        <w:rPr>
          <w:rFonts w:cs="Times New Roman" w:hAnsi="Times New Roman" w:ascii="Times New Roman"/>
          <w:sz w:val="24"/>
          <w:szCs w:val="24"/>
        </w:rPr>
        <w:t xml:space="preserve"> kojim su procijenjene nekretnine u vlasništvu stečajnog dužnik</w:t>
      </w:r>
      <w:r w:rsidR="00422C96">
        <w:rPr>
          <w:rFonts w:cs="Times New Roman" w:hAnsi="Times New Roman" w:ascii="Times New Roman"/>
          <w:sz w:val="24"/>
          <w:szCs w:val="24"/>
        </w:rPr>
        <w:t>a.</w:t>
      </w:r>
    </w:p>
    <w:p w:rsidRDefault="00422C96" w:rsidP="00AA250E" w:rsidR="00B63AAA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skupštini vjerovnika, održanoj kod ovog suda </w:t>
      </w:r>
      <w:r w:rsidRPr="00422C96">
        <w:rPr>
          <w:rFonts w:cs="Times New Roman" w:hAnsi="Times New Roman" w:ascii="Times New Roman"/>
          <w:sz w:val="24"/>
          <w:szCs w:val="24"/>
        </w:rPr>
        <w:t>29. siječnja 2019</w:t>
      </w:r>
      <w:r>
        <w:rPr>
          <w:rFonts w:cs="Times New Roman" w:hAnsi="Times New Roman" w:ascii="Times New Roman"/>
          <w:sz w:val="24"/>
          <w:szCs w:val="24"/>
        </w:rPr>
        <w:t xml:space="preserve">., većinom glasova nazočnih vjerovnika sa pravom glasa donesena je odluka da će stečajni upravitelj, uz prethodno pribavljenu suglasnost stečajnog suda, pokrenuti parnicu radi </w:t>
      </w:r>
      <w:r w:rsidR="00B63AAA" w:rsidRPr="00B63AAA">
        <w:rPr>
          <w:rFonts w:cs="Times New Roman" w:hAnsi="Times New Roman" w:ascii="Times New Roman"/>
          <w:sz w:val="24"/>
          <w:szCs w:val="24"/>
        </w:rPr>
        <w:t>pobijanja pravne radnje stečajnog dužnika i to Sporazuma o osiguranju novčane tražbine zasnivanjem založnog prava, odnosno prijenosom vlasništva nekretnina od 3. kolovoza 2009.</w:t>
      </w:r>
      <w:r>
        <w:rPr>
          <w:rFonts w:cs="Times New Roman" w:hAnsi="Times New Roman" w:ascii="Times New Roman"/>
          <w:sz w:val="24"/>
          <w:szCs w:val="24"/>
        </w:rPr>
        <w:t xml:space="preserve"> te da će za zastupanje u predmetnoj parnici angažirati odvjetnicu Mariju Jerončić Mandić iz Splita, a prema uvjetima iz ponude dostavljene uz podnesak stečajnog upravitelja od 28. veljače 2018.</w:t>
      </w:r>
    </w:p>
    <w:p w:rsidRDefault="00422C96" w:rsidP="00AA250E" w:rsidR="00AE2BCE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Podneskom od 1. veljače 2019. stečajni upravitelj zatražio je da sud, temeljem odredbi Stečajnog zakona i odluke skupštine vjerovnika od 30. siječnja 2019., odobri pokretanje parnice radi pobijanja</w:t>
      </w:r>
      <w:r w:rsidR="00672F2F">
        <w:rPr>
          <w:rFonts w:cs="Times New Roman" w:hAnsi="Times New Roman" w:ascii="Times New Roman"/>
          <w:sz w:val="24"/>
          <w:szCs w:val="24"/>
        </w:rPr>
        <w:t xml:space="preserve"> pravne radnje – predmetnog </w:t>
      </w:r>
      <w:r w:rsidR="00B63AAA">
        <w:rPr>
          <w:rFonts w:cs="Times New Roman" w:hAnsi="Times New Roman" w:ascii="Times New Roman"/>
          <w:sz w:val="24"/>
          <w:szCs w:val="24"/>
        </w:rPr>
        <w:t>Sporazuma o osiguranju novčane tražbine zasnivanjem založnog prava</w:t>
      </w:r>
      <w:r w:rsidR="00672F2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E2BCE" w:rsidP="00AA250E" w:rsidR="00AE2BCE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članka 212. stavka 1. </w:t>
      </w:r>
      <w:r w:rsidRPr="00AE2BCE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 xml:space="preserve"> propisano je da je stečajni upravitelj ovlašten pobijati pravne radnje stečajnog dužnika u ime stečajnog dužnika na temelju odobrenja suda.</w:t>
      </w:r>
    </w:p>
    <w:p w:rsidRDefault="00AE2BCE" w:rsidP="00AA250E" w:rsidR="00C5274F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pravnog mišljenja Marije Jerončić Mandić, odvjetnice </w:t>
      </w:r>
      <w:r w:rsidR="00AA250E">
        <w:rPr>
          <w:rFonts w:cs="Times New Roman" w:hAnsi="Times New Roman" w:ascii="Times New Roman"/>
          <w:sz w:val="24"/>
          <w:szCs w:val="24"/>
        </w:rPr>
        <w:t>u Splitu (listovi 227-229 spi</w:t>
      </w:r>
      <w:r w:rsidR="00C5274F">
        <w:rPr>
          <w:rFonts w:cs="Times New Roman" w:hAnsi="Times New Roman" w:ascii="Times New Roman"/>
          <w:sz w:val="24"/>
          <w:szCs w:val="24"/>
        </w:rPr>
        <w:t>sa), u bitnom proizlazi:</w:t>
      </w:r>
    </w:p>
    <w:p w:rsidRDefault="00AA250E" w:rsidP="00AA250E" w:rsidR="00C5274F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="00C5274F">
        <w:rPr>
          <w:rFonts w:cs="Times New Roman" w:hAnsi="Times New Roman" w:ascii="Times New Roman"/>
          <w:sz w:val="24"/>
          <w:szCs w:val="24"/>
        </w:rPr>
        <w:t>) u odnosu na ispunjenje općih pretpostavki za pobijanje predmetne pravne radnje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C5274F" w:rsidP="00AA250E" w:rsidR="00C5274F" w:rsidRPr="00AA250E">
      <w:pPr>
        <w:spacing w:lineRule="auto" w:line="240" w:after="0"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hAnsi="Times New Roman" w:ascii="Times New Roman"/>
          <w:sz w:val="24"/>
          <w:szCs w:val="24"/>
        </w:rPr>
        <w:t xml:space="preserve">- da je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rješenjem Trgovačkog suda u Splitu 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poslovni broj St-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15/2017. od 5. prosinca 2017.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otvoren stečajni postupak nad stečajnim dužnikom</w:t>
      </w:r>
    </w:p>
    <w:p w:rsidRDefault="00C5274F" w:rsidP="00AA250E" w:rsidR="00C5274F" w:rsidRPr="00AA250E">
      <w:pPr>
        <w:spacing w:lineRule="auto" w:line="240" w:after="0" w:before="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>- da je Sporazum o osiguranju novčane tražbine zasnivanjem založnog prava, odnosno prijenosom vlasništva nekretnina solemniz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 xml:space="preserve">iran po javnom bilježniku Branku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Jakić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u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pod brojem OV-12834/09 dana 11. kolovoza 2009. te da je temeljem istog pod brojem Z-487/09 od 13. kolovoza 2009. uknjiženo založno pravo u korist Slave Grabovac pok. Stipana, majke zakonskog zastupnika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 xml:space="preserve"> (i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jedinog osnivača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)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stečajnog dužnika, čime je pravna radnja poduzeta u posljednjih 10 godina prije podnošenja prijedloga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odnosno otvaranja stečajnog postupka</w:t>
      </w:r>
    </w:p>
    <w:p w:rsidRDefault="00C5274F" w:rsidP="00AA250E" w:rsidR="00C5274F" w:rsidRPr="00AA250E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- da je </w:t>
      </w:r>
      <w:r w:rsidRPr="00AA250E">
        <w:rPr>
          <w:rFonts w:cs="Times New Roman" w:hAnsi="Times New Roman" w:ascii="Times New Roman"/>
          <w:sz w:val="24"/>
          <w:szCs w:val="24"/>
        </w:rPr>
        <w:t>p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obijanom pravnom radnjom upisano pravo zaloga ra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di osiguranja novčane tražbine S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lave Grabovac prema Anti Grabovcu u iznosu od 2.400.000,00 kn na svim nekretninama u vlasništvu stečajnog dužnika i to :</w:t>
      </w:r>
    </w:p>
    <w:p w:rsidRDefault="00C5274F" w:rsidP="00AA250E" w:rsidR="00C5274F" w:rsidRPr="00AA250E">
      <w:pPr>
        <w:widowControl w:val="false"/>
        <w:autoSpaceDE w:val="false"/>
        <w:autoSpaceDN w:val="false"/>
        <w:adjustRightInd w:val="false"/>
        <w:spacing w:lineRule="auto" w:line="240" w:after="0"/>
        <w:ind w:firstLine="1416" w:left="2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>- k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 xml:space="preserve">at.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č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est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. 4385/12 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Z.U. 3063 K.O.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Tučepi</w:t>
      </w:r>
    </w:p>
    <w:p w:rsidRDefault="00AA250E" w:rsidP="00AA250E" w:rsidR="00C5274F">
      <w:pPr>
        <w:widowControl w:val="false"/>
        <w:autoSpaceDE w:val="false"/>
        <w:autoSpaceDN w:val="false"/>
        <w:adjustRightInd w:val="false"/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k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at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čest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3848/3 Z.U. 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1621 </w:t>
      </w:r>
      <w:r>
        <w:rPr>
          <w:rFonts w:cs="Times New Roman" w:eastAsia="Times New Roman" w:hAnsi="Times New Roman" w:ascii="Times New Roman"/>
          <w:sz w:val="24"/>
          <w:szCs w:val="24"/>
        </w:rPr>
        <w:t>K.O. P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roložac</w:t>
      </w:r>
    </w:p>
    <w:p w:rsidRDefault="00AA250E" w:rsidP="00AA250E" w:rsidR="00AA250E">
      <w:pPr>
        <w:widowControl w:val="false"/>
        <w:autoSpaceDE w:val="false"/>
        <w:autoSpaceDN w:val="false"/>
        <w:adjustRightInd w:val="false"/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kat. čest. 3028/7, kat. čest. 3028/9, kat. čest. 3028/10 i kat. čest. 3028/11, sve Z.U. 2769 K.O. Imotski – Glavina </w:t>
      </w:r>
    </w:p>
    <w:p w:rsidRDefault="00AA250E" w:rsidP="00AA250E" w:rsidR="00AA250E">
      <w:pPr>
        <w:widowControl w:val="false"/>
        <w:autoSpaceDE w:val="false"/>
        <w:autoSpaceDN w:val="false"/>
        <w:adjustRightInd w:val="false"/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kat. čest. 910 i kat. čest. 912, obje Z.U. 592 K.O. Podbablje</w:t>
      </w:r>
    </w:p>
    <w:p w:rsidRDefault="00AA250E" w:rsidP="00AA250E" w:rsidR="00AA250E">
      <w:pPr>
        <w:widowControl w:val="false"/>
        <w:autoSpaceDE w:val="false"/>
        <w:autoSpaceDN w:val="false"/>
        <w:adjustRightInd w:val="false"/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kat. čest. 908 i kat. čest. 911, obje Z.U. 2470 K.O. Podbablje</w:t>
      </w:r>
    </w:p>
    <w:p w:rsidRDefault="00C5274F" w:rsidP="00AA250E" w:rsidR="00C5274F" w:rsidRPr="00AA250E">
      <w:pPr>
        <w:widowControl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>č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ime su oštećeni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ostali stečajni vjerovnici jer je smanjena mogućnost njihova namirenja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budući da 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s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u predmetne nekretnine gotovo j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edina imovina stečajnog dužnika</w:t>
      </w:r>
    </w:p>
    <w:p w:rsidRDefault="00AA250E" w:rsidP="00AA250E" w:rsidR="00C5274F" w:rsidRPr="00AA250E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da bi se krajnji rezultat pobijanja pravne radnje trebao očitovati u povećanoj mogućnosti barem djelomičnog namirenja stečajnih vjerovnika prodajom nekretnina neopterećenih pravom zaloga, odnosno pravo</w:t>
      </w:r>
      <w:r>
        <w:rPr>
          <w:rFonts w:cs="Times New Roman" w:eastAsia="Times New Roman" w:hAnsi="Times New Roman" w:ascii="Times New Roman"/>
          <w:sz w:val="24"/>
          <w:szCs w:val="24"/>
        </w:rPr>
        <w:t>m odvojenog namirenja Slave Grabovac;</w:t>
      </w:r>
    </w:p>
    <w:p w:rsidRDefault="00AA250E" w:rsidP="00AA250E" w:rsidR="00C5274F" w:rsidRPr="00AA250E">
      <w:pPr>
        <w:widowControl w:val="false"/>
        <w:autoSpaceDE w:val="false"/>
        <w:autoSpaceDN w:val="false"/>
        <w:adjustRightInd w:val="false"/>
        <w:spacing w:lineRule="auto" w:line="240" w:after="0" w:before="1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>b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) </w:t>
      </w:r>
      <w:r>
        <w:rPr>
          <w:rFonts w:cs="Times New Roman" w:eastAsia="Times New Roman" w:hAnsi="Times New Roman" w:ascii="Times New Roman"/>
          <w:sz w:val="24"/>
          <w:szCs w:val="24"/>
        </w:rPr>
        <w:t>u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odnosu na ispunjenje posebnih pretpostavki za pobijanje predmetne pravne radnje iz čl</w:t>
      </w:r>
      <w:r>
        <w:rPr>
          <w:rFonts w:cs="Times New Roman" w:eastAsia="Times New Roman" w:hAnsi="Times New Roman" w:ascii="Times New Roman"/>
          <w:sz w:val="24"/>
          <w:szCs w:val="24"/>
        </w:rPr>
        <w:t>anka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203. Stečajnog zakona</w:t>
      </w:r>
      <w:r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AA250E" w:rsidP="00AA250E" w:rsidR="00C5274F" w:rsidRPr="00AA250E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da je u smislu odredbe članka 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202. Stečajnog zakona pravna radnja poduzeta s namjerom da se njome oštete v</w:t>
      </w:r>
      <w:r>
        <w:rPr>
          <w:rFonts w:cs="Times New Roman" w:eastAsia="Times New Roman" w:hAnsi="Times New Roman" w:ascii="Times New Roman"/>
          <w:sz w:val="24"/>
          <w:szCs w:val="24"/>
        </w:rPr>
        <w:t>jerovnici ukazuju okolnosti da S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lava Grabovac nema novčanu tražbinu prema stečajnom dužniku</w:t>
      </w:r>
      <w:r>
        <w:rPr>
          <w:rFonts w:cs="Times New Roman" w:eastAsia="Times New Roman" w:hAnsi="Times New Roman" w:ascii="Times New Roman"/>
          <w:sz w:val="24"/>
          <w:szCs w:val="24"/>
        </w:rPr>
        <w:t>,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već prema njegovom zakon</w:t>
      </w:r>
      <w:r>
        <w:rPr>
          <w:rFonts w:cs="Times New Roman" w:eastAsia="Times New Roman" w:hAnsi="Times New Roman" w:ascii="Times New Roman"/>
          <w:sz w:val="24"/>
          <w:szCs w:val="24"/>
        </w:rPr>
        <w:t>skom zastupniku te da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je pravna radnja poduzeta u vrijeme prijeteće nesposobnosti stečajnog dužnika za plaćanje dospjelih obveza pojedinih stečajnih vjerovnika</w:t>
      </w:r>
      <w:r>
        <w:rPr>
          <w:rFonts w:cs="Times New Roman" w:eastAsia="Times New Roman" w:hAnsi="Times New Roman" w:ascii="Times New Roman"/>
          <w:sz w:val="24"/>
          <w:szCs w:val="24"/>
        </w:rPr>
        <w:t>, iz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čega bi se moglo zaključiti da se oštećenje vjerovnika moglo očekivati, a koje okolnosti je </w:t>
      </w:r>
      <w:r>
        <w:rPr>
          <w:rFonts w:cs="Times New Roman" w:eastAsia="Times New Roman" w:hAnsi="Times New Roman" w:ascii="Times New Roman"/>
          <w:sz w:val="24"/>
          <w:szCs w:val="24"/>
        </w:rPr>
        <w:t>S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lava Grabovac kao majka zakonskog zastupnika </w:t>
      </w:r>
      <w:r>
        <w:rPr>
          <w:rFonts w:cs="Times New Roman" w:eastAsia="Times New Roman" w:hAnsi="Times New Roman" w:ascii="Times New Roman"/>
          <w:sz w:val="24"/>
          <w:szCs w:val="24"/>
        </w:rPr>
        <w:t>(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i jedinog osnivača</w:t>
      </w:r>
      <w:r>
        <w:rPr>
          <w:rFonts w:cs="Times New Roman" w:eastAsia="Times New Roman" w:hAnsi="Times New Roman" w:ascii="Times New Roman"/>
          <w:sz w:val="24"/>
          <w:szCs w:val="24"/>
        </w:rPr>
        <w:t>)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stečajnog dužnika znala ili morala znati</w:t>
      </w:r>
    </w:p>
    <w:p w:rsidRDefault="00C5274F" w:rsidP="00AA250E" w:rsidR="00C5274F" w:rsidRPr="00AA250E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>- da se u izvješću o financijskom stanju i poslo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vanju stečajnog dužnika predanom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FINA-i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radi pokretanja postupka predstečajne nagodbe navodi da 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Kuprić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d.o.o. Imotski 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i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ma neprekidnu blokadu žiro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računa otvorenog u S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plitskoj banci 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 xml:space="preserve">d.d.,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počev od 8. prosinca 2009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.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C5274F" w:rsidP="00AA250E" w:rsidR="00C5274F" w:rsidRPr="00AA250E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- da zakonski zastupnik stečajnog dužnika u stečajnom spisu navodi da je do poremećaja u poslovanju trgovačkog društva 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 xml:space="preserve">Kuprić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d.o.o. Imotski došlo 2008. na 2009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. uslijed krize n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a tržištu te nemogućno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sti okončanja započetih poslova, a iz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njegova iskaza nije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lastRenderedPageBreak/>
        <w:t>jasno je li stečajni dužnik bio u blokadi prije 8. prosinca 2009.</w:t>
      </w:r>
    </w:p>
    <w:p w:rsidRDefault="00C5274F" w:rsidP="00AA250E" w:rsidR="00C5274F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>- da iz prijava tražbina u predstečajnom postupku vjerovnika p</w:t>
      </w:r>
      <w:r w:rsidR="00AA250E">
        <w:rPr>
          <w:rFonts w:cs="Times New Roman" w:eastAsia="Times New Roman" w:hAnsi="Times New Roman" w:ascii="Times New Roman"/>
          <w:sz w:val="24"/>
          <w:szCs w:val="24"/>
        </w:rPr>
        <w:t>roizlazi da su imali dospjele ne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plaćene tražbine prije 11. kolovoza 2009.</w:t>
      </w:r>
    </w:p>
    <w:p w:rsidRDefault="003B58A4" w:rsidP="003B58A4" w:rsidR="00C5274F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da iz iznijetog proizlazi da 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postoje uvjeti za pobijanje pravne radnje - </w:t>
      </w:r>
      <w:r>
        <w:rPr>
          <w:rFonts w:cs="Times New Roman" w:eastAsia="Times New Roman" w:hAnsi="Times New Roman" w:ascii="Times New Roman"/>
          <w:sz w:val="24"/>
          <w:szCs w:val="24"/>
        </w:rPr>
        <w:t>S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porazuma o </w:t>
      </w:r>
      <w:r>
        <w:rPr>
          <w:rFonts w:cs="Times New Roman" w:eastAsia="Times New Roman" w:hAnsi="Times New Roman" w:ascii="Times New Roman"/>
          <w:sz w:val="24"/>
          <w:szCs w:val="24"/>
        </w:rPr>
        <w:t>osiguranju novčane tražbine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zasnivanjem založnog prava, odnosno prijenosom vlasništva nekretnina od 3. kolovoza 2009.</w:t>
      </w:r>
      <w:r>
        <w:rPr>
          <w:rFonts w:cs="Times New Roman" w:eastAsia="Times New Roman" w:hAnsi="Times New Roman" w:ascii="Times New Roman"/>
          <w:sz w:val="24"/>
          <w:szCs w:val="24"/>
        </w:rPr>
        <w:t>, kojim je S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lava Grabovac stekla založno pravo na nekretninama u vlasništvu stečajnog dužnika, pa pobojni zahtjev treba upraviti </w:t>
      </w:r>
      <w:r>
        <w:rPr>
          <w:rFonts w:cs="Times New Roman" w:eastAsia="Times New Roman" w:hAnsi="Times New Roman" w:ascii="Times New Roman"/>
          <w:sz w:val="24"/>
          <w:szCs w:val="24"/>
        </w:rPr>
        <w:t>n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a uklanjanje tih opterećenja, odnosno brisanje takvih upisa u zemljišnoj knjizi.</w:t>
      </w:r>
    </w:p>
    <w:p w:rsidRDefault="003B58A4" w:rsidP="003B58A4" w:rsidR="003B58A4">
      <w:pPr>
        <w:widowControl w:val="false"/>
        <w:autoSpaceDE w:val="false"/>
        <w:autoSpaceDN w:val="false"/>
        <w:adjustRightInd w:val="false"/>
        <w:spacing w:lineRule="auto" w:line="240" w:after="0" w:before="20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Odvjetnica Marija Jerončić Mandić dalje navodi da se za pobijanje pravne radnje dužnika po članku 203. SZ-a kumulativno moraju ispuniti pretpostavke:</w:t>
      </w:r>
    </w:p>
    <w:p w:rsidRDefault="003B58A4" w:rsidP="003B58A4" w:rsidR="003B58A4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da je radnja poduzeta bez naknade ili uz neznatnu naknadu</w:t>
      </w:r>
    </w:p>
    <w:p w:rsidRDefault="003B58A4" w:rsidP="003B58A4" w:rsidR="003B58A4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da je radnja poduzeta unutar četiri godine prije podnošenja prijedloga za otvaranje stečajnog postupka</w:t>
      </w:r>
    </w:p>
    <w:p w:rsidRDefault="003B58A4" w:rsidP="003B58A4" w:rsidR="003B58A4">
      <w:pPr>
        <w:widowControl w:val="false"/>
        <w:autoSpaceDE w:val="false"/>
        <w:autoSpaceDN w:val="false"/>
        <w:adjustRightInd w:val="false"/>
        <w:spacing w:lineRule="auto" w:line="240" w:after="0" w:before="4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da se radnjom objektivno oštećuju vjerovnici u stečaju.</w:t>
      </w:r>
    </w:p>
    <w:p w:rsidRDefault="003B58A4" w:rsidP="003B58A4" w:rsidR="003B58A4">
      <w:pPr>
        <w:widowControl w:val="false"/>
        <w:autoSpaceDE w:val="false"/>
        <w:autoSpaceDN w:val="false"/>
        <w:adjustRightInd w:val="false"/>
        <w:spacing w:lineRule="auto" w:line="240" w:after="0" w:before="20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konkretnom slučaju, radnja je poduzeta 13. kolovoza 2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009.</w:t>
      </w:r>
      <w:r>
        <w:rPr>
          <w:rFonts w:cs="Times New Roman" w:eastAsia="Times New Roman" w:hAnsi="Times New Roman" w:ascii="Times New Roman"/>
          <w:sz w:val="24"/>
          <w:szCs w:val="24"/>
        </w:rPr>
        <w:t>,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kada je zatražena uknjižba založnog prava, pri čemu </w:t>
      </w:r>
      <w:r>
        <w:rPr>
          <w:rFonts w:cs="Times New Roman" w:eastAsia="Times New Roman" w:hAnsi="Times New Roman" w:ascii="Times New Roman"/>
          <w:sz w:val="24"/>
          <w:szCs w:val="24"/>
        </w:rPr>
        <w:t>S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lava Grabovac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i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Ante Grabovac na temelju tog pravnog posla nisu dužni ispuniti stečajnom dužniku nikakvu protučinidbu, </w:t>
      </w:r>
      <w:r>
        <w:rPr>
          <w:rFonts w:cs="Times New Roman" w:eastAsia="Times New Roman" w:hAnsi="Times New Roman" w:ascii="Times New Roman"/>
          <w:sz w:val="24"/>
          <w:szCs w:val="24"/>
        </w:rPr>
        <w:t>čime je ispunjena prva pretpostavka. Sukladno članku 208. stavku 3.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SZ-a ukoliko je prije otvaranja stečajnog postupka vođen predstečajni postupak, rokovi se računaju od dana kada je podnesen prijedlog za otvaranje predstečajnog postupka. U odnosu na drugu pretpostavku postoj</w:t>
      </w:r>
      <w:r>
        <w:rPr>
          <w:rFonts w:cs="Times New Roman" w:eastAsia="Times New Roman" w:hAnsi="Times New Roman" w:ascii="Times New Roman"/>
          <w:sz w:val="24"/>
          <w:szCs w:val="24"/>
        </w:rPr>
        <w:t>e određene dvojbe o primjeni članka 208. stavka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3. SZ-a na računanje rokova kada je prethodno vođen postupak predstečajne nago</w:t>
      </w:r>
      <w:r>
        <w:rPr>
          <w:rFonts w:cs="Times New Roman" w:eastAsia="Times New Roman" w:hAnsi="Times New Roman" w:ascii="Times New Roman"/>
          <w:sz w:val="24"/>
          <w:szCs w:val="24"/>
        </w:rPr>
        <w:t>dbe. Ukoliko bi sud u postupk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e zauzeo sta</w:t>
      </w:r>
      <w:r>
        <w:rPr>
          <w:rFonts w:cs="Times New Roman" w:eastAsia="Times New Roman" w:hAnsi="Times New Roman" w:ascii="Times New Roman"/>
          <w:sz w:val="24"/>
          <w:szCs w:val="24"/>
        </w:rPr>
        <w:t>jalište da se citirana odredba članka 208. stavka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3</w:t>
      </w:r>
      <w:r>
        <w:rPr>
          <w:rFonts w:cs="Times New Roman" w:eastAsia="Times New Roman" w:hAnsi="Times New Roman" w:ascii="Times New Roman"/>
          <w:sz w:val="24"/>
          <w:szCs w:val="24"/>
        </w:rPr>
        <w:t>. SZ-a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može primijeniti i na računanje rokova od dana kada je podnesen prijed</w:t>
      </w:r>
      <w:r>
        <w:rPr>
          <w:rFonts w:cs="Times New Roman" w:eastAsia="Times New Roman" w:hAnsi="Times New Roman" w:ascii="Times New Roman"/>
          <w:sz w:val="24"/>
          <w:szCs w:val="24"/>
        </w:rPr>
        <w:t>log za pokretanje postupka pred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stečajne nagodbe </w:t>
      </w:r>
      <w:r>
        <w:rPr>
          <w:rFonts w:cs="Times New Roman" w:eastAsia="Times New Roman" w:hAnsi="Times New Roman" w:ascii="Times New Roman"/>
          <w:sz w:val="24"/>
          <w:szCs w:val="24"/>
        </w:rPr>
        <w:t>(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postupak je pokrenut 13. ožujka 2013.</w:t>
      </w:r>
      <w:r>
        <w:rPr>
          <w:rFonts w:cs="Times New Roman" w:eastAsia="Times New Roman" w:hAnsi="Times New Roman" w:ascii="Times New Roman"/>
          <w:sz w:val="24"/>
          <w:szCs w:val="24"/>
        </w:rPr>
        <w:t>)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>, tada bi pobijana prav</w:t>
      </w:r>
      <w:r>
        <w:rPr>
          <w:rFonts w:cs="Times New Roman" w:eastAsia="Times New Roman" w:hAnsi="Times New Roman" w:ascii="Times New Roman"/>
          <w:sz w:val="24"/>
          <w:szCs w:val="24"/>
        </w:rPr>
        <w:t>na radnja bila poduzeta unutar četiri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godine prije podnošenja prijedloga za otvaranje steč</w:t>
      </w:r>
      <w:r>
        <w:rPr>
          <w:rFonts w:cs="Times New Roman" w:eastAsia="Times New Roman" w:hAnsi="Times New Roman" w:ascii="Times New Roman"/>
          <w:sz w:val="24"/>
          <w:szCs w:val="24"/>
        </w:rPr>
        <w:t>ajnog</w:t>
      </w:r>
      <w:r w:rsidR="00C5274F" w:rsidRPr="00AA250E">
        <w:rPr>
          <w:rFonts w:cs="Times New Roman" w:eastAsia="Times New Roman" w:hAnsi="Times New Roman" w:ascii="Times New Roman"/>
          <w:sz w:val="24"/>
          <w:szCs w:val="24"/>
        </w:rPr>
        <w:t xml:space="preserve"> postupka. Da se radi o objektivnom oštećenju vjerovnika proizlazi iz činjenice da je pravnom radnjom, ekonomski gledano, smanjena mogućnost namirenja stečajnih vjerovnika iz prodaje založnim pravom opterećenih nekretnina.</w:t>
      </w:r>
    </w:p>
    <w:p w:rsidRDefault="00C5274F" w:rsidP="00854D5F" w:rsidR="00854D5F">
      <w:pPr>
        <w:widowControl w:val="false"/>
        <w:autoSpaceDE w:val="false"/>
        <w:autoSpaceDN w:val="false"/>
        <w:adjustRightInd w:val="false"/>
        <w:spacing w:lineRule="auto" w:line="240" w:after="0" w:before="200"/>
        <w:ind w:firstLine="601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A250E">
        <w:rPr>
          <w:rFonts w:cs="Times New Roman" w:eastAsia="Times New Roman" w:hAnsi="Times New Roman" w:ascii="Times New Roman"/>
          <w:sz w:val="24"/>
          <w:szCs w:val="24"/>
        </w:rPr>
        <w:t>Iz dopune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pravnog mišljenja odvjetnice Marije Jerončić Mandić, odvjetnice u Splitu (list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ovi 225-226 spisa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), u bitnom proizlazi da bi se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u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eventualnoj parnici radi pobijanja pravnih radnji tužbenim zahtjevom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tražilo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da se utvrdi da je bez učinka prema stečajnoj masi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Kuprić d.o.o. u stečaju S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porazum o osiguranju novčane tražbine zasnivanjem založnog prava, odnosno prijenosom vlasništva nekretnina solemniz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iran po javnom bilježniku Branku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Jakić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u poslovni broj OV-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12834/09 od 11. kolovoza 2009.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te uspostava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ranijeg zemljišnoknjižnog stanja na način da se briše pravo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 xml:space="preserve"> zaloga S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lave Grabovac sa nekretnina stečajnog dužnika. Hoće li se rezultat takvog pobijanja očitovati u povećanoj mogućnosti djelomičnog namirenja stečajnih vjerovnika iz unovčenja nekretnina neopterećenih s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a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pravom odvojenog namirenja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S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lave Grabovac,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 xml:space="preserve">da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ovisi o procjeni vrijednosti tih nekretnina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jer su iste opterećene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razlučnim pravima Republike Hrvatske, Imex banke i HPB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-a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. Naime,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iz zemljišnoknjižnih izvadaka da proizlazi da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Republika Hrvatska ima upisano pravo zaloga radi osiguranja novčane tražbine u iznosu od 1.044.513,68 kn sa zakonskim zateznim kamatama na iznos glavnice koje teku do isplate, kao i iznos od 10.000,00 kn na ime troškova postupka osiguranja na nekretninama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u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pisanim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 xml:space="preserve"> u Z.U. 1621 K.O. Proložac, Z.U. 592 i 2470 K.O. Podbablje te Z.U. 2769 K.O. Imotski-Glavina.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Ukoli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ko navedene nekretnine vrijede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manje od tražbine Republike Hrvatske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svrha pobijanja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 xml:space="preserve">da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se ne bi ostvarila jer se stečajni vjerovnici ne bi niti djelomično namirili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 xml:space="preserve">iz unovčenja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predmetnih nekretnina. Također, na nekretnin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 xml:space="preserve">ama upisanim u Z.U. 2769 K.O.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Imotski-Glavina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 xml:space="preserve">i Z.U. 3063 K.O. Tučepi,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da postoji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pravo zaloga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 xml:space="preserve">u korist HPB d.d. 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radi osiguranja novčane tražbine u iznosu od </w:t>
      </w:r>
      <w:r w:rsidR="003B58A4">
        <w:rPr>
          <w:rFonts w:cs="Times New Roman" w:eastAsia="Times New Roman" w:hAnsi="Times New Roman" w:ascii="Times New Roman"/>
          <w:sz w:val="24"/>
          <w:szCs w:val="24"/>
        </w:rPr>
        <w:t>2.500.000,00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kn. U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>koliko navedene nekretnine vri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jede manje od tražbina koje su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njima osigurane, stečajni vjerovnici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da se neće moći niti</w:t>
      </w:r>
      <w:r w:rsidRPr="00AA250E">
        <w:rPr>
          <w:rFonts w:cs="Times New Roman" w:eastAsia="Times New Roman" w:hAnsi="Times New Roman" w:ascii="Times New Roman"/>
          <w:sz w:val="24"/>
          <w:szCs w:val="24"/>
        </w:rPr>
        <w:t xml:space="preserve"> djelomično namiriti.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Z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 xml:space="preserve">abilježena je i ovrha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(pravo na namiren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>je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)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 xml:space="preserve"> Imex banke d.d. Split u iznosu od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 xml:space="preserve">33.679,26 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>EUR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-a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 xml:space="preserve"> u kunskoj protuvrijednosti po srednjem tečaju HNB-a na dan plaćanja, zajedno sa zakonskom zateznom kamatom koja na iznos glavnice od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19.6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>86,72 EUR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-a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 xml:space="preserve"> teče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 xml:space="preserve"> od 21. srpnja 2010. do isplate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 xml:space="preserve"> te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 xml:space="preserve">daljnjim troškovima ovrhe, a na 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 xml:space="preserve">temelju rješenja o ovrsi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poslovni broj Ovr-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>383/10 od 12. svibnja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 xml:space="preserve"> 2010. (sada Ovr-7742/2015). 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 xml:space="preserve">Ukoliko navedene nekretnine vrijede manje od tražbine radi čijeg namirenja se vodi ovršni postupak, stečajni vjerovnici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 xml:space="preserve">da 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 xml:space="preserve">se neće moći </w:t>
      </w:r>
      <w:r w:rsidR="00854D5F">
        <w:rPr>
          <w:rFonts w:cs="Times New Roman" w:eastAsia="Times New Roman" w:hAnsi="Times New Roman" w:ascii="Times New Roman"/>
          <w:sz w:val="24"/>
          <w:szCs w:val="24"/>
        </w:rPr>
        <w:t>ni</w:t>
      </w:r>
      <w:r w:rsidR="00854D5F" w:rsidRPr="00AA250E">
        <w:rPr>
          <w:rFonts w:cs="Times New Roman" w:eastAsia="Times New Roman" w:hAnsi="Times New Roman" w:ascii="Times New Roman"/>
          <w:sz w:val="24"/>
          <w:szCs w:val="24"/>
        </w:rPr>
        <w:t>ti djelomično namiriti.</w:t>
      </w:r>
    </w:p>
    <w:p w:rsidRDefault="000F7346" w:rsidP="00854D5F" w:rsidR="00890814">
      <w:pPr>
        <w:widowControl w:val="false"/>
        <w:autoSpaceDE w:val="false"/>
        <w:autoSpaceDN w:val="false"/>
        <w:adjustRightInd w:val="false"/>
        <w:spacing w:lineRule="auto" w:line="240" w:after="0" w:before="200"/>
        <w:ind w:firstLine="601"/>
        <w:jc w:val="both"/>
        <w:rPr>
          <w:rFonts w:cs="Times New Roman" w:hAnsi="Times New Roman" w:ascii="Times New Roman"/>
          <w:sz w:val="24"/>
          <w:szCs w:val="24"/>
        </w:rPr>
      </w:pPr>
      <w:r w:rsidRPr="00AA250E">
        <w:rPr>
          <w:rFonts w:cs="Times New Roman" w:hAnsi="Times New Roman" w:ascii="Times New Roman"/>
          <w:sz w:val="24"/>
          <w:szCs w:val="24"/>
        </w:rPr>
        <w:t xml:space="preserve">Ocjenjujući da je </w:t>
      </w:r>
      <w:r w:rsidR="00890814" w:rsidRPr="00AA250E">
        <w:rPr>
          <w:rFonts w:cs="Times New Roman" w:hAnsi="Times New Roman" w:ascii="Times New Roman"/>
          <w:sz w:val="24"/>
          <w:szCs w:val="24"/>
        </w:rPr>
        <w:t xml:space="preserve">ovakvom argumentacijom </w:t>
      </w:r>
      <w:r w:rsidR="00EB315E">
        <w:rPr>
          <w:rFonts w:cs="Times New Roman" w:hAnsi="Times New Roman" w:ascii="Times New Roman"/>
          <w:sz w:val="24"/>
          <w:szCs w:val="24"/>
        </w:rPr>
        <w:t>učinjeno</w:t>
      </w:r>
      <w:r w:rsidR="00890814" w:rsidRPr="00AE2BCE">
        <w:rPr>
          <w:rFonts w:cs="Times New Roman" w:hAnsi="Times New Roman" w:ascii="Times New Roman"/>
          <w:sz w:val="24"/>
          <w:szCs w:val="24"/>
        </w:rPr>
        <w:t xml:space="preserve"> vjerojatnim postojanje općih i posebnih pretpostavki za pobijanje predmetne pravne radnje stečajnog dužnika </w:t>
      </w:r>
      <w:r w:rsidR="00AE2BCE">
        <w:rPr>
          <w:rFonts w:cs="Times New Roman" w:hAnsi="Times New Roman" w:ascii="Times New Roman"/>
          <w:sz w:val="24"/>
          <w:szCs w:val="24"/>
        </w:rPr>
        <w:t xml:space="preserve">- </w:t>
      </w:r>
      <w:r w:rsidR="00AE2BCE" w:rsidRPr="00AE2BCE">
        <w:rPr>
          <w:rFonts w:cs="Times New Roman" w:hAnsi="Times New Roman" w:ascii="Times New Roman"/>
          <w:sz w:val="24"/>
          <w:szCs w:val="24"/>
        </w:rPr>
        <w:t>Sporazuma o osiguranju novčane tražbine zasnivanjem založnog prava, odnosno prijenosom vlasništva nekretnina od 3. kolovoza 2009.</w:t>
      </w:r>
      <w:r w:rsidR="00AE2BCE">
        <w:rPr>
          <w:rFonts w:cs="Times New Roman" w:hAnsi="Times New Roman" w:ascii="Times New Roman"/>
          <w:sz w:val="24"/>
          <w:szCs w:val="24"/>
        </w:rPr>
        <w:t xml:space="preserve"> </w:t>
      </w:r>
      <w:r w:rsidR="00890814" w:rsidRPr="00AE2BCE">
        <w:rPr>
          <w:rFonts w:cs="Times New Roman" w:hAnsi="Times New Roman" w:ascii="Times New Roman"/>
          <w:sz w:val="24"/>
          <w:szCs w:val="24"/>
        </w:rPr>
        <w:t xml:space="preserve">te uzimajući u obzir i da je skupština vjerovnika u ovom stečajnom postupku </w:t>
      </w:r>
      <w:r w:rsidR="00AE2BCE">
        <w:rPr>
          <w:rFonts w:cs="Times New Roman" w:hAnsi="Times New Roman" w:ascii="Times New Roman"/>
          <w:sz w:val="24"/>
          <w:szCs w:val="24"/>
        </w:rPr>
        <w:t>29. siječnja 2019.</w:t>
      </w:r>
      <w:r w:rsidR="00890814" w:rsidRPr="00AE2BCE">
        <w:rPr>
          <w:rFonts w:cs="Times New Roman" w:hAnsi="Times New Roman" w:ascii="Times New Roman"/>
          <w:sz w:val="24"/>
          <w:szCs w:val="24"/>
        </w:rPr>
        <w:t xml:space="preserve"> donijela odluku kojom se daje suglasnost stečajnom upravitelju za podnošenje </w:t>
      </w:r>
      <w:r w:rsidR="00AE2BCE">
        <w:rPr>
          <w:rFonts w:cs="Times New Roman" w:hAnsi="Times New Roman" w:ascii="Times New Roman"/>
          <w:sz w:val="24"/>
          <w:szCs w:val="24"/>
        </w:rPr>
        <w:t>predmetne tužbe</w:t>
      </w:r>
      <w:r w:rsidR="00890814" w:rsidRPr="00AE2BCE">
        <w:rPr>
          <w:rFonts w:cs="Times New Roman" w:hAnsi="Times New Roman" w:ascii="Times New Roman"/>
          <w:sz w:val="24"/>
          <w:szCs w:val="24"/>
        </w:rPr>
        <w:t xml:space="preserve">, </w:t>
      </w:r>
      <w:r w:rsidR="00AE2BCE">
        <w:rPr>
          <w:rFonts w:cs="Times New Roman" w:hAnsi="Times New Roman" w:ascii="Times New Roman"/>
          <w:sz w:val="24"/>
          <w:szCs w:val="24"/>
        </w:rPr>
        <w:t xml:space="preserve">to je temeljem odredbe članka </w:t>
      </w:r>
      <w:r w:rsidR="00890814" w:rsidRPr="00AE2BCE">
        <w:rPr>
          <w:rFonts w:cs="Times New Roman" w:hAnsi="Times New Roman" w:ascii="Times New Roman"/>
          <w:sz w:val="24"/>
          <w:szCs w:val="24"/>
        </w:rPr>
        <w:t>212. s</w:t>
      </w:r>
      <w:r w:rsidR="00AE2BCE">
        <w:rPr>
          <w:rFonts w:cs="Times New Roman" w:hAnsi="Times New Roman" w:ascii="Times New Roman"/>
          <w:sz w:val="24"/>
          <w:szCs w:val="24"/>
        </w:rPr>
        <w:t>tavka</w:t>
      </w:r>
      <w:r w:rsidR="00890814" w:rsidRPr="00AE2BCE">
        <w:rPr>
          <w:rFonts w:cs="Times New Roman" w:hAnsi="Times New Roman" w:ascii="Times New Roman"/>
          <w:sz w:val="24"/>
          <w:szCs w:val="24"/>
        </w:rPr>
        <w:t xml:space="preserve"> 1</w:t>
      </w:r>
      <w:r w:rsidRPr="00AE2BCE">
        <w:rPr>
          <w:rFonts w:cs="Times New Roman" w:hAnsi="Times New Roman" w:ascii="Times New Roman"/>
          <w:sz w:val="24"/>
          <w:szCs w:val="24"/>
        </w:rPr>
        <w:t xml:space="preserve">. </w:t>
      </w:r>
      <w:r w:rsidR="00890814" w:rsidRPr="00AE2BCE">
        <w:rPr>
          <w:rFonts w:cs="Times New Roman" w:hAnsi="Times New Roman" w:ascii="Times New Roman"/>
          <w:sz w:val="24"/>
          <w:szCs w:val="24"/>
        </w:rPr>
        <w:t>SZ-a odlučeno kao u izreci ovog rješenja.</w:t>
      </w:r>
    </w:p>
    <w:p w:rsidRDefault="006B7C8D" w:rsidP="00890814" w:rsidR="006B7C8D" w:rsidRPr="000F7346">
      <w:pPr>
        <w:spacing w:lineRule="auto" w:line="240" w:after="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U Splitu</w:t>
      </w:r>
      <w:r w:rsidR="00AE2BCE">
        <w:rPr>
          <w:rFonts w:cs="Times New Roman" w:hAnsi="Times New Roman" w:ascii="Times New Roman"/>
          <w:sz w:val="24"/>
          <w:szCs w:val="24"/>
        </w:rPr>
        <w:t xml:space="preserve"> 1</w:t>
      </w:r>
      <w:r w:rsidR="001A30A7">
        <w:rPr>
          <w:rFonts w:cs="Times New Roman" w:hAnsi="Times New Roman" w:ascii="Times New Roman"/>
          <w:sz w:val="24"/>
          <w:szCs w:val="24"/>
        </w:rPr>
        <w:t>4</w:t>
      </w:r>
      <w:r w:rsidR="00B63AAA">
        <w:rPr>
          <w:rFonts w:cs="Times New Roman" w:hAnsi="Times New Roman" w:ascii="Times New Roman"/>
          <w:sz w:val="24"/>
          <w:szCs w:val="24"/>
        </w:rPr>
        <w:t>. veljače 2019.</w:t>
      </w:r>
    </w:p>
    <w:p w:rsidRDefault="00B63AAA" w:rsidP="00890814" w:rsidR="006B7C8D" w:rsidRPr="000F7346">
      <w:pPr>
        <w:spacing w:lineRule="auto" w:line="240" w:after="0"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>Sutkinja</w:t>
      </w:r>
    </w:p>
    <w:p w:rsidRDefault="00B63AAA" w:rsidP="00946A95" w:rsidR="00946A95" w:rsidRPr="00946A95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 xml:space="preserve">Ana </w:t>
      </w:r>
      <w:r w:rsidRPr="00946A95">
        <w:rPr>
          <w:rFonts w:cs="Times New Roman" w:hAnsi="Times New Roman" w:ascii="Times New Roman"/>
          <w:sz w:val="24"/>
          <w:szCs w:val="24"/>
        </w:rPr>
        <w:t>Golub Gruić</w:t>
      </w:r>
      <w:r w:rsidR="00946A95" w:rsidRPr="00946A95">
        <w:rPr>
          <w:rFonts w:cs="Times New Roman" w:hAnsi="Times New Roman" w:ascii="Times New Roman"/>
          <w:sz w:val="24"/>
          <w:szCs w:val="24"/>
        </w:rPr>
        <w:t>, v.r.</w:t>
      </w:r>
    </w:p>
    <w:p w:rsidRDefault="00946A95" w:rsidP="00946A95" w:rsidR="00946A95" w:rsidRPr="00946A95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946A95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946A95" w:rsidP="00946A95" w:rsidR="00946A95" w:rsidRPr="00946A95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946A95">
        <w:rPr>
          <w:rFonts w:cs="Times New Roman" w:hAnsi="Times New Roman" w:ascii="Times New Roman"/>
          <w:sz w:val="24"/>
          <w:szCs w:val="24"/>
        </w:rPr>
        <w:t>Ana Bosančić</w:t>
      </w:r>
    </w:p>
    <w:p w:rsidRDefault="006B7C8D" w:rsidP="006B7C8D" w:rsidR="006B7C8D" w:rsidRPr="000F734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0F73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346">
        <w:rPr>
          <w:rFonts w:cs="Times New Roman" w:hAnsi="Times New Roman" w:ascii="Times New Roman"/>
          <w:sz w:val="24"/>
          <w:szCs w:val="24"/>
        </w:rPr>
        <w:tab/>
      </w:r>
      <w:r w:rsidRPr="000F7346">
        <w:rPr>
          <w:rFonts w:cs="Times New Roman" w:hAnsi="Times New Roman" w:ascii="Times New Roman"/>
          <w:sz w:val="24"/>
          <w:szCs w:val="24"/>
        </w:rPr>
        <w:tab/>
      </w:r>
      <w:r w:rsidRPr="000F7346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B63AAA" w:rsidP="00890814" w:rsidR="008908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Pr="00890814">
        <w:rPr>
          <w:rFonts w:cs="Times New Roman" w:hAnsi="Times New Roman" w:ascii="Times New Roman"/>
          <w:sz w:val="24"/>
          <w:szCs w:val="24"/>
        </w:rPr>
        <w:t xml:space="preserve"> o pravnom lijeku</w:t>
      </w:r>
      <w:r w:rsidR="00890814" w:rsidRPr="00890814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90814" w:rsidP="00890814" w:rsidR="00890814" w:rsidRPr="008908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B9214F" w:rsidR="00890814" w:rsidRPr="0089081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399821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9214F" w:rsidP="00B63AAA" w:rsidR="00B9214F" w:rsidRPr="00B9214F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B9214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9214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9214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6A95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B9214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B63AAA">
          <w:rPr>
            <w:rFonts w:cs="Times New Roman" w:hAnsi="Times New Roman" w:ascii="Times New Roman"/>
            <w:sz w:val="24"/>
            <w:szCs w:val="24"/>
          </w:rPr>
          <w:tab/>
          <w:t>Poslovni broj: 11.St-15/2017-90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CA7"/>
    <w:multiLevelType w:val="hybridMultilevel"/>
    <w:tmpl w:val="712282B6"/>
    <w:lvl w:tplc="10527B7A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1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80F34F5"/>
    <w:multiLevelType w:val="hybridMultilevel"/>
    <w:tmpl w:val="139E014E"/>
    <w:lvl w:tplc="B6F20084" w:ilvl="0">
      <w:numFmt w:val="bullet"/>
      <w:lvlText w:val="-"/>
      <w:lvlJc w:val="left"/>
      <w:pPr>
        <w:ind w:hanging="360" w:left="10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0C6580"/>
    <w:rsid w:val="000F7346"/>
    <w:rsid w:val="00115B73"/>
    <w:rsid w:val="00137D05"/>
    <w:rsid w:val="001826F0"/>
    <w:rsid w:val="001A30A7"/>
    <w:rsid w:val="001B632D"/>
    <w:rsid w:val="002218F8"/>
    <w:rsid w:val="002279DA"/>
    <w:rsid w:val="002A6F85"/>
    <w:rsid w:val="002A742F"/>
    <w:rsid w:val="003022B9"/>
    <w:rsid w:val="0034567D"/>
    <w:rsid w:val="00347CAB"/>
    <w:rsid w:val="00347F0E"/>
    <w:rsid w:val="00385730"/>
    <w:rsid w:val="003B58A4"/>
    <w:rsid w:val="003C5EE7"/>
    <w:rsid w:val="003D787B"/>
    <w:rsid w:val="00422C96"/>
    <w:rsid w:val="0048081D"/>
    <w:rsid w:val="004A4B64"/>
    <w:rsid w:val="004E1852"/>
    <w:rsid w:val="00507696"/>
    <w:rsid w:val="00516892"/>
    <w:rsid w:val="0057018E"/>
    <w:rsid w:val="0059567F"/>
    <w:rsid w:val="005B1DE5"/>
    <w:rsid w:val="00613AAC"/>
    <w:rsid w:val="0064688C"/>
    <w:rsid w:val="00646B20"/>
    <w:rsid w:val="00672F2F"/>
    <w:rsid w:val="006B7C8D"/>
    <w:rsid w:val="0077277F"/>
    <w:rsid w:val="0079766F"/>
    <w:rsid w:val="00840EAD"/>
    <w:rsid w:val="00854D5F"/>
    <w:rsid w:val="00886E80"/>
    <w:rsid w:val="00890814"/>
    <w:rsid w:val="008C3540"/>
    <w:rsid w:val="008D1901"/>
    <w:rsid w:val="00923A34"/>
    <w:rsid w:val="0094428C"/>
    <w:rsid w:val="00946A95"/>
    <w:rsid w:val="009553AF"/>
    <w:rsid w:val="0097393A"/>
    <w:rsid w:val="00986179"/>
    <w:rsid w:val="009A2EC0"/>
    <w:rsid w:val="009B0594"/>
    <w:rsid w:val="009B0D74"/>
    <w:rsid w:val="009B3C47"/>
    <w:rsid w:val="009D0CD2"/>
    <w:rsid w:val="00A15710"/>
    <w:rsid w:val="00A16C86"/>
    <w:rsid w:val="00A40557"/>
    <w:rsid w:val="00A53F50"/>
    <w:rsid w:val="00A60D8F"/>
    <w:rsid w:val="00A93074"/>
    <w:rsid w:val="00AA250E"/>
    <w:rsid w:val="00AE2BCE"/>
    <w:rsid w:val="00AF094B"/>
    <w:rsid w:val="00B15E7C"/>
    <w:rsid w:val="00B507CF"/>
    <w:rsid w:val="00B63AAA"/>
    <w:rsid w:val="00B726F7"/>
    <w:rsid w:val="00B9214F"/>
    <w:rsid w:val="00B928CD"/>
    <w:rsid w:val="00B9772A"/>
    <w:rsid w:val="00BA72BB"/>
    <w:rsid w:val="00BC650D"/>
    <w:rsid w:val="00C0749D"/>
    <w:rsid w:val="00C47AE4"/>
    <w:rsid w:val="00C5274F"/>
    <w:rsid w:val="00CF212C"/>
    <w:rsid w:val="00D47DCF"/>
    <w:rsid w:val="00DA6DF5"/>
    <w:rsid w:val="00E11A2F"/>
    <w:rsid w:val="00E144A6"/>
    <w:rsid w:val="00E4510A"/>
    <w:rsid w:val="00EB315E"/>
    <w:rsid w:val="00EE72C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3AA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2F2F"/>
    <w:pPr>
      <w:ind w:left="720"/>
      <w:contextualSpacing/>
    </w:pPr>
  </w:style>
  <w:style w:styleId="Reetkatablice" w:type="table">
    <w:name w:val="Table Grid"/>
    <w:basedOn w:val="Obinatablica"/>
    <w:rsid w:val="00B63AA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6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A9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6A95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6A9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6A9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3AA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2F2F"/>
    <w:pPr>
      <w:ind w:left="720"/>
      <w:contextualSpacing/>
    </w:pPr>
  </w:style>
  <w:style w:styleId="Reetkatablice" w:type="table">
    <w:name w:val="Table Grid"/>
    <w:basedOn w:val="Obinatablica"/>
    <w:rsid w:val="00B63AA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6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A9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6A9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6A9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6A9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KUPRIĆ, d.o.o. za građevinarstvo, trgovinu i ugostiteljstvo u stečaju</izvorni_sadrzaj>
    <derivirana_varijabla naziv="DomainObject.Predmet.ProtustrankaFormated_1">  KUPRIĆ, d.o.o. za građevinarstvo, trgovinu i ugostiteljstvo u stečaju</derivirana_varijabla>
  </DomainObject.Predmet.ProtustrankaFormated>
  <DomainObject.Predmet.ProtustrankaFormatedOIB>
    <izvorni_sadrzaj>  KUPRIĆ, d.o.o. za građevinarstvo, trgovinu i ugostiteljstvo u stečaju, OIB 96106549521</izvorni_sadrzaj>
    <derivirana_varijabla naziv="DomainObject.Predmet.ProtustrankaFormatedOIB_1">  KUPRIĆ, d.o.o. za građevinarstvo, trgovinu i ugostiteljstvo u stečaju, OIB 96106549521</derivirana_varijabla>
  </DomainObject.Predmet.ProtustrankaFormatedOIB>
  <DomainObject.Predmet.ProtustrankaFormatedWithAdress>
    <izvorni_sadrzaj> KUPRIĆ, d.o.o. za građevinarstvo, trgovinu i ugostiteljstvo u stečaju, Kralja Tomislava 38, 21260 Imotski</izvorni_sadrzaj>
    <derivirana_varijabla naziv="DomainObject.Predmet.ProtustrankaFormatedWithAdress_1"> KUPRIĆ, d.o.o. za građevinarstvo, trgovinu i ugostiteljstvo u stečaju, Kralja Tomislava 38, 21260 Imotski</derivirana_varijabla>
  </DomainObject.Predmet.ProtustrankaFormatedWithAdress>
  <DomainObject.Predmet.ProtustrankaFormatedWithAdressOIB>
    <izvorni_sadrzaj> KUPRIĆ, d.o.o. za građevinarstvo, trgovinu i ugostiteljstvo u stečaju, OIB 96106549521, Kralja Tomislava 38, 21260 Imotski</izvorni_sadrzaj>
    <derivirana_varijabla naziv="DomainObject.Predmet.ProtustrankaFormatedWithAdressOIB_1"> KUPRIĆ, d.o.o. za građevinarstvo, trgovinu i ugostiteljstvo u stečaju, OIB 96106549521, Kralja Tomislava 38, 21260 Imotski</derivirana_varijabla>
  </DomainObject.Predmet.ProtustrankaFormatedWithAdressOIB>
  <DomainObject.Predmet.ProtustrankaWithAdress>
    <izvorni_sadrzaj>KUPRIĆ, d.o.o. za građevinarstvo, trgovinu i ugostiteljstvo u stečaju Kralja Tomislava 38, 21260 Imotski</izvorni_sadrzaj>
    <derivirana_varijabla naziv="DomainObject.Predmet.ProtustrankaWithAdress_1">KUPRIĆ, d.o.o. za građevinarstvo, trgovinu i ugostiteljstvo u stečaju Kralja Tomislava 38, 21260 Imotski</derivirana_varijabla>
  </DomainObject.Predmet.ProtustrankaWithAdress>
  <DomainObject.Predmet.ProtustrankaWithAdressOIB>
    <izvorni_sadrzaj>KUPRIĆ, d.o.o. za građevinarstvo, trgovinu i ugostiteljstvo u stečaju, OIB 96106549521, Kralja Tomislava 38, 21260 Imotski</izvorni_sadrzaj>
    <derivirana_varijabla naziv="DomainObject.Predmet.ProtustrankaWithAdressOIB_1">KUPRIĆ, d.o.o. za građevinarstvo, trgovinu i ugostiteljstvo u stečaju, OIB 96106549521, Kralja Tomislava 38, 21260 Imotski</derivirana_varijabla>
  </DomainObject.Predmet.ProtustrankaWithAdressOIB>
  <DomainObject.Predmet.ProtustrankaNazivFormated>
    <izvorni_sadrzaj>KUPRIĆ, d.o.o. za građevinarstvo, trgovinu i ugostiteljstvo u stečaju</izvorni_sadrzaj>
    <derivirana_varijabla naziv="DomainObject.Predmet.ProtustrankaNazivFormated_1">KUPRIĆ, d.o.o. za građevinarstvo, trgovinu i ugostiteljstvo u stečaju</derivirana_varijabla>
  </DomainObject.Predmet.ProtustrankaNazivFormated>
  <DomainObject.Predmet.ProtustrankaNazivFormatedOIB>
    <izvorni_sadrzaj>KUPRIĆ, d.o.o. za građevinarstvo, trgovinu i ugostiteljstvo u stečaju, OIB 96106549521</izvorni_sadrzaj>
    <derivirana_varijabla naziv="DomainObject.Predmet.ProtustrankaNazivFormatedOIB_1">KUPRIĆ, d.o.o. za građevinarstvo, trgovinu i ugostiteljstvo u stečaju,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</izvorni_sadrzaj>
    <derivirana_varijabla naziv="DomainObject.Predmet.StrankaFormated_1">  FINANCIJSKA AGENCIJA, RC SPLIT, Podružnica Split; Ministarstvo financija RH</derivirana_varijabla>
  </DomainObject.Predmet.StrankaFormated>
  <DomainObject.Predmet.StrankaFormatedOIB>
    <izvorni_sadrzaj>  FINANCIJSKA AGENCIJA, RC SPLIT, Podružnica Split, OIB 85821130368; Ministarstvo financija RH, OIB 18683136487</izvorni_sadrzaj>
    <derivirana_varijabla naziv="DomainObject.Predmet.StrankaFormatedOIB_1">  FINANCIJSKA AGENCIJA, RC SPLIT, Podružnica Split, OIB 85821130368; Ministarstvo financija RH, OIB 18683136487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</izvorni_sadrzaj>
    <derivirana_varijabla naziv="DomainObject.Predmet.StrankaFormatedWithAdress_1"> FINANCIJSKA AGENCIJA, RC SPLIT,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SPLIT, Podružnica Split</item>
      <item>Ministarstvo financija RH</item>
    </izvorni_sadrzaj>
    <derivirana_varijabla naziv="DomainObject.Predmet.StrankaListFormated_1">
      <item>FINANCIJSKA AGENCIJA, RC SPLIT, Podružnica Split</item>
      <item>Ministarstvo financija RH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</item>
    </izvorni_sadrzaj>
    <derivirana_varijabla naziv="DomainObject.Predmet.StrankaListFormatedOIB_1">
      <item>FINANCIJSKA AGENCIJA, RC SPLIT,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KUPRIĆ, d.o.o. za građevinarstvo, trgovinu i ugostiteljstvo u stečaju</item>
    </izvorni_sadrzaj>
    <derivirana_varijabla naziv="DomainObject.Predmet.ProtuStrankaListFormated_1">
      <item>KUPRIĆ, d.o.o. za građevinarstvo, trgovinu i ugostiteljstvo u stečaju</item>
    </derivirana_varijabla>
  </DomainObject.Predmet.ProtuStrankaListFormated>
  <DomainObject.Predmet.ProtuStrankaListFormatedOIB>
    <izvorni_sadrzaj>
      <item>KUPRIĆ, d.o.o. za građevinarstvo, trgovinu i ugostiteljstvo u stečaju, OIB 96106549521</item>
    </izvorni_sadrzaj>
    <derivirana_varijabla naziv="DomainObject.Predmet.ProtuStrankaListFormatedOIB_1">
      <item>KUPRIĆ, d.o.o. za građevinarstvo, trgovinu i ugostiteljstvo u stečaju, OIB 96106549521</item>
    </derivirana_varijabla>
  </DomainObject.Predmet.ProtuStrankaListFormatedOIB>
  <DomainObject.Predmet.ProtuStrankaListFormatedWithAdress>
    <izvorni_sadrzaj>
      <item>KUPRIĆ, d.o.o. za građevinarstvo, trgovinu i ugostiteljstvo u stečaju, Kralja Tomislava 38, 21260 Imotski</item>
    </izvorni_sadrzaj>
    <derivirana_varijabla naziv="DomainObject.Predmet.ProtuStrankaListFormatedWithAdress_1">
      <item>KUPRIĆ, d.o.o. za građevinarstvo, trgovinu i ugostiteljstvo u stečaju,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 u stečaju, OIB 96106549521, Kralja Tomislava 38, 21260 Imotski</item>
    </izvorni_sadrzaj>
    <derivirana_varijabla naziv="DomainObject.Predmet.ProtuStrankaListFormatedWithAdressOIB_1">
      <item>KUPRIĆ, d.o.o. za građevinarstvo, trgovinu i ugostiteljstvo u stečaju,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 u stečaju</item>
    </izvorni_sadrzaj>
    <derivirana_varijabla naziv="DomainObject.Predmet.ProtuStrankaListNazivFormated_1">
      <item>KUPRIĆ, d.o.o. za građevinarstvo, trgovinu i ugostiteljstvo u stečaju</item>
    </derivirana_varijabla>
  </DomainObject.Predmet.ProtuStrankaListNazivFormated>
  <DomainObject.Predmet.ProtuStrankaListNazivFormatedOIB>
    <izvorni_sadrzaj>
      <item>KUPRIĆ, d.o.o. za građevinarstvo, trgovinu i ugostiteljstvo u stečaju, OIB 96106549521</item>
    </izvorni_sadrzaj>
    <derivirana_varijabla naziv="DomainObject.Predmet.ProtuStrankaListNazivFormatedOIB_1">
      <item>KUPRIĆ, d.o.o. za građevinarstvo, trgovinu i ugostiteljstvo u stečaju, OIB 96106549521</item>
    </derivirana_varijabla>
  </DomainObject.Predmet.ProtuStrankaListNazivFormatedOIB>
  <DomainObject.Predmet.OstaliListFormated>
    <izvorni_sadrzaj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OstaliListFormated_1"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OstaliListFormated>
  <DomainObject.Predmet.OstaliListFormatedOIB>
    <izvorni_sadrzaj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FormatedOIB_1"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derivirana_varijabla>
  </DomainObject.Predmet.OstaliListFormatedOIB>
  <DomainObject.Predmet.OstaliListFormatedWithAdress>
    <izvorni_sadrzaj>
      <item>Odvjetničko društvo KNEZOVIĆ &amp; Partneri j.t.d., Radnička cesta 54, 10000 Zagreb</item>
      <item>Ante Grabovac, Glavina Donja 52a, 21260 Glavina Donja</item>
      <item>Toni Babić, Gorička 12, 21000 Split</item>
      <item>IMEX BANKA dioničko društvo, Tolstojeva 6, 21000 Split</item>
      <item>CROATIA osiguranje d.d., Vatroslava Jagića 33, 10000 Zagreb</item>
      <item>TOMIĆ &amp; KLIŠANIN &amp; PARTNERI d.o.o., Radnička cesta 52, 10000 Zagreb</item>
    </izvorni_sadrzaj>
    <derivirana_varijabla naziv="DomainObject.Predmet.OstaliListFormatedWithAdress_1">
      <item>Odvjetničko društvo KNEZOVIĆ &amp; Partneri j.t.d., Radnička cesta 54, 10000 Zagreb</item>
      <item>Ante Grabovac, Glavina Donja 52a, 21260 Glavina Donja</item>
      <item>Toni Babić, Gorička 12, 21000 Split</item>
      <item>IMEX BANKA dioničko društvo, Tolstojeva 6, 21000 Split</item>
      <item>CROATIA osiguranje d.d., Vatroslava Jagića 33, 10000 Zagreb</item>
      <item>TOMIĆ &amp; KLIŠANIN &amp; PARTNERI d.o.o., Radnička cesta 52, 10000 Zagreb</item>
    </derivirana_varijabla>
  </DomainObject.Predmet.OstaliListFormatedWithAdress>
  <DomainObject.Predmet.OstaliListFormatedWithAdressOIB>
    <izvorni_sadrzaj>
      <item>Odvjetničko društvo KNEZOVIĆ &amp; Partneri j.t.d., OIB 53392825913, Radnička cesta 54, 10000 Zagreb</item>
      <item>Ante Grabovac, OIB 89654656744, Glavina Donja 52a, 21260 Glavina Donja</item>
      <item>Toni Babić, OIB 09000293534, Gorička 12, 21000 Split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izvorni_sadrzaj>
    <derivirana_varijabla naziv="DomainObject.Predmet.OstaliListFormatedWithAdressOIB_1">
      <item>Odvjetničko društvo KNEZOVIĆ &amp; Partneri j.t.d., OIB 53392825913, Radnička cesta 54, 10000 Zagreb</item>
      <item>Ante Grabovac, OIB 89654656744, Glavina Donja 52a, 21260 Glavina Donja</item>
      <item>Toni Babić, OIB 09000293534, Gorička 12, 21000 Split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derivirana_varijabla>
  </DomainObject.Predmet.OstaliListFormatedWithAdressOIB>
  <DomainObject.Predmet.OstaliListNazivFormated>
    <izvorni_sadrzaj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OstaliListNazivFormated_1"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OstaliListNazivFormated>
  <DomainObject.Predmet.OstaliListNazivFormatedOIB>
    <izvorni_sadrzaj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NazivFormatedOIB_1"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KUPRIĆ, d.o.o. za građevinarstvo, trgovinu i ugostiteljstvo u stečaju</izvorni_sadrzaj>
    <derivirana_varijabla naziv="DomainObject.Predmet.ProtustrankaIDrugi_1">KUPRIĆ, d.o.o. za građevinarstvo, trgovinu i ugostiteljstvo u stečaju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KUPRIĆ, d.o.o. za građevinarstvo, trgovinu i ugostiteljstvo u stečaju, OIB 96106549521, Kralja Tomislava 38, 21260 Imotski</izvorni_sadrzaj>
    <derivirana_varijabla naziv="DomainObject.Predmet.ProtustrankaIDrugiAdressOIB_1">KUPRIĆ, d.o.o. za građevinarstvo, trgovinu i ugostiteljstvo u stečaju,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SudioniciListNaziv_1"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SudioniciListNaziv>
  <DomainObject.Predmet.SudioniciListAdressOIB>
    <izvorni_sadrzaj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Ante Grabovac, OIB 89654656744, Glavina Donja 52a,21260 Glavina Donja</item>
      <item>Toni Babić, OIB 09000293534, Gorička 12,21000 Split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izvorni_sadrzaj>
    <derivirana_varijabla naziv="DomainObject.Predmet.SudioniciListAdressOIB_1"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Ante Grabovac, OIB 89654656744, Glavina Donja 52a,21260 Glavina Donja</item>
      <item>Toni Babić, OIB 09000293534, Gorička 12,21000 Split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96106549521</item>
      <item>, OIB 85821130368</item>
      <item>, OIB 53392825913</item>
      <item>, OIB 18683136487</item>
      <item>, OIB 89654656744</item>
      <item>, OIB 09000293534</item>
      <item>, OIB 99326633206</item>
      <item>, OIB 26187994862</item>
      <item>, OIB null</item>
    </izvorni_sadrzaj>
    <derivirana_varijabla naziv="DomainObject.Predmet.SudioniciListNazivOIB_1">
      <item>, OIB 96106549521</item>
      <item>, OIB 85821130368</item>
      <item>, OIB 53392825913</item>
      <item>, OIB 18683136487</item>
      <item>, OIB 89654656744</item>
      <item>, OIB 09000293534</item>
      <item>, OIB 99326633206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St-15/2017-80</izvorni_sadrzaj>
    <derivirana_varijabla naziv="DomainObject.PredzadnjaOdlukaIzPredmeta.Oznaka_1">St-15/2017-80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CFB68-032F-48EB-AE5D-1FC4143EA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1696</properties:Words>
  <properties:Characters>10009</properties:Characters>
  <properties:Lines>169</properties:Lines>
  <properties:Paragraphs>48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2019-02-14T09:27:00Z</cp:lastPrinted>
  <dcterms:modified xmlns:xsi="http://www.w3.org/2001/XMLSchema-instance" xsi:type="dcterms:W3CDTF">2019-02-14T09:27:00Z</dcterms:modified>
  <cp:revision>67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suglasnost za pobijanje pravnih radnji (St-15-2017 Rješenje - pobijanje pravnih radnji.docx)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