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e42f" w14:paraId="bf4e42f" w:rsidRDefault="00CD224E" w:rsidP="00CD224E" w:rsidR="00CD224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24E" w:rsidP="00CD224E" w:rsidR="00CD224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D224E" w:rsidP="00CD224E" w:rsidR="00CD224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D224E" w:rsidP="00CD224E" w:rsidR="00CD224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D224E" w:rsidP="00CD224E" w:rsidR="00CD224E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CD224E" w:rsidP="00CD224E" w:rsidR="00CD224E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D224E" w:rsidP="00CD224E" w:rsidR="00CD224E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CD224E" w:rsidP="00CD224E" w:rsidR="00CD224E" w:rsidRPr="00AD71A8">
      <w:pPr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HEMMING d. o. o. Kanfanar, Draguzeti 13 B, OIB 03803513693, MBS 040215561, odlučujući o žalbi i prijedlogu za otvaranje stečajnog postupka osobe ovlaštene za zastupanje </w:t>
      </w:r>
      <w:r>
        <w:rPr>
          <w:rFonts w:cs="Times New Roman" w:eastAsia="Times New Roman"/>
          <w:szCs w:val="24"/>
          <w:lang w:eastAsia="hr-HR"/>
        </w:rPr>
        <w:t>dužnika po zakonu do dana nastupanja pravnih posljedica otvaranja stečajnog postupka Helen Irene Hemming iz Velike Britanije</w:t>
      </w:r>
      <w:r w:rsidRPr="00CD224E">
        <w:rPr>
          <w:rFonts w:cs="Times New Roman" w:eastAsia="Times New Roman"/>
          <w:szCs w:val="24"/>
          <w:lang w:eastAsia="hr-HR"/>
        </w:rPr>
        <w:t xml:space="preserve"> i Sj. Irska, Oakhayes, Higher Blannicombe,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D224E">
        <w:rPr>
          <w:rFonts w:cs="Times New Roman" w:eastAsia="Times New Roman"/>
          <w:szCs w:val="24"/>
          <w:lang w:eastAsia="hr-HR"/>
        </w:rPr>
        <w:t>Honiton, Devon EX14 9TS,</w:t>
      </w:r>
      <w:r>
        <w:rPr>
          <w:rFonts w:cs="Times New Roman" w:eastAsia="Times New Roman"/>
          <w:szCs w:val="24"/>
          <w:lang w:eastAsia="hr-HR"/>
        </w:rPr>
        <w:t xml:space="preserve"> OIB 04156049751, izjavljenoj 22. travnja 2016. protiv ovosudnog rješenja posl. br. 9 St-792/2015-5 od 11. travnja 2016., 3. lipnja 2016.</w:t>
      </w:r>
    </w:p>
    <w:p w:rsidRDefault="00CD224E" w:rsidP="00CD224E" w:rsidR="00CD224E" w:rsidRPr="00AD71A8">
      <w:pPr>
        <w:rPr>
          <w:rFonts w:cs="Times New Roman" w:eastAsia="Times New Roman"/>
          <w:szCs w:val="24"/>
          <w:lang w:eastAsia="hr-HR"/>
        </w:rPr>
      </w:pPr>
    </w:p>
    <w:p w:rsidRDefault="00CD224E" w:rsidP="00CD224E" w:rsidR="00CD224E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CD224E" w:rsidP="00CD224E" w:rsidR="00CD224E">
      <w:pPr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Odbija se žalba osobe ovlaštene za zastupanje dužnika po zakonu do dana nastupanja pravnih posljedica otvaranja stečajnog postupka od </w:t>
      </w:r>
      <w:r w:rsidR="00433BDE">
        <w:rPr>
          <w:rFonts w:cs="Times New Roman" w:eastAsia="Times New Roman"/>
          <w:szCs w:val="24"/>
          <w:lang w:eastAsia="hr-HR"/>
        </w:rPr>
        <w:t>22. travnja</w:t>
      </w:r>
      <w:r>
        <w:rPr>
          <w:rFonts w:cs="Times New Roman" w:eastAsia="Times New Roman"/>
          <w:szCs w:val="24"/>
          <w:lang w:eastAsia="hr-HR"/>
        </w:rPr>
        <w:t xml:space="preserve"> 2016. kao neosnovana i potvrđuje ovosudno rješenje posl. br. </w:t>
      </w:r>
      <w:r w:rsidR="00433BDE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433BDE">
        <w:rPr>
          <w:rFonts w:cs="Times New Roman" w:eastAsia="Times New Roman"/>
          <w:szCs w:val="24"/>
          <w:lang w:eastAsia="hr-HR"/>
        </w:rPr>
        <w:t>792</w:t>
      </w:r>
      <w:r>
        <w:rPr>
          <w:rFonts w:cs="Times New Roman" w:eastAsia="Times New Roman"/>
          <w:szCs w:val="24"/>
          <w:lang w:eastAsia="hr-HR"/>
        </w:rPr>
        <w:t xml:space="preserve">/2015-5 od </w:t>
      </w:r>
      <w:r w:rsidR="00433BDE">
        <w:rPr>
          <w:rFonts w:cs="Times New Roman" w:eastAsia="Times New Roman"/>
          <w:szCs w:val="24"/>
          <w:lang w:eastAsia="hr-HR"/>
        </w:rPr>
        <w:t>11. travnja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CD224E" w:rsidP="00CD224E" w:rsidR="00CD224E">
      <w:pPr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II. Odbacuje se prijedlog </w:t>
      </w:r>
      <w:r w:rsidR="00433BDE">
        <w:rPr>
          <w:rFonts w:cs="Times New Roman" w:eastAsia="Times New Roman"/>
          <w:szCs w:val="24"/>
          <w:lang w:eastAsia="hr-HR"/>
        </w:rPr>
        <w:t>za provođenje redovnog stečajnog postupka od 22. travnja 2016.</w:t>
      </w:r>
    </w:p>
    <w:p w:rsidRDefault="00CD224E" w:rsidP="00CD224E" w:rsidR="00CD224E">
      <w:pPr>
        <w:rPr>
          <w:rFonts w:cs="Times New Roman" w:eastAsia="Times New Roman"/>
          <w:szCs w:val="24"/>
          <w:lang w:eastAsia="hr-HR"/>
        </w:rPr>
      </w:pPr>
    </w:p>
    <w:p w:rsidRDefault="00433BDE" w:rsidP="00CD224E" w:rsidR="00433BDE" w:rsidRPr="00AD71A8">
      <w:pPr>
        <w:rPr>
          <w:rFonts w:cs="Times New Roman" w:eastAsia="Times New Roman"/>
          <w:szCs w:val="24"/>
          <w:lang w:eastAsia="hr-HR"/>
        </w:rPr>
      </w:pPr>
    </w:p>
    <w:p w:rsidRDefault="00CD224E" w:rsidP="00CD224E" w:rsidR="00CD224E" w:rsidRPr="00AD71A8">
      <w:pPr>
        <w:jc w:val="center"/>
      </w:pPr>
      <w:r w:rsidRPr="00AD71A8">
        <w:t>Obrazloženje</w:t>
      </w: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Pobijanim rješenjem posl. br. </w:t>
      </w:r>
      <w:r w:rsidR="00433BDE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433BDE">
        <w:rPr>
          <w:rFonts w:cs="Times New Roman" w:eastAsia="Times New Roman"/>
          <w:szCs w:val="24"/>
          <w:lang w:eastAsia="hr-HR"/>
        </w:rPr>
        <w:t>972</w:t>
      </w:r>
      <w:r>
        <w:rPr>
          <w:rFonts w:cs="Times New Roman" w:eastAsia="Times New Roman"/>
          <w:szCs w:val="24"/>
          <w:lang w:eastAsia="hr-HR"/>
        </w:rPr>
        <w:t xml:space="preserve">/2015-5 od </w:t>
      </w:r>
      <w:r w:rsidR="00433BDE">
        <w:rPr>
          <w:rFonts w:cs="Times New Roman" w:eastAsia="Times New Roman"/>
          <w:szCs w:val="24"/>
          <w:lang w:eastAsia="hr-HR"/>
        </w:rPr>
        <w:t>11. travnja</w:t>
      </w:r>
      <w:r>
        <w:rPr>
          <w:rFonts w:cs="Times New Roman" w:eastAsia="Times New Roman"/>
          <w:szCs w:val="24"/>
          <w:lang w:eastAsia="hr-HR"/>
        </w:rPr>
        <w:t xml:space="preserve"> 2016., koje je na temelju odredbe čl. 435. st. 1. Stečajnog zakona (Narodne novine br. 71/15, nadalje SZ) donijeto po sudskoj savjetnici ovog suda, istovremeno je otvoren i zaključen skraćeni stečajni postupak nad dužnikom </w:t>
      </w:r>
      <w:r w:rsidR="00433BDE">
        <w:rPr>
          <w:rFonts w:cs="Times New Roman" w:eastAsia="Times New Roman"/>
          <w:szCs w:val="24"/>
        </w:rPr>
        <w:t>HEMMING</w:t>
      </w:r>
      <w:r>
        <w:rPr>
          <w:rFonts w:cs="Times New Roman" w:eastAsia="Times New Roman"/>
          <w:szCs w:val="24"/>
        </w:rPr>
        <w:t xml:space="preserve"> d. o. o. </w:t>
      </w:r>
      <w:r w:rsidR="00433BDE">
        <w:rPr>
          <w:rFonts w:cs="Times New Roman" w:eastAsia="Times New Roman"/>
          <w:szCs w:val="24"/>
        </w:rPr>
        <w:t>Kanfanar</w:t>
      </w:r>
      <w:r>
        <w:rPr>
          <w:rFonts w:cs="Times New Roman" w:eastAsia="Times New Roman"/>
          <w:szCs w:val="24"/>
          <w:lang w:eastAsia="hr-HR"/>
        </w:rPr>
        <w:t>, imenovan je stečajni upravitelj te je određeno da će se po pravomoćnosti tog rješenja dužnik brisati iz sudskog registra.</w:t>
      </w:r>
    </w:p>
    <w:p w:rsidRDefault="00CD224E" w:rsidP="00CD224E" w:rsidR="00CD224E" w:rsidRPr="00B9156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obrazloženju rješenja je navedeno da je sud povodom zahtjeva Financijske agencije (</w:t>
      </w:r>
      <w:r w:rsidRPr="00E90D85">
        <w:rPr>
          <w:rFonts w:cs="Times New Roman" w:eastAsia="Times New Roman"/>
          <w:szCs w:val="24"/>
          <w:lang w:eastAsia="hr-HR"/>
        </w:rPr>
        <w:t>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 podnijetog na temelju čl. 444. st. 1. SZ-a, budući da su za to bile ispunjene pretpostavke predviđene čl. 428. SZ-a, </w:t>
      </w:r>
      <w:r w:rsidRPr="00B91567">
        <w:rPr>
          <w:rFonts w:cs="Times New Roman" w:eastAsia="Times New Roman"/>
          <w:szCs w:val="24"/>
          <w:lang w:eastAsia="hr-HR"/>
        </w:rPr>
        <w:t xml:space="preserve">sukladno </w:t>
      </w:r>
      <w:r>
        <w:rPr>
          <w:rFonts w:cs="Times New Roman" w:eastAsia="Times New Roman"/>
          <w:szCs w:val="24"/>
          <w:lang w:eastAsia="hr-HR"/>
        </w:rPr>
        <w:t xml:space="preserve">odredbi </w:t>
      </w:r>
      <w:r w:rsidRPr="00B91567">
        <w:rPr>
          <w:rFonts w:cs="Times New Roman" w:eastAsia="Times New Roman"/>
          <w:szCs w:val="24"/>
          <w:lang w:eastAsia="hr-HR"/>
        </w:rPr>
        <w:t xml:space="preserve">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433BDE">
        <w:rPr>
          <w:rFonts w:cs="Times New Roman" w:eastAsia="Times New Roman"/>
          <w:szCs w:val="24"/>
          <w:lang w:eastAsia="hr-HR"/>
        </w:rPr>
        <w:t>11. siječnja 2016.</w:t>
      </w:r>
      <w:r>
        <w:rPr>
          <w:rFonts w:cs="Times New Roman" w:eastAsia="Times New Roman"/>
          <w:szCs w:val="24"/>
          <w:lang w:eastAsia="hr-HR"/>
        </w:rPr>
        <w:t xml:space="preserve"> objavio </w:t>
      </w:r>
      <w:r w:rsidRPr="00B91567">
        <w:rPr>
          <w:rFonts w:cs="Times New Roman" w:eastAsia="Times New Roman"/>
          <w:szCs w:val="24"/>
          <w:lang w:eastAsia="hr-HR"/>
        </w:rPr>
        <w:t>oglas posl. br. 11 St-</w:t>
      </w:r>
      <w:r w:rsidR="00433BDE">
        <w:rPr>
          <w:rFonts w:cs="Times New Roman" w:eastAsia="Times New Roman"/>
          <w:szCs w:val="24"/>
          <w:lang w:eastAsia="hr-HR"/>
        </w:rPr>
        <w:t>792/2015-3</w:t>
      </w:r>
      <w:r w:rsidRPr="00B91567">
        <w:rPr>
          <w:rFonts w:cs="Times New Roman" w:eastAsia="Times New Roman"/>
          <w:szCs w:val="24"/>
          <w:lang w:eastAsia="hr-HR"/>
        </w:rPr>
        <w:t xml:space="preserve"> 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  <w:lang w:eastAsia="hr-HR"/>
        </w:rPr>
        <w:t xml:space="preserve"> Kako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</w:t>
      </w:r>
      <w:r w:rsidRPr="00B91567">
        <w:rPr>
          <w:rFonts w:cs="Times New Roman" w:eastAsia="Times New Roman"/>
          <w:szCs w:val="24"/>
          <w:lang w:eastAsia="hr-HR"/>
        </w:rPr>
        <w:lastRenderedPageBreak/>
        <w:t xml:space="preserve">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>SZ-a prema kojoj se za dužnika u takvim slučajevima smatra da je nesposoban za plaćanje, a na temelju</w:t>
      </w:r>
      <w:r w:rsidRPr="00B91567">
        <w:rPr>
          <w:rFonts w:cs="Times New Roman" w:eastAsia="Times New Roman"/>
          <w:szCs w:val="24"/>
          <w:lang w:eastAsia="hr-HR"/>
        </w:rPr>
        <w:t xml:space="preserve"> 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istovremeno je otvoren i zaključen skraćeni stečajni postupak na dužnikom, imenovan je stečajni upravitelj te je određeno da će se po pravomoćnosti tog rješenja dužnik brisati iz sudskog registra.</w:t>
      </w: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224E" w:rsidP="00CD224E" w:rsidR="00433BD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po zakonu do dana nastupanja pravnih posljedica otvaranja stečajnog postupka izjavila je </w:t>
      </w:r>
      <w:r w:rsidR="00433BDE">
        <w:rPr>
          <w:rFonts w:cs="Times New Roman" w:eastAsia="Times New Roman"/>
          <w:szCs w:val="24"/>
          <w:lang w:eastAsia="hr-HR"/>
        </w:rPr>
        <w:t>22. travnja</w:t>
      </w:r>
      <w:r>
        <w:rPr>
          <w:rFonts w:cs="Times New Roman" w:eastAsia="Times New Roman"/>
          <w:szCs w:val="24"/>
          <w:lang w:eastAsia="hr-HR"/>
        </w:rPr>
        <w:t xml:space="preserve"> 2016. žalbu. U žalbi je </w:t>
      </w:r>
      <w:r w:rsidR="00433BDE">
        <w:rPr>
          <w:rFonts w:cs="Times New Roman" w:eastAsia="Times New Roman"/>
          <w:szCs w:val="24"/>
          <w:lang w:eastAsia="hr-HR"/>
        </w:rPr>
        <w:t>navedeno da se rješenje napada žalbom zbog nepotpuno utvrđenog činjeničnog stanja</w:t>
      </w: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potpuna i pravodobna, ali prema stavu ovog suda neosnovana.</w:t>
      </w: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Iz sadržaja spisa proizlazi da je na temelju zahtjeva Financijske agencije (podnijetog na temelju čl. 444.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1. rujna 2015. imao </w:t>
      </w:r>
      <w:r w:rsidRPr="00FB2CA9">
        <w:t xml:space="preserve">evidentirane neizvršene osnove za plaćanje u neprekinutom razdoblju </w:t>
      </w:r>
      <w:r>
        <w:t xml:space="preserve">od </w:t>
      </w:r>
      <w:r w:rsidR="00433BDE">
        <w:t xml:space="preserve">650 </w:t>
      </w:r>
      <w:r>
        <w:t xml:space="preserve">dana u iznosu </w:t>
      </w:r>
      <w:r w:rsidR="00433BDE">
        <w:t>59.708,69</w:t>
      </w:r>
      <w:r>
        <w:t xml:space="preserve"> kuna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>a (</w:t>
      </w:r>
      <w:r w:rsidR="00433BDE">
        <w:rPr>
          <w:rFonts w:cs="Times New Roman" w:eastAsia="Times New Roman"/>
          <w:szCs w:val="24"/>
          <w:lang w:eastAsia="hr-HR"/>
        </w:rPr>
        <w:t xml:space="preserve">list 2 spisa), pa je,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433BDE">
        <w:rPr>
          <w:rFonts w:cs="Times New Roman" w:eastAsia="Times New Roman"/>
          <w:szCs w:val="24"/>
          <w:lang w:eastAsia="hr-HR"/>
        </w:rPr>
        <w:t>11. siječnja 2016.</w:t>
      </w:r>
      <w:r>
        <w:rPr>
          <w:rFonts w:cs="Times New Roman" w:eastAsia="Times New Roman"/>
          <w:szCs w:val="24"/>
          <w:lang w:eastAsia="hr-HR"/>
        </w:rPr>
        <w:t xml:space="preserve"> objavio</w:t>
      </w:r>
      <w:r w:rsidRPr="00B91567">
        <w:rPr>
          <w:rFonts w:cs="Times New Roman" w:eastAsia="Times New Roman"/>
          <w:szCs w:val="24"/>
          <w:lang w:eastAsia="hr-HR"/>
        </w:rPr>
        <w:t xml:space="preserve"> oglas posl. br. 11 St-</w:t>
      </w:r>
      <w:r w:rsidR="00433BDE">
        <w:rPr>
          <w:rFonts w:cs="Times New Roman" w:eastAsia="Times New Roman"/>
          <w:szCs w:val="24"/>
          <w:lang w:eastAsia="hr-HR"/>
        </w:rPr>
        <w:t>792/2015-3</w:t>
      </w:r>
      <w:r>
        <w:rPr>
          <w:rFonts w:cs="Times New Roman" w:eastAsia="Times New Roman"/>
          <w:szCs w:val="24"/>
          <w:lang w:eastAsia="hr-HR"/>
        </w:rPr>
        <w:t xml:space="preserve">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CD224E" w:rsidP="00CD224E" w:rsidR="00CD224E" w:rsidRPr="00DE2770">
      <w:pPr>
        <w:ind w:firstLine="708"/>
      </w:pP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podacima u spisu proizlazi da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postupka.</w:t>
      </w: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224E" w:rsidP="00CD224E" w:rsidR="00433BD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Dakle, u konkretnom slučaju, prema stavu ovog suda, pravilno su utvrđene sve odlučne činjenice, a one žalbenim navodima</w:t>
      </w:r>
      <w:r w:rsidR="00433BDE">
        <w:rPr>
          <w:rFonts w:cs="Times New Roman" w:eastAsia="Times New Roman"/>
          <w:szCs w:val="24"/>
          <w:lang w:eastAsia="hr-HR"/>
        </w:rPr>
        <w:t xml:space="preserve"> da je činjenično stanje nepotpuno utvrđeno</w:t>
      </w:r>
      <w:r>
        <w:rPr>
          <w:rFonts w:cs="Times New Roman" w:eastAsia="Times New Roman"/>
          <w:szCs w:val="24"/>
          <w:lang w:eastAsia="hr-HR"/>
        </w:rPr>
        <w:t xml:space="preserve"> nisu dovedene u sumnju. </w:t>
      </w:r>
    </w:p>
    <w:p w:rsidRDefault="00CD224E" w:rsidP="00433BDE" w:rsidR="00CD224E">
      <w:pPr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pazeći pritom na bitne povrede odredba postupka iz čl. 354. st. 2., t. 2., 4., 8., 9., 11., 13. i 14. ZPP-a, kao i na </w:t>
      </w:r>
      <w:r>
        <w:rPr>
          <w:rFonts w:cs="Times New Roman" w:eastAsia="Times New Roman"/>
          <w:szCs w:val="24"/>
          <w:lang w:eastAsia="hr-HR"/>
        </w:rPr>
        <w:lastRenderedPageBreak/>
        <w:t>pravilnu primjenu materijalnog prava (čl. 356. ZPP-a), žalba je odbijena kao neosnovana i pobijano rješenje je potvrđeno kao u t. I. rješenja.</w:t>
      </w:r>
    </w:p>
    <w:p w:rsidRDefault="00CD224E" w:rsidP="00CD224E" w:rsidR="00CD224E">
      <w:pPr>
        <w:rPr>
          <w:rFonts w:cs="Times New Roman" w:eastAsia="Times New Roman"/>
          <w:szCs w:val="24"/>
          <w:lang w:eastAsia="hr-HR"/>
        </w:rPr>
      </w:pPr>
    </w:p>
    <w:p w:rsidRDefault="00CD224E" w:rsidP="00433BDE" w:rsidR="00CD22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Podnositelj žalbe je </w:t>
      </w:r>
      <w:r w:rsidR="00433BDE">
        <w:rPr>
          <w:rFonts w:cs="Times New Roman" w:eastAsia="Times New Roman"/>
          <w:szCs w:val="24"/>
          <w:lang w:eastAsia="hr-HR"/>
        </w:rPr>
        <w:t xml:space="preserve">u žalbi ujedno predložio provođenje redovnog stečajnog postupka. Nad dužnikom je stečajni (skraćeni) postupak već otvoren pa dužnik nema pravnog interesa za podnošenje prijedloga za </w:t>
      </w:r>
      <w:r w:rsidR="00272818">
        <w:rPr>
          <w:rFonts w:cs="Times New Roman" w:eastAsia="Times New Roman"/>
          <w:szCs w:val="24"/>
          <w:lang w:eastAsia="hr-HR"/>
        </w:rPr>
        <w:t xml:space="preserve">ponovno </w:t>
      </w:r>
      <w:r w:rsidR="00433BDE">
        <w:rPr>
          <w:rFonts w:cs="Times New Roman" w:eastAsia="Times New Roman"/>
          <w:szCs w:val="24"/>
          <w:lang w:eastAsia="hr-HR"/>
        </w:rPr>
        <w:t>otvaranje stečajnog postupka. Stoga je</w:t>
      </w:r>
      <w:r>
        <w:rPr>
          <w:rFonts w:cs="Times New Roman" w:eastAsia="Times New Roman"/>
          <w:szCs w:val="24"/>
          <w:lang w:eastAsia="hr-HR"/>
        </w:rPr>
        <w:t xml:space="preserve"> njegov prijedlog valjalo od</w:t>
      </w:r>
      <w:r w:rsidR="00433BDE">
        <w:rPr>
          <w:rFonts w:cs="Times New Roman" w:eastAsia="Times New Roman"/>
          <w:szCs w:val="24"/>
          <w:lang w:eastAsia="hr-HR"/>
        </w:rPr>
        <w:t>baciti</w:t>
      </w:r>
      <w:r>
        <w:rPr>
          <w:rFonts w:cs="Times New Roman" w:eastAsia="Times New Roman"/>
          <w:szCs w:val="24"/>
          <w:lang w:eastAsia="hr-HR"/>
        </w:rPr>
        <w:t xml:space="preserve"> kao u t. II. rješenja.</w:t>
      </w:r>
    </w:p>
    <w:p w:rsidRDefault="00CD224E" w:rsidP="00CD224E" w:rsidR="00CD224E">
      <w:pPr>
        <w:rPr>
          <w:rFonts w:cs="Times New Roman" w:eastAsia="Times New Roman"/>
          <w:szCs w:val="24"/>
          <w:lang w:eastAsia="hr-HR"/>
        </w:rPr>
      </w:pPr>
    </w:p>
    <w:p w:rsidRDefault="00CD224E" w:rsidP="00CD224E" w:rsidR="00CD224E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lipnja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CD224E" w:rsidP="00CD224E" w:rsidR="00CD224E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D224E" w:rsidP="00CD224E" w:rsidR="00CD224E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D224E" w:rsidP="00CD224E" w:rsidR="00CD224E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272818">
        <w:rPr>
          <w:rFonts w:cs="Times New Roman" w:eastAsia="Times New Roman"/>
          <w:szCs w:val="24"/>
          <w:lang w:eastAsia="hr-HR"/>
        </w:rPr>
        <w:t>, v. r.</w:t>
      </w:r>
    </w:p>
    <w:p w:rsidRDefault="00CD224E" w:rsidP="00CD224E" w:rsidR="00CD224E">
      <w:pPr>
        <w:jc w:val="left"/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jc w:val="left"/>
        <w:rPr>
          <w:rFonts w:cs="Times New Roman" w:eastAsia="Times New Roman"/>
          <w:szCs w:val="24"/>
          <w:lang w:eastAsia="hr-HR"/>
        </w:rPr>
      </w:pPr>
    </w:p>
    <w:p w:rsidRDefault="00CD224E" w:rsidP="00CD224E" w:rsidR="00CD224E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CD224E" w:rsidP="00CD224E" w:rsidR="00CD224E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SZ-a).</w:t>
      </w:r>
    </w:p>
    <w:p w:rsidRDefault="00CD224E" w:rsidP="00CD224E" w:rsidR="00CD224E">
      <w:pPr>
        <w:rPr>
          <w:rFonts w:cs="Times New Roman" w:eastAsia="Times New Roman"/>
          <w:szCs w:val="24"/>
          <w:lang w:eastAsia="hr-HR"/>
        </w:rPr>
      </w:pPr>
    </w:p>
    <w:p w:rsidRDefault="00CD224E" w:rsidP="00CD224E" w:rsidR="00CD224E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CD224E" w:rsidP="00CD224E" w:rsidR="00CD224E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CD224E" w:rsidP="00CD224E" w:rsidR="00CD224E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dužnik </w:t>
      </w:r>
      <w:r w:rsidR="00272818">
        <w:rPr>
          <w:rFonts w:cs="Times New Roman" w:eastAsia="Times New Roman"/>
          <w:szCs w:val="24"/>
        </w:rPr>
        <w:t xml:space="preserve">HEMMING d. o. o. Kanfanar, Draguzeti 13 B, </w:t>
      </w:r>
    </w:p>
    <w:p w:rsidRDefault="00272818" w:rsidP="00CD224E" w:rsidR="00CD224E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 w:rsidR="00CD224E">
        <w:rPr>
          <w:rFonts w:cs="Times New Roman" w:eastAsia="Times New Roman"/>
          <w:szCs w:val="24"/>
          <w:lang w:eastAsia="hr-HR"/>
        </w:rPr>
        <w:t xml:space="preserve">. stečajni upravitelj </w:t>
      </w:r>
      <w:r>
        <w:rPr>
          <w:rFonts w:cs="Times New Roman" w:eastAsia="Times New Roman"/>
          <w:szCs w:val="24"/>
          <w:lang w:eastAsia="hr-HR"/>
        </w:rPr>
        <w:t>Damir Debeljuh, Pula, Laginjina 6</w:t>
      </w:r>
      <w:r w:rsidR="00CD224E">
        <w:rPr>
          <w:rFonts w:cs="Times New Roman" w:eastAsia="Times New Roman"/>
          <w:szCs w:val="24"/>
          <w:lang w:eastAsia="hr-HR"/>
        </w:rPr>
        <w:t>, uz primjerak žalbe,</w:t>
      </w:r>
    </w:p>
    <w:p w:rsidRDefault="00272818" w:rsidP="00CD224E" w:rsidR="00CD224E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</w:t>
      </w:r>
      <w:r w:rsidR="00CD224E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CD224E" w:rsidP="00CD224E" w:rsidR="00CD224E" w:rsidRPr="00AD71A8"/>
    <w:p w:rsidRDefault="00CD224E" w:rsidP="00CD224E" w:rsidR="00CD224E"/>
    <w:p w:rsidRDefault="00CD224E" w:rsidP="00CD224E" w:rsidR="00CD224E"/>
    <w:p w:rsidRDefault="00CD224E" w:rsidP="00CD224E" w:rsidR="00CD224E"/>
    <w:p w:rsidRDefault="004F5027" w:rsidR="004F5027"/>
    <w:sectPr w:rsidSect="00433BD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BDE" w:rsidP="00CD224E" w:rsidR="00433BDE">
      <w:r>
        <w:separator/>
      </w:r>
    </w:p>
  </w:endnote>
  <w:endnote w:id="0" w:type="continuationSeparator">
    <w:p w:rsidRDefault="00433BDE" w:rsidP="00CD224E" w:rsidR="00433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BDE" w:rsidP="00CD224E" w:rsidR="00433BDE">
      <w:r>
        <w:separator/>
      </w:r>
    </w:p>
  </w:footnote>
  <w:footnote w:id="0" w:type="continuationSeparator">
    <w:p w:rsidRDefault="00433BDE" w:rsidP="00CD224E" w:rsidR="00433B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BDE" w:rsidP="00CD224E" w:rsidR="00433BDE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3D10A6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St-792/2015-8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BDE" w:rsidP="00433BDE" w:rsidR="00433BDE" w:rsidRPr="006A095D">
    <w:pPr>
      <w:pStyle w:val="Zaglavlje"/>
      <w:jc w:val="right"/>
      <w:rPr>
        <w:szCs w:val="24"/>
      </w:rPr>
    </w:pPr>
    <w:r>
      <w:rPr>
        <w:szCs w:val="24"/>
      </w:rPr>
      <w:t>9 St-792/2015-8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B33"/>
    <w:rsid w:val="00272818"/>
    <w:rsid w:val="003D10A6"/>
    <w:rsid w:val="00415164"/>
    <w:rsid w:val="00433BDE"/>
    <w:rsid w:val="004F5027"/>
    <w:rsid w:val="00CD224E"/>
    <w:rsid w:val="00F919C8"/>
    <w:rsid w:val="00FA5B33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224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22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22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2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224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D22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224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5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1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16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1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1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224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22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22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2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224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D22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224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5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1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16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1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1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HEMMING d.o.o. KANFANAR</izvorni_sadrzaj>
    <derivirana_varijabla naziv="DomainObject.Predmet.ProtustrankaFormated_1">  HEMMING d.o.o. KANFANAR</derivirana_varijabla>
  </DomainObject.Predmet.ProtustrankaFormated>
  <DomainObject.Predmet.ProtustrankaFormatedOIB>
    <izvorni_sadrzaj>  HEMMING d.o.o. KANFANAR, OIB 03803513693</izvorni_sadrzaj>
    <derivirana_varijabla naziv="DomainObject.Predmet.ProtustrankaFormatedOIB_1">  HEMMING d.o.o. KANFANAR, OIB 03803513693</derivirana_varijabla>
  </DomainObject.Predmet.ProtustrankaFormatedOIB>
  <DomainObject.Predmet.ProtustrankaFormatedWithAdress>
    <izvorni_sadrzaj> HEMMING d.o.o. KANFANAR, Draguzeti 13 B, 52341 Kanfanar</izvorni_sadrzaj>
    <derivirana_varijabla naziv="DomainObject.Predmet.ProtustrankaFormatedWithAdress_1"> HEMMING d.o.o. KANFANAR, Draguzeti 13 B, 52341 Kanfanar</derivirana_varijabla>
  </DomainObject.Predmet.ProtustrankaFormatedWithAdress>
  <DomainObject.Predmet.ProtustrankaFormatedWithAdressOIB>
    <izvorni_sadrzaj> HEMMING d.o.o. KANFANAR, OIB 03803513693, Draguzeti 13 B, 52341 Kanfanar</izvorni_sadrzaj>
    <derivirana_varijabla naziv="DomainObject.Predmet.ProtustrankaFormatedWithAdressOIB_1"> HEMMING d.o.o. KANFANAR, OIB 03803513693, Draguzeti 13 B, 52341 Kanfanar</derivirana_varijabla>
  </DomainObject.Predmet.ProtustrankaFormatedWithAdressOIB>
  <DomainObject.Predmet.ProtustrankaWithAdress>
    <izvorni_sadrzaj>HEMMING d.o.o. KANFANAR Draguzeti 13 B, 52341 Kanfanar</izvorni_sadrzaj>
    <derivirana_varijabla naziv="DomainObject.Predmet.ProtustrankaWithAdress_1">HEMMING d.o.o. KANFANAR Draguzeti 13 B, 52341 Kanfanar</derivirana_varijabla>
  </DomainObject.Predmet.ProtustrankaWithAdress>
  <DomainObject.Predmet.ProtustrankaWithAdressOIB>
    <izvorni_sadrzaj>HEMMING d.o.o. KANFANAR, OIB 03803513693, Draguzeti 13 B, 52341 Kanfanar</izvorni_sadrzaj>
    <derivirana_varijabla naziv="DomainObject.Predmet.ProtustrankaWithAdressOIB_1">HEMMING d.o.o. KANFANAR, OIB 03803513693, Draguzeti 13 B, 52341 Kanfanar</derivirana_varijabla>
  </DomainObject.Predmet.ProtustrankaWithAdressOIB>
  <DomainObject.Predmet.ProtustrankaNazivFormated>
    <izvorni_sadrzaj>HEMMING d.o.o. KANFANAR</izvorni_sadrzaj>
    <derivirana_varijabla naziv="DomainObject.Predmet.ProtustrankaNazivFormated_1">HEMMING d.o.o. KANFANAR</derivirana_varijabla>
  </DomainObject.Predmet.ProtustrankaNazivFormated>
  <DomainObject.Predmet.ProtustrankaNazivFormatedOIB>
    <izvorni_sadrzaj>HEMMING d.o.o. KANFANAR, OIB 03803513693</izvorni_sadrzaj>
    <derivirana_varijabla naziv="DomainObject.Predmet.ProtustrankaNazivFormatedOIB_1">HEMMING d.o.o. KANFANAR, OIB 03803513693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HEMMING d.o.o. KANFANAR</item>
    </izvorni_sadrzaj>
    <derivirana_varijabla naziv="DomainObject.Predmet.ProtuStrankaListFormated_1">
      <item>HEMMING d.o.o. KANFANAR</item>
    </derivirana_varijabla>
  </DomainObject.Predmet.ProtuStrankaListFormated>
  <DomainObject.Predmet.ProtuStrankaListFormatedOIB>
    <izvorni_sadrzaj>
      <item>HEMMING d.o.o. KANFANAR, OIB 03803513693</item>
    </izvorni_sadrzaj>
    <derivirana_varijabla naziv="DomainObject.Predmet.ProtuStrankaListFormatedOIB_1">
      <item>HEMMING d.o.o. KANFANAR, OIB 03803513693</item>
    </derivirana_varijabla>
  </DomainObject.Predmet.ProtuStrankaListFormatedOIB>
  <DomainObject.Predmet.ProtuStrankaListFormatedWithAdress>
    <izvorni_sadrzaj>
      <item>HEMMING d.o.o. KANFANAR, Draguzeti 13 B, 52341 Kanfanar</item>
    </izvorni_sadrzaj>
    <derivirana_varijabla naziv="DomainObject.Predmet.ProtuStrankaListFormatedWithAdress_1">
      <item>HEMMING d.o.o. KANFANAR, Draguzeti 13 B, 52341 Kanfanar</item>
    </derivirana_varijabla>
  </DomainObject.Predmet.ProtuStrankaListFormatedWithAdress>
  <DomainObject.Predmet.ProtuStrankaListFormatedWithAdressOIB>
    <izvorni_sadrzaj>
      <item>HEMMING d.o.o. KANFANAR, OIB 03803513693, Draguzeti 13 B, 52341 Kanfanar</item>
    </izvorni_sadrzaj>
    <derivirana_varijabla naziv="DomainObject.Predmet.ProtuStrankaListFormatedWithAdressOIB_1">
      <item>HEMMING d.o.o. KANFANAR, OIB 03803513693, Draguzeti 13 B, 52341 Kanfanar</item>
    </derivirana_varijabla>
  </DomainObject.Predmet.ProtuStrankaListFormatedWithAdressOIB>
  <DomainObject.Predmet.ProtuStrankaListNazivFormated>
    <izvorni_sadrzaj>
      <item>HEMMING d.o.o. KANFANAR</item>
    </izvorni_sadrzaj>
    <derivirana_varijabla naziv="DomainObject.Predmet.ProtuStrankaListNazivFormated_1">
      <item>HEMMING d.o.o. KANFANAR</item>
    </derivirana_varijabla>
  </DomainObject.Predmet.ProtuStrankaListNazivFormated>
  <DomainObject.Predmet.ProtuStrankaListNazivFormatedOIB>
    <izvorni_sadrzaj>
      <item>HEMMING d.o.o. KANFANAR, OIB 03803513693</item>
    </izvorni_sadrzaj>
    <derivirana_varijabla naziv="DomainObject.Predmet.ProtuStrankaListNazivFormatedOIB_1">
      <item>HEMMING d.o.o. KANFANAR, OIB 03803513693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HEMMING d.o.o. KANFANAR</izvorni_sadrzaj>
    <derivirana_varijabla naziv="DomainObject.Predmet.ProtustrankaIDrugi_1">HEMMING d.o.o. KANFANAR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HEMMING d.o.o. KANFANAR, OIB 03803513693, Draguzeti 13 B, 52341 Kanfanar</izvorni_sadrzaj>
    <derivirana_varijabla naziv="DomainObject.Predmet.ProtustrankaIDrugiAdressOIB_1">HEMMING d.o.o. KANFANAR, OIB 03803513693, Draguzeti 13 B,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2016.</izvorni_sadrzaj>
    <derivirana_varijabla naziv="DomainObject.Predmet.OdlukaRjesenje.DatumDonosenjaOdluke_1">11.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St-792/2015-5</izvorni_sadrzaj>
    <derivirana_varijabla naziv="DomainObject.Predmet.OdlukaRjesenje.Oznaka_1">St-792/2015-5</derivirana_varijabla>
  </DomainObject.Predmet.OdlukaRjesenje.Oznaka>
  <DomainObject.Predmet.SudioniciListNaziv>
    <izvorni_sadrzaj>
      <item>FINANCIJSKA AGENCIJA RC RIJEKA PODRUŽNICA PULA, PULA</item>
      <item>HEMMING d.o.o. KANFANAR</item>
    </izvorni_sadrzaj>
    <derivirana_varijabla naziv="DomainObject.Predmet.SudioniciListNaziv_1">
      <item>FINANCIJSKA AGENCIJA RC RIJEKA PODRUŽNICA PULA, PULA</item>
      <item>HEMMING d.o.o. KANFANAR</item>
    </derivirana_varijabla>
  </DomainObject.Predmet.SudioniciListNaziv>
  <DomainObject.Predmet.SudioniciListAdressOIB>
    <izvorni_sadrzaj>
      <item>FINANCIJSKA AGENCIJA RC RIJEKA PODRUŽNICA PULA, PULA, OIB 85821130368, GIARDINI 5,52100 Pula</item>
      <item>HEMMING d.o.o. KANFANAR, OIB 03803513693, Draguzeti 13 B,52341 Kanfanar</item>
    </izvorni_sadrzaj>
    <derivirana_varijabla naziv="DomainObject.Predmet.SudioniciListAdressOIB_1">
      <item>FINANCIJSKA AGENCIJA RC RIJEKA PODRUŽNICA PULA, PULA, OIB 85821130368, GIARDINI 5,52100 Pula</item>
      <item>HEMMING d.o.o. KANFANAR, OIB 03803513693, Draguzeti 13 B,52341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03803513693</item>
    </izvorni_sadrzaj>
    <derivirana_varijabla naziv="DomainObject.Predmet.SudioniciListNazivOIB_1">
      <item>, OIB 85821130368</item>
      <item>, OIB 03803513693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1130</properties:Words>
  <properties:Characters>6047</properties:Characters>
  <properties:Lines>126</properties:Lines>
  <properties:Paragraphs>28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2016-06-03T08:45:00Z</dcterms:created>
  <dc:creator>Mihaela Kaligari</dc:creator>
  <dc:description/>
  <cp:keywords/>
  <cp:lastModifiedBy>Ana Jeromela</cp:lastModifiedBy>
  <cp:lastPrinted>2016-06-06T06:25:00Z</cp:lastPrinted>
  <dcterms:modified xmlns:xsi="http://www.w3.org/2001/XMLSchema-instance" xsi:type="dcterms:W3CDTF">2016-06-06T06:25:00Z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