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be088" w14:paraId="48be088" w:rsidRDefault="00F56B13" w:rsidP="00F56B13" w:rsidR="00F56B13" w:rsidRPr="00F56B13">
      <w:pPr>
        <w:spacing w:lineRule="auto" w:line="240" w:after="0"/>
        <w15:collapsed w:val="false"/>
        <w:rPr>
          <w:rFonts w:hAnsi="Cambria" w:ascii="Cambria"/>
          <w:b/>
          <w:sz w:val="24"/>
          <w:szCs w:val="24"/>
        </w:rPr>
      </w:pPr>
      <w:bookmarkStart w:name="_GoBack" w:id="0"/>
      <w:bookmarkEnd w:id="0"/>
      <w:r w:rsidRPr="00F56B13">
        <w:rPr>
          <w:rFonts w:hAnsi="Cambria" w:ascii="Cambria"/>
          <w:b/>
          <w:sz w:val="24"/>
          <w:szCs w:val="24"/>
        </w:rPr>
        <w:t xml:space="preserve">PRIVREMENI STEČAJNI UPRAVITELJ </w:t>
      </w:r>
    </w:p>
    <w:p w:rsidRDefault="00F56B13" w:rsidP="00F56B13" w:rsidR="00F56B13" w:rsidRPr="00F56B13">
      <w:pPr>
        <w:spacing w:lineRule="auto" w:line="240" w:after="0"/>
        <w:rPr>
          <w:rFonts w:hAnsi="Cambria" w:ascii="Cambria"/>
          <w:b/>
          <w:sz w:val="24"/>
          <w:szCs w:val="24"/>
        </w:rPr>
      </w:pPr>
      <w:r w:rsidRPr="00F56B13">
        <w:rPr>
          <w:rFonts w:hAnsi="Cambria" w:ascii="Cambria"/>
          <w:b/>
          <w:sz w:val="24"/>
          <w:szCs w:val="24"/>
        </w:rPr>
        <w:t>VINKO PEČANIĆ</w:t>
      </w:r>
    </w:p>
    <w:p w:rsidRDefault="00F56B13" w:rsidP="00F56B13" w:rsidR="00F56B13" w:rsidRPr="00F56B13">
      <w:pPr>
        <w:spacing w:lineRule="auto" w:line="240" w:after="0"/>
        <w:rPr>
          <w:rFonts w:hAnsi="Cambria" w:ascii="Cambria"/>
          <w:sz w:val="24"/>
          <w:szCs w:val="24"/>
        </w:rPr>
      </w:pPr>
      <w:r w:rsidRPr="00F56B13">
        <w:rPr>
          <w:rFonts w:hAnsi="Cambria" w:ascii="Cambria"/>
          <w:sz w:val="24"/>
          <w:szCs w:val="24"/>
        </w:rPr>
        <w:t>Frankopanska 17</w:t>
      </w:r>
    </w:p>
    <w:p w:rsidRDefault="00F56B13" w:rsidP="00F56B13" w:rsidR="00F56B13" w:rsidRPr="00F56B13">
      <w:pPr>
        <w:spacing w:lineRule="auto" w:line="240" w:after="0"/>
        <w:rPr>
          <w:rFonts w:hAnsi="Cambria" w:ascii="Cambria"/>
          <w:sz w:val="24"/>
          <w:szCs w:val="24"/>
        </w:rPr>
      </w:pPr>
      <w:r w:rsidRPr="00F56B13">
        <w:rPr>
          <w:rFonts w:hAnsi="Cambria" w:ascii="Cambria"/>
          <w:sz w:val="24"/>
          <w:szCs w:val="24"/>
        </w:rPr>
        <w:t>34551 Lipik</w:t>
      </w:r>
    </w:p>
    <w:p w:rsidRDefault="00F56B13" w:rsidP="00F56B13" w:rsidR="00F56B13" w:rsidRPr="00F56B13">
      <w:pPr>
        <w:spacing w:lineRule="auto" w:line="240" w:after="0"/>
        <w:rPr>
          <w:rFonts w:hAnsi="Cambria" w:ascii="Cambria"/>
          <w:sz w:val="24"/>
          <w:szCs w:val="24"/>
        </w:rPr>
      </w:pPr>
      <w:r w:rsidRPr="00F56B13">
        <w:rPr>
          <w:rFonts w:hAnsi="Cambria" w:ascii="Cambria"/>
          <w:sz w:val="24"/>
          <w:szCs w:val="24"/>
        </w:rPr>
        <w:t>m: 099/314-93-02</w:t>
      </w:r>
    </w:p>
    <w:p w:rsidRDefault="00F56B13" w:rsidP="00F56B13" w:rsidR="00F56B13" w:rsidRPr="00F56B13">
      <w:pPr>
        <w:spacing w:lineRule="auto" w:line="240" w:after="0"/>
        <w:ind w:right="-851"/>
        <w:rPr>
          <w:rFonts w:hAnsi="Cambria" w:ascii="Cambria"/>
          <w:sz w:val="24"/>
          <w:szCs w:val="24"/>
        </w:rPr>
      </w:pPr>
      <w:r w:rsidRPr="00F56B13">
        <w:rPr>
          <w:rFonts w:hAnsi="Cambria" w:ascii="Cambria"/>
          <w:sz w:val="24"/>
          <w:szCs w:val="24"/>
        </w:rPr>
        <w:t>e: vinko@puke.hr</w:t>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t>Lipik, 12. veljače 2018. g.</w:t>
      </w:r>
    </w:p>
    <w:p w:rsidRDefault="00F56B13" w:rsidP="00F56B13" w:rsidR="00F56B13">
      <w:pPr>
        <w:spacing w:lineRule="auto" w:line="256" w:after="160"/>
        <w:rPr>
          <w:sz w:val="24"/>
          <w:szCs w:val="24"/>
        </w:rPr>
      </w:pPr>
    </w:p>
    <w:p w:rsidRDefault="00F56B13" w:rsidP="00F56B13" w:rsidR="00F56B13">
      <w:pPr>
        <w:spacing w:lineRule="auto" w:line="240" w:after="120"/>
        <w:ind w:hanging="1985" w:left="1985"/>
        <w:rPr>
          <w:rFonts w:hAnsi="Cambria" w:ascii="Cambria"/>
          <w:b/>
          <w:sz w:val="24"/>
          <w:szCs w:val="24"/>
        </w:rPr>
      </w:pPr>
      <w:r>
        <w:rPr>
          <w:rFonts w:hAnsi="Cambria" w:ascii="Cambria"/>
          <w:sz w:val="24"/>
          <w:szCs w:val="24"/>
        </w:rPr>
        <w:t>Dužnik:</w:t>
      </w:r>
      <w:r>
        <w:rPr>
          <w:rFonts w:hAnsi="Cambria" w:ascii="Cambria"/>
          <w:sz w:val="24"/>
          <w:szCs w:val="24"/>
        </w:rPr>
        <w:tab/>
      </w:r>
      <w:r>
        <w:rPr>
          <w:rFonts w:hAnsi="Cambria" w:ascii="Cambria"/>
          <w:b/>
          <w:sz w:val="24"/>
          <w:szCs w:val="24"/>
        </w:rPr>
        <w:t>ERC MONT d. o. o. za elektro usluge, Pavučnjak 49 (Grad Samobor), 10450 Jastrebarsko, OIB: 81838479529</w:t>
      </w:r>
    </w:p>
    <w:p w:rsidRDefault="00F56B13" w:rsidP="00F56B13" w:rsidR="00F56B13">
      <w:pPr>
        <w:spacing w:lineRule="auto" w:line="240" w:after="120"/>
        <w:ind w:hanging="1985" w:left="1985"/>
        <w:rPr>
          <w:rFonts w:hAnsi="Cambria" w:ascii="Cambria"/>
          <w:sz w:val="24"/>
          <w:szCs w:val="24"/>
        </w:rPr>
      </w:pPr>
      <w:r>
        <w:rPr>
          <w:rFonts w:hAnsi="Cambria" w:ascii="Cambria"/>
          <w:sz w:val="24"/>
          <w:szCs w:val="24"/>
        </w:rPr>
        <w:t>Stečajni sud:</w:t>
      </w:r>
      <w:r>
        <w:rPr>
          <w:rFonts w:hAnsi="Cambria" w:ascii="Cambria"/>
          <w:sz w:val="24"/>
          <w:szCs w:val="24"/>
        </w:rPr>
        <w:tab/>
        <w:t>Trgovački sud u Bjelovaru, Šetalište dr. Ivše Lebovića 42, Bjelovar</w:t>
      </w:r>
    </w:p>
    <w:p w:rsidRDefault="00F56B13" w:rsidP="00F56B13" w:rsidR="00F56B13">
      <w:pPr>
        <w:spacing w:lineRule="auto" w:line="240" w:after="120"/>
        <w:ind w:hanging="1985" w:left="1985"/>
        <w:rPr>
          <w:rFonts w:hAnsi="Cambria" w:ascii="Cambria"/>
          <w:sz w:val="24"/>
          <w:szCs w:val="24"/>
        </w:rPr>
      </w:pPr>
      <w:r>
        <w:rPr>
          <w:rFonts w:hAnsi="Cambria" w:ascii="Cambria"/>
          <w:sz w:val="24"/>
          <w:szCs w:val="24"/>
        </w:rPr>
        <w:t>Stečajna sutkinja:</w:t>
      </w:r>
      <w:r>
        <w:rPr>
          <w:rFonts w:hAnsi="Cambria" w:ascii="Cambria"/>
          <w:sz w:val="24"/>
          <w:szCs w:val="24"/>
        </w:rPr>
        <w:tab/>
        <w:t>Branka Pleskalt</w:t>
      </w:r>
    </w:p>
    <w:p w:rsidRDefault="00F56B13" w:rsidP="00F56B13" w:rsidR="00F56B13">
      <w:pPr>
        <w:spacing w:lineRule="auto" w:line="240" w:after="120"/>
        <w:ind w:hanging="1985" w:left="1985"/>
        <w:rPr>
          <w:rFonts w:hAnsi="Cambria" w:ascii="Cambria"/>
          <w:sz w:val="24"/>
          <w:szCs w:val="24"/>
        </w:rPr>
      </w:pPr>
      <w:r>
        <w:rPr>
          <w:rFonts w:hAnsi="Cambria" w:ascii="Cambria"/>
          <w:sz w:val="24"/>
          <w:szCs w:val="24"/>
        </w:rPr>
        <w:t>Broj:</w:t>
      </w:r>
      <w:r>
        <w:rPr>
          <w:rFonts w:hAnsi="Cambria" w:ascii="Cambria"/>
          <w:sz w:val="24"/>
          <w:szCs w:val="24"/>
        </w:rPr>
        <w:tab/>
      </w:r>
      <w:r>
        <w:rPr>
          <w:rFonts w:hAnsi="Cambria" w:ascii="Cambria"/>
          <w:b/>
          <w:sz w:val="24"/>
          <w:szCs w:val="24"/>
        </w:rPr>
        <w:t>1 St-528/2017</w:t>
      </w:r>
    </w:p>
    <w:p w:rsidRDefault="00F56B13" w:rsidP="00F56B13" w:rsidR="00F56B13">
      <w:pPr>
        <w:spacing w:lineRule="auto" w:line="240" w:after="120"/>
        <w:rPr>
          <w:rFonts w:hAnsi="Cambria" w:ascii="Cambria"/>
          <w:sz w:val="24"/>
          <w:szCs w:val="24"/>
        </w:rPr>
      </w:pPr>
    </w:p>
    <w:p w:rsidRDefault="00F56B13" w:rsidP="00F56B13" w:rsidR="00F56B13">
      <w:pPr>
        <w:pStyle w:val="Bezproreda"/>
        <w:ind w:hanging="1985" w:left="1985"/>
        <w:jc w:val="both"/>
        <w:rPr>
          <w:rFonts w:hAnsi="Cambria" w:ascii="Cambria"/>
          <w:b/>
          <w:sz w:val="24"/>
          <w:szCs w:val="24"/>
        </w:rPr>
      </w:pPr>
      <w:r>
        <w:rPr>
          <w:rFonts w:hAnsi="Cambria" w:ascii="Cambria"/>
          <w:b/>
          <w:sz w:val="24"/>
          <w:szCs w:val="24"/>
        </w:rPr>
        <w:t xml:space="preserve">PREDMET: </w:t>
      </w:r>
      <w:r>
        <w:rPr>
          <w:rFonts w:hAnsi="Cambria" w:ascii="Cambria"/>
          <w:b/>
          <w:sz w:val="24"/>
          <w:szCs w:val="24"/>
        </w:rPr>
        <w:tab/>
        <w:t>Izvještaj privremenog stečajnog upravitelja</w:t>
      </w:r>
    </w:p>
    <w:p w:rsidRDefault="00F56B13" w:rsidP="00F56B13" w:rsidR="00F56B13">
      <w:pPr>
        <w:pStyle w:val="Bezproreda"/>
        <w:ind w:firstLine="567"/>
        <w:rPr>
          <w:rFonts w:hAnsi="Cambria" w:ascii="Cambria"/>
          <w:b/>
          <w:sz w:val="24"/>
          <w:szCs w:val="24"/>
        </w:rPr>
      </w:pPr>
    </w:p>
    <w:p w:rsidRDefault="00F56B13" w:rsidP="00F56B13" w:rsidR="00F56B13">
      <w:pPr>
        <w:pStyle w:val="Bezproreda"/>
        <w:ind w:firstLine="567"/>
        <w:rPr>
          <w:rFonts w:hAnsi="Cambria" w:ascii="Cambria"/>
          <w:b/>
          <w:sz w:val="24"/>
          <w:szCs w:val="24"/>
        </w:rPr>
      </w:pPr>
    </w:p>
    <w:p w:rsidRDefault="00F56B13" w:rsidP="00F56B13" w:rsidR="00F56B13">
      <w:pPr>
        <w:pStyle w:val="Bezproreda"/>
        <w:ind w:firstLine="567"/>
        <w:rPr>
          <w:rFonts w:hAnsi="Cambria" w:ascii="Cambria"/>
          <w:b/>
          <w:sz w:val="24"/>
          <w:szCs w:val="24"/>
        </w:rPr>
      </w:pPr>
      <w:r>
        <w:rPr>
          <w:rFonts w:hAnsi="Cambria" w:ascii="Cambria"/>
          <w:b/>
          <w:sz w:val="24"/>
          <w:szCs w:val="24"/>
        </w:rPr>
        <w:t>1. UVODNE NAPOMENE</w:t>
      </w:r>
    </w:p>
    <w:p w:rsidRDefault="00F56B13" w:rsidP="00F56B13" w:rsidR="00F56B13">
      <w:pPr>
        <w:pStyle w:val="Bezproreda"/>
        <w:ind w:firstLine="567"/>
        <w:rPr>
          <w:rFonts w:hAnsi="Cambria" w:ascii="Cambria"/>
          <w:b/>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 xml:space="preserve">Rješenjem Trgovačkog suda u Bjelovaru broj: 1 St-528/2017-13 od 17. siječnja 2018. godine, imenovan sam privremenim stečajnim upraviteljem u postupku radi utvrđivanja pretpostavki  za otvaranje stečajnog postupka (prethodni postupak) nad dužnikom </w:t>
      </w:r>
      <w:r>
        <w:rPr>
          <w:rFonts w:hAnsi="Cambria" w:ascii="Cambria"/>
          <w:b/>
          <w:sz w:val="24"/>
          <w:szCs w:val="24"/>
        </w:rPr>
        <w:t xml:space="preserve">ERC MONT d. o. o. </w:t>
      </w:r>
      <w:r>
        <w:rPr>
          <w:rFonts w:hAnsi="Cambria" w:ascii="Cambria"/>
          <w:sz w:val="24"/>
          <w:szCs w:val="24"/>
        </w:rPr>
        <w:t>za elektro usluge iz Pavučnjaka, Pavučnjak 49, OIB: 81838479529 (nastavno u tekstu: dužnik) sa zadatkom:</w:t>
      </w:r>
    </w:p>
    <w:p w:rsidRDefault="00F56B13" w:rsidP="00F56B13" w:rsidR="00F56B13">
      <w:pPr>
        <w:pStyle w:val="Bezproreda"/>
        <w:ind w:firstLine="207" w:left="360"/>
        <w:jc w:val="both"/>
        <w:rPr>
          <w:rFonts w:hAnsi="Cambria" w:ascii="Cambria"/>
          <w:sz w:val="24"/>
          <w:szCs w:val="24"/>
        </w:rPr>
      </w:pPr>
      <w:r>
        <w:rPr>
          <w:rFonts w:hAnsi="Cambria" w:ascii="Cambria"/>
          <w:sz w:val="24"/>
          <w:szCs w:val="24"/>
        </w:rPr>
        <w:t>- izraditi i dostaviti izvještaj o financijskom i gospodarskom stanju dužnika,</w:t>
      </w:r>
    </w:p>
    <w:p w:rsidRDefault="00F56B13" w:rsidP="00F56B13" w:rsidR="00F56B13">
      <w:pPr>
        <w:pStyle w:val="Bezproreda"/>
        <w:ind w:firstLine="567"/>
        <w:jc w:val="both"/>
        <w:rPr>
          <w:rFonts w:hAnsi="Cambria" w:ascii="Cambria"/>
          <w:sz w:val="24"/>
          <w:szCs w:val="24"/>
        </w:rPr>
      </w:pPr>
      <w:r>
        <w:rPr>
          <w:rFonts w:hAnsi="Cambria" w:ascii="Cambria"/>
          <w:sz w:val="24"/>
          <w:szCs w:val="24"/>
        </w:rPr>
        <w:t>- ispitati da li postoji mogućnost provođenja stečajnog postupka na imovinom dužnika,</w:t>
      </w:r>
    </w:p>
    <w:p w:rsidRDefault="00F56B13" w:rsidP="00F56B13" w:rsidR="00F56B13">
      <w:pPr>
        <w:pStyle w:val="Bezproreda"/>
        <w:ind w:firstLine="567"/>
        <w:jc w:val="both"/>
        <w:rPr>
          <w:rFonts w:hAnsi="Cambria" w:ascii="Cambria"/>
          <w:sz w:val="24"/>
          <w:szCs w:val="24"/>
        </w:rPr>
      </w:pPr>
      <w:r>
        <w:rPr>
          <w:rFonts w:hAnsi="Cambria" w:ascii="Cambria"/>
          <w:sz w:val="24"/>
          <w:szCs w:val="24"/>
        </w:rPr>
        <w:t xml:space="preserve">- ispitati da li kod dužnika postoje razlozi za otvaranje stečajnog postupka. </w:t>
      </w: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Prijedlog za otvaranje stečajnog postupka nad dužnikom podnijela je Financijska agencija dana 15. lipnja 2016. g. U prijedlogu se navodi da na dan 1. rujna 2015. g. dužnik u Očevidniku redoslijeda osnova za plaćanje ima evidentirane neizvršene osnove za plaćanje u neprekidnom razdoblju od 1904 dana u ukupnom iznosu od 1.887.385,42 kn te da dužnik ima dvije zaposlene osobe.</w:t>
      </w: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Ročište radi izjašnjenja o prijedlogu i raspravi o pretpostavkama za otvaranje stečajnog postupka određeno je za 22. veljače 2018. g. u 9:30 sati na Trgovačkom sudu u Bjelovaru, Šetalište dr. Ivše Lebovića 42, soba br. 4.</w:t>
      </w:r>
    </w:p>
    <w:p w:rsidRDefault="00F56B13" w:rsidP="00F56B13" w:rsidR="00F56B13">
      <w:pPr>
        <w:pStyle w:val="Bezproreda"/>
        <w:ind w:firstLine="567"/>
        <w:rPr>
          <w:rFonts w:hAnsi="Cambria" w:ascii="Cambria"/>
          <w:b/>
          <w:sz w:val="24"/>
          <w:szCs w:val="24"/>
        </w:rPr>
      </w:pPr>
    </w:p>
    <w:p w:rsidRDefault="00F56B13" w:rsidP="00F56B13" w:rsidR="00F56B13">
      <w:pPr>
        <w:pStyle w:val="Bezproreda"/>
        <w:ind w:firstLine="567"/>
        <w:rPr>
          <w:rFonts w:hAnsi="Cambria" w:ascii="Cambria"/>
          <w:b/>
          <w:sz w:val="24"/>
          <w:szCs w:val="24"/>
        </w:rPr>
      </w:pPr>
      <w:r>
        <w:rPr>
          <w:rFonts w:hAnsi="Cambria" w:ascii="Cambria"/>
          <w:b/>
          <w:sz w:val="24"/>
          <w:szCs w:val="24"/>
        </w:rPr>
        <w:t>2. PROVEDENE RADNJE</w:t>
      </w:r>
    </w:p>
    <w:p w:rsidRDefault="00F56B13" w:rsidP="00F56B13" w:rsidR="00F56B13">
      <w:pPr>
        <w:pStyle w:val="Bezproreda"/>
        <w:ind w:firstLine="567"/>
        <w:rPr>
          <w:rFonts w:hAnsi="Cambria" w:ascii="Cambria"/>
          <w:b/>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Po primitku rješenja o pokretanju prethodnog postupka nad dužnikom, dopisom od 22. siječnja 2018. g, putem redovne poštanske dostave, zatražio sam od direktora društva Maria Carina  da mi se dostavi slijedeća poslovna dokumentacija i podaci:</w:t>
      </w:r>
    </w:p>
    <w:p w:rsidRDefault="00F56B13" w:rsidP="00F56B13" w:rsidR="00F56B13">
      <w:pPr>
        <w:pStyle w:val="Bezproreda"/>
        <w:ind w:firstLine="567"/>
        <w:rPr>
          <w:rFonts w:hAnsi="Cambria" w:ascii="Cambria"/>
          <w:sz w:val="24"/>
          <w:szCs w:val="24"/>
        </w:rPr>
      </w:pPr>
      <w:r>
        <w:rPr>
          <w:rFonts w:hAnsi="Cambria" w:ascii="Cambria"/>
          <w:sz w:val="24"/>
          <w:szCs w:val="24"/>
        </w:rPr>
        <w:t xml:space="preserve">1. kratak izvještaj o poslovanju i stanju dužnika, </w:t>
      </w:r>
    </w:p>
    <w:p w:rsidRDefault="00F56B13" w:rsidP="00F56B13" w:rsidR="00F56B13">
      <w:pPr>
        <w:pStyle w:val="Bezproreda"/>
        <w:ind w:firstLine="567"/>
        <w:rPr>
          <w:rFonts w:hAnsi="Cambria" w:ascii="Cambria"/>
          <w:sz w:val="24"/>
          <w:szCs w:val="24"/>
        </w:rPr>
      </w:pPr>
      <w:r>
        <w:rPr>
          <w:rFonts w:hAnsi="Cambria" w:ascii="Cambria"/>
          <w:sz w:val="24"/>
          <w:szCs w:val="24"/>
        </w:rPr>
        <w:t>2. financijske izvještaje za zadnje tri godine poslovanja,</w:t>
      </w:r>
    </w:p>
    <w:p w:rsidRDefault="00F56B13" w:rsidP="00F56B13" w:rsidR="00F56B13">
      <w:pPr>
        <w:pStyle w:val="Bezproreda"/>
        <w:ind w:firstLine="567"/>
        <w:rPr>
          <w:rFonts w:hAnsi="Cambria" w:ascii="Cambria"/>
          <w:sz w:val="24"/>
          <w:szCs w:val="24"/>
        </w:rPr>
      </w:pPr>
      <w:r>
        <w:rPr>
          <w:rFonts w:hAnsi="Cambria" w:ascii="Cambria"/>
          <w:sz w:val="24"/>
          <w:szCs w:val="24"/>
        </w:rPr>
        <w:t>3. bruto bilancu sa stanjem na dan 17. siječnja 2018. g,</w:t>
      </w:r>
    </w:p>
    <w:p w:rsidRDefault="00F56B13" w:rsidP="00F56B13" w:rsidR="00F56B13">
      <w:pPr>
        <w:pStyle w:val="Bezproreda"/>
        <w:ind w:firstLine="567"/>
        <w:rPr>
          <w:rFonts w:hAnsi="Cambria" w:ascii="Cambria"/>
          <w:sz w:val="24"/>
          <w:szCs w:val="24"/>
        </w:rPr>
      </w:pPr>
      <w:r>
        <w:rPr>
          <w:rFonts w:hAnsi="Cambria" w:ascii="Cambria"/>
          <w:sz w:val="24"/>
          <w:szCs w:val="24"/>
        </w:rPr>
        <w:lastRenderedPageBreak/>
        <w:t>4. popis imovine i obveza prema članku 16. i 17. Stečajnog zakona, koji sadrži podatke o:</w:t>
      </w:r>
    </w:p>
    <w:p w:rsidRDefault="00F56B13" w:rsidP="00F56B13" w:rsidR="00F56B13">
      <w:pPr>
        <w:pStyle w:val="Bezproreda"/>
        <w:ind w:firstLine="567"/>
        <w:rPr>
          <w:rFonts w:hAnsi="Cambria" w:ascii="Cambria"/>
          <w:sz w:val="24"/>
          <w:szCs w:val="24"/>
        </w:rPr>
      </w:pPr>
      <w:r>
        <w:rPr>
          <w:rFonts w:hAnsi="Cambria" w:ascii="Cambria"/>
          <w:sz w:val="24"/>
          <w:szCs w:val="24"/>
        </w:rPr>
        <w:tab/>
        <w:t>- nekretninama i pokretninama dužnika</w:t>
      </w:r>
    </w:p>
    <w:p w:rsidRDefault="00F56B13" w:rsidP="00F56B13" w:rsidR="00F56B13">
      <w:pPr>
        <w:pStyle w:val="Bezproreda"/>
        <w:ind w:firstLine="567"/>
        <w:rPr>
          <w:rFonts w:hAnsi="Cambria" w:ascii="Cambria"/>
          <w:sz w:val="24"/>
          <w:szCs w:val="24"/>
        </w:rPr>
      </w:pPr>
      <w:r>
        <w:rPr>
          <w:rFonts w:hAnsi="Cambria" w:ascii="Cambria"/>
          <w:sz w:val="24"/>
          <w:szCs w:val="24"/>
        </w:rPr>
        <w:t>- imovinskim pravima dužnika na tuđim stvarima</w:t>
      </w:r>
    </w:p>
    <w:p w:rsidRDefault="00F56B13" w:rsidP="00F56B13" w:rsidR="00F56B13">
      <w:pPr>
        <w:pStyle w:val="Bezproreda"/>
        <w:ind w:firstLine="567"/>
        <w:rPr>
          <w:rFonts w:hAnsi="Cambria" w:ascii="Cambria"/>
          <w:sz w:val="24"/>
          <w:szCs w:val="24"/>
        </w:rPr>
      </w:pPr>
      <w:r>
        <w:rPr>
          <w:rFonts w:hAnsi="Cambria" w:ascii="Cambria"/>
          <w:sz w:val="24"/>
          <w:szCs w:val="24"/>
        </w:rPr>
        <w:t>- novčanim i nenovčanim potraživanjima dužnika</w:t>
      </w:r>
    </w:p>
    <w:p w:rsidRDefault="00F56B13" w:rsidP="00F56B13" w:rsidR="00F56B13">
      <w:pPr>
        <w:pStyle w:val="Bezproreda"/>
        <w:ind w:firstLine="567"/>
        <w:rPr>
          <w:rFonts w:hAnsi="Cambria" w:ascii="Cambria"/>
          <w:sz w:val="24"/>
          <w:szCs w:val="24"/>
        </w:rPr>
      </w:pPr>
      <w:r>
        <w:rPr>
          <w:rFonts w:hAnsi="Cambria" w:ascii="Cambria"/>
          <w:sz w:val="24"/>
          <w:szCs w:val="24"/>
        </w:rPr>
        <w:t>- drugim pravima koja čine imovinu dužnika</w:t>
      </w:r>
    </w:p>
    <w:p w:rsidRDefault="00F56B13" w:rsidP="00F56B13" w:rsidR="00F56B13">
      <w:pPr>
        <w:pStyle w:val="Bezproreda"/>
        <w:ind w:firstLine="567"/>
        <w:rPr>
          <w:rFonts w:hAnsi="Cambria" w:ascii="Cambria"/>
          <w:sz w:val="24"/>
          <w:szCs w:val="24"/>
        </w:rPr>
      </w:pPr>
      <w:r>
        <w:rPr>
          <w:rFonts w:hAnsi="Cambria" w:ascii="Cambria"/>
          <w:sz w:val="24"/>
          <w:szCs w:val="24"/>
        </w:rPr>
        <w:t>- novčanim sredstvima na računima</w:t>
      </w:r>
    </w:p>
    <w:p w:rsidRDefault="00F56B13" w:rsidP="00F56B13" w:rsidR="00F56B13">
      <w:pPr>
        <w:pStyle w:val="Bezproreda"/>
        <w:ind w:firstLine="567"/>
        <w:rPr>
          <w:rFonts w:hAnsi="Cambria" w:ascii="Cambria"/>
          <w:sz w:val="24"/>
          <w:szCs w:val="24"/>
        </w:rPr>
      </w:pPr>
      <w:r>
        <w:rPr>
          <w:rFonts w:hAnsi="Cambria" w:ascii="Cambria"/>
          <w:sz w:val="24"/>
          <w:szCs w:val="24"/>
        </w:rPr>
        <w:t>- drugoj imovini dužnika</w:t>
      </w:r>
    </w:p>
    <w:p w:rsidRDefault="00F56B13" w:rsidP="00F56B13" w:rsidR="00F56B13">
      <w:pPr>
        <w:pStyle w:val="Bezproreda"/>
        <w:ind w:firstLine="567"/>
        <w:rPr>
          <w:rFonts w:hAnsi="Cambria" w:ascii="Cambria"/>
          <w:sz w:val="24"/>
          <w:szCs w:val="24"/>
        </w:rPr>
      </w:pPr>
      <w:r>
        <w:rPr>
          <w:rFonts w:hAnsi="Cambria" w:ascii="Cambria"/>
          <w:sz w:val="24"/>
          <w:szCs w:val="24"/>
        </w:rPr>
        <w:t>- obvezama dužnika unesenim u njegove poslovne knjige</w:t>
      </w:r>
    </w:p>
    <w:p w:rsidRDefault="00F56B13" w:rsidP="00F56B13" w:rsidR="00F56B13">
      <w:pPr>
        <w:pStyle w:val="Bezproreda"/>
        <w:ind w:firstLine="567"/>
        <w:rPr>
          <w:rFonts w:hAnsi="Cambria" w:ascii="Cambria"/>
          <w:sz w:val="24"/>
          <w:szCs w:val="24"/>
        </w:rPr>
      </w:pPr>
      <w:r>
        <w:rPr>
          <w:rFonts w:hAnsi="Cambria" w:ascii="Cambria"/>
          <w:sz w:val="24"/>
          <w:szCs w:val="24"/>
        </w:rPr>
        <w:t>- drugim novčanim i nenovčanim obvezama dužnika</w:t>
      </w:r>
    </w:p>
    <w:p w:rsidRDefault="00F56B13" w:rsidP="00F56B13" w:rsidR="00F56B13">
      <w:pPr>
        <w:pStyle w:val="Bezproreda"/>
        <w:ind w:firstLine="567"/>
        <w:rPr>
          <w:rFonts w:hAnsi="Cambria" w:ascii="Cambria"/>
          <w:sz w:val="24"/>
          <w:szCs w:val="24"/>
        </w:rPr>
      </w:pPr>
      <w:r>
        <w:rPr>
          <w:rFonts w:hAnsi="Cambria" w:ascii="Cambria"/>
          <w:sz w:val="24"/>
          <w:szCs w:val="24"/>
        </w:rPr>
        <w:t>- razlučnim pravima na imovini dužnika</w:t>
      </w:r>
    </w:p>
    <w:p w:rsidRDefault="00F56B13" w:rsidP="00F56B13" w:rsidR="00F56B13">
      <w:pPr>
        <w:pStyle w:val="Bezproreda"/>
        <w:ind w:firstLine="567"/>
        <w:rPr>
          <w:rFonts w:hAnsi="Cambria" w:ascii="Cambria"/>
          <w:sz w:val="24"/>
          <w:szCs w:val="24"/>
        </w:rPr>
      </w:pPr>
      <w:r>
        <w:rPr>
          <w:rFonts w:hAnsi="Cambria" w:ascii="Cambria"/>
          <w:sz w:val="24"/>
          <w:szCs w:val="24"/>
        </w:rPr>
        <w:t>- izlučnim pravima</w:t>
      </w:r>
    </w:p>
    <w:p w:rsidRDefault="00F56B13" w:rsidP="00F56B13" w:rsidR="00F56B13">
      <w:pPr>
        <w:pStyle w:val="Bezproreda"/>
        <w:ind w:firstLine="567"/>
        <w:rPr>
          <w:rFonts w:hAnsi="Cambria" w:ascii="Cambria"/>
          <w:sz w:val="24"/>
          <w:szCs w:val="24"/>
        </w:rPr>
      </w:pPr>
      <w:r>
        <w:rPr>
          <w:rFonts w:hAnsi="Cambria" w:ascii="Cambria"/>
          <w:sz w:val="24"/>
          <w:szCs w:val="24"/>
        </w:rPr>
        <w:t>- prosječnim mjesečnim troškovima redovnoga poslovanja dužnika u posljednjih godinu</w:t>
      </w:r>
    </w:p>
    <w:p w:rsidRDefault="00F56B13" w:rsidP="00F56B13" w:rsidR="00F56B13">
      <w:pPr>
        <w:pStyle w:val="Bezproreda"/>
        <w:ind w:firstLine="567"/>
        <w:rPr>
          <w:rFonts w:hAnsi="Cambria" w:ascii="Cambria"/>
          <w:sz w:val="24"/>
          <w:szCs w:val="24"/>
        </w:rPr>
      </w:pPr>
      <w:r>
        <w:rPr>
          <w:rFonts w:hAnsi="Cambria" w:ascii="Cambria"/>
          <w:sz w:val="24"/>
          <w:szCs w:val="24"/>
        </w:rPr>
        <w:t xml:space="preserve">       dana</w:t>
      </w:r>
    </w:p>
    <w:p w:rsidRDefault="00F56B13" w:rsidP="00F56B13" w:rsidR="00F56B13">
      <w:pPr>
        <w:pStyle w:val="Bezproreda"/>
        <w:ind w:firstLine="567"/>
        <w:rPr>
          <w:rFonts w:hAnsi="Cambria" w:ascii="Cambria"/>
          <w:sz w:val="24"/>
          <w:szCs w:val="24"/>
        </w:rPr>
      </w:pPr>
      <w:r>
        <w:rPr>
          <w:rFonts w:hAnsi="Cambria" w:ascii="Cambria"/>
          <w:sz w:val="24"/>
          <w:szCs w:val="24"/>
        </w:rPr>
        <w:t>- postupcima pred sudovima ili javnopravnim tijelima u kojima je dužnik stranka i</w:t>
      </w:r>
    </w:p>
    <w:p w:rsidRDefault="00F56B13" w:rsidP="00F56B13" w:rsidR="00F56B13">
      <w:pPr>
        <w:pStyle w:val="Bezproreda"/>
        <w:ind w:firstLine="567"/>
        <w:rPr>
          <w:rFonts w:hAnsi="Cambria" w:ascii="Cambria"/>
          <w:sz w:val="24"/>
          <w:szCs w:val="24"/>
        </w:rPr>
      </w:pPr>
      <w:r>
        <w:rPr>
          <w:rFonts w:hAnsi="Cambria" w:ascii="Cambria"/>
          <w:sz w:val="24"/>
          <w:szCs w:val="24"/>
        </w:rPr>
        <w:t xml:space="preserve">        visini ili opisu potraživanja koja je predmet postupka.</w:t>
      </w:r>
    </w:p>
    <w:p w:rsidRDefault="00F56B13" w:rsidP="00F56B13" w:rsidR="00F56B13">
      <w:pPr>
        <w:pStyle w:val="Bezproreda"/>
        <w:ind w:firstLine="567"/>
        <w:rPr>
          <w:rFonts w:hAnsi="Cambria" w:ascii="Cambria"/>
          <w:sz w:val="24"/>
          <w:szCs w:val="24"/>
        </w:rPr>
      </w:pPr>
      <w:r>
        <w:rPr>
          <w:rFonts w:hAnsi="Cambria" w:ascii="Cambria"/>
          <w:sz w:val="24"/>
          <w:szCs w:val="24"/>
        </w:rPr>
        <w:t>5. podatke o mogućim naplatnim i nenaplatnim pravnim poslovima u svezi prijenosa</w:t>
      </w:r>
    </w:p>
    <w:p w:rsidRDefault="00F56B13" w:rsidP="00F56B13" w:rsidR="00F56B13">
      <w:pPr>
        <w:pStyle w:val="Bezproreda"/>
        <w:ind w:left="708"/>
        <w:rPr>
          <w:rFonts w:hAnsi="Cambria" w:ascii="Cambria"/>
          <w:sz w:val="24"/>
          <w:szCs w:val="24"/>
        </w:rPr>
      </w:pPr>
      <w:r>
        <w:rPr>
          <w:rFonts w:hAnsi="Cambria" w:ascii="Cambria"/>
          <w:sz w:val="24"/>
          <w:szCs w:val="24"/>
        </w:rPr>
        <w:t xml:space="preserve">    imovine sa dužnika na druge osobe u zadnje četiri godine prije 11. travnja 2016. g,</w:t>
      </w:r>
    </w:p>
    <w:p w:rsidRDefault="00F56B13" w:rsidP="00F56B13" w:rsidR="00F56B13">
      <w:pPr>
        <w:pStyle w:val="Bezproreda"/>
        <w:ind w:firstLine="567"/>
        <w:rPr>
          <w:rFonts w:hAnsi="Cambria" w:ascii="Cambria"/>
          <w:sz w:val="24"/>
          <w:szCs w:val="24"/>
        </w:rPr>
      </w:pPr>
      <w:r>
        <w:rPr>
          <w:rFonts w:hAnsi="Cambria" w:ascii="Cambria"/>
          <w:sz w:val="24"/>
          <w:szCs w:val="24"/>
        </w:rPr>
        <w:t>6. podatak o tome tko vodi poslovne knjige dužnika.</w:t>
      </w:r>
    </w:p>
    <w:p w:rsidRDefault="00F56B13" w:rsidP="00F56B13" w:rsidR="00F56B13">
      <w:pPr>
        <w:pStyle w:val="Bezproreda"/>
        <w:ind w:firstLine="567"/>
        <w:rPr>
          <w:rFonts w:hAnsi="Cambria" w:ascii="Cambria"/>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Pored navedenog privremeni stečajni upravitelj je zatražio od nadležnih institucija slijedeću dokumentaciju:</w:t>
      </w:r>
    </w:p>
    <w:p w:rsidRDefault="00F56B13" w:rsidP="00F56B13" w:rsidR="00F56B13">
      <w:pPr>
        <w:pStyle w:val="Bezproreda"/>
        <w:numPr>
          <w:ilvl w:val="0"/>
          <w:numId w:val="1"/>
        </w:numPr>
        <w:jc w:val="both"/>
        <w:rPr>
          <w:rFonts w:hAnsi="Cambria" w:ascii="Cambria"/>
          <w:sz w:val="24"/>
          <w:szCs w:val="24"/>
        </w:rPr>
      </w:pPr>
      <w:r>
        <w:rPr>
          <w:rFonts w:hAnsi="Cambria" w:ascii="Cambria"/>
          <w:sz w:val="24"/>
          <w:szCs w:val="24"/>
        </w:rPr>
        <w:t>Potvrdu Financijske agencije o blokadi računa i novčanih sredstava dužnika,</w:t>
      </w:r>
    </w:p>
    <w:p w:rsidRDefault="00F56B13" w:rsidP="00F56B13" w:rsidR="00F56B13">
      <w:pPr>
        <w:pStyle w:val="Bezproreda"/>
        <w:numPr>
          <w:ilvl w:val="0"/>
          <w:numId w:val="1"/>
        </w:numPr>
        <w:jc w:val="both"/>
        <w:rPr>
          <w:rFonts w:hAnsi="Cambria" w:ascii="Cambria"/>
          <w:sz w:val="24"/>
          <w:szCs w:val="24"/>
        </w:rPr>
      </w:pPr>
      <w:r>
        <w:rPr>
          <w:rFonts w:hAnsi="Cambria" w:ascii="Cambria"/>
          <w:sz w:val="24"/>
          <w:szCs w:val="24"/>
        </w:rPr>
        <w:t>Potvrdu Općinskog suda u Osijeku o nekretninama u vlasništvu dužnika,</w:t>
      </w:r>
    </w:p>
    <w:p w:rsidRDefault="00F56B13" w:rsidP="00F56B13" w:rsidR="00F56B13">
      <w:pPr>
        <w:pStyle w:val="Bezproreda"/>
        <w:numPr>
          <w:ilvl w:val="0"/>
          <w:numId w:val="1"/>
        </w:numPr>
        <w:jc w:val="both"/>
        <w:rPr>
          <w:rFonts w:hAnsi="Cambria" w:ascii="Cambria"/>
          <w:sz w:val="24"/>
          <w:szCs w:val="24"/>
        </w:rPr>
      </w:pPr>
      <w:r>
        <w:rPr>
          <w:rFonts w:hAnsi="Cambria" w:ascii="Cambria"/>
          <w:sz w:val="24"/>
          <w:szCs w:val="24"/>
        </w:rPr>
        <w:t>Uvjerenje MUP RH, Policijske uprave zagrebačke o vozilima u vlasništvu dužnika,</w:t>
      </w:r>
    </w:p>
    <w:p w:rsidRDefault="00F56B13" w:rsidP="00F56B13" w:rsidR="00F56B13">
      <w:pPr>
        <w:pStyle w:val="Bezproreda"/>
        <w:numPr>
          <w:ilvl w:val="0"/>
          <w:numId w:val="1"/>
        </w:numPr>
        <w:jc w:val="both"/>
        <w:rPr>
          <w:rFonts w:hAnsi="Cambria" w:ascii="Cambria"/>
          <w:sz w:val="24"/>
          <w:szCs w:val="24"/>
        </w:rPr>
      </w:pPr>
      <w:r>
        <w:rPr>
          <w:rFonts w:hAnsi="Cambria" w:ascii="Cambria"/>
          <w:sz w:val="24"/>
          <w:szCs w:val="24"/>
        </w:rPr>
        <w:t>Potvrdu MF RH, Porezne uprave, Područnog ureda zagrebačke županije, Ispostave Samobor o stanju poreznog duga dužnika; o prometu nekretninama dužnika u zadnje četiri godine prije podnošenja prijedloga za otvaranje stečajnog postupka te podatak o tome tko vodi poslovne knjige dužnika,</w:t>
      </w:r>
    </w:p>
    <w:p w:rsidRDefault="00F56B13" w:rsidP="00F56B13" w:rsidR="00F56B13">
      <w:pPr>
        <w:pStyle w:val="Bezproreda"/>
        <w:numPr>
          <w:ilvl w:val="0"/>
          <w:numId w:val="1"/>
        </w:numPr>
        <w:jc w:val="both"/>
        <w:rPr>
          <w:rFonts w:hAnsi="Cambria" w:ascii="Cambria"/>
          <w:sz w:val="24"/>
          <w:szCs w:val="24"/>
        </w:rPr>
      </w:pPr>
      <w:r>
        <w:rPr>
          <w:rFonts w:hAnsi="Cambria" w:ascii="Cambria"/>
          <w:sz w:val="24"/>
          <w:szCs w:val="24"/>
        </w:rPr>
        <w:t>Potvrdu HZMO o broju zaposlenih kod dužnika.</w:t>
      </w: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U izradi ovog izvještaja privremeni stečajni upravitelj je koristio i javno dostupne podatke sudskog registra, Registra godišnjih financijskih izvještaja te podatke putem naplatnog portala Poslovna.hr.</w:t>
      </w: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Privremeni stečajni upravitelj je stupio i u telefonski kontakt sa direktorom dužnika Mariom Carinom, koji je privremenom stečajnom upravitelju od tražene dokumentacije dostavio slijedeće:</w:t>
      </w:r>
    </w:p>
    <w:p w:rsidRDefault="00F56B13" w:rsidP="00F56B13" w:rsidR="00F56B13">
      <w:pPr>
        <w:pStyle w:val="Bezproreda"/>
        <w:numPr>
          <w:ilvl w:val="0"/>
          <w:numId w:val="2"/>
        </w:numPr>
        <w:jc w:val="both"/>
        <w:rPr>
          <w:rFonts w:hAnsi="Cambria" w:ascii="Cambria"/>
          <w:sz w:val="24"/>
          <w:szCs w:val="24"/>
        </w:rPr>
      </w:pPr>
      <w:r>
        <w:rPr>
          <w:rFonts w:hAnsi="Cambria" w:ascii="Cambria"/>
          <w:sz w:val="24"/>
          <w:szCs w:val="24"/>
        </w:rPr>
        <w:t>kratku napomenu o poslovanju dužnika,</w:t>
      </w:r>
    </w:p>
    <w:p w:rsidRDefault="00F56B13" w:rsidP="00F56B13" w:rsidR="00F56B13">
      <w:pPr>
        <w:pStyle w:val="Bezproreda"/>
        <w:numPr>
          <w:ilvl w:val="0"/>
          <w:numId w:val="2"/>
        </w:numPr>
        <w:jc w:val="both"/>
        <w:rPr>
          <w:rFonts w:hAnsi="Cambria" w:ascii="Cambria"/>
          <w:sz w:val="24"/>
          <w:szCs w:val="24"/>
        </w:rPr>
      </w:pPr>
      <w:r>
        <w:rPr>
          <w:rFonts w:hAnsi="Cambria" w:ascii="Cambria"/>
          <w:sz w:val="24"/>
          <w:szCs w:val="24"/>
        </w:rPr>
        <w:t>financijske izvještaje za 2011. godinu,</w:t>
      </w:r>
    </w:p>
    <w:p w:rsidRDefault="00F56B13" w:rsidP="00F56B13" w:rsidR="00F56B13">
      <w:pPr>
        <w:pStyle w:val="Bezproreda"/>
        <w:numPr>
          <w:ilvl w:val="0"/>
          <w:numId w:val="2"/>
        </w:numPr>
        <w:jc w:val="both"/>
        <w:rPr>
          <w:rFonts w:hAnsi="Cambria" w:ascii="Cambria"/>
          <w:sz w:val="24"/>
          <w:szCs w:val="24"/>
        </w:rPr>
      </w:pPr>
      <w:r>
        <w:rPr>
          <w:rFonts w:hAnsi="Cambria" w:ascii="Cambria"/>
          <w:sz w:val="24"/>
          <w:szCs w:val="24"/>
        </w:rPr>
        <w:t>popis obveza.</w:t>
      </w: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Na temelju tako provedenog postupka i pribavljenih podataka, utvrdio sam kako slijedi:</w:t>
      </w:r>
    </w:p>
    <w:p w:rsidRDefault="00F56B13" w:rsidP="00F56B13" w:rsidR="00F56B13">
      <w:pPr>
        <w:pStyle w:val="Bezproreda"/>
        <w:ind w:firstLine="567"/>
        <w:rPr>
          <w:rFonts w:hAnsi="Cambria" w:ascii="Cambria"/>
          <w:sz w:val="24"/>
          <w:szCs w:val="24"/>
        </w:rPr>
      </w:pPr>
    </w:p>
    <w:p w:rsidRDefault="00F56B13" w:rsidP="00F56B13" w:rsidR="00F56B13">
      <w:pPr>
        <w:pStyle w:val="Bezproreda"/>
        <w:ind w:left="567"/>
        <w:rPr>
          <w:rFonts w:hAnsi="Cambria" w:ascii="Cambria"/>
          <w:b/>
          <w:sz w:val="24"/>
          <w:szCs w:val="24"/>
        </w:rPr>
      </w:pPr>
      <w:r>
        <w:rPr>
          <w:rFonts w:hAnsi="Cambria" w:ascii="Cambria"/>
          <w:b/>
          <w:sz w:val="24"/>
          <w:szCs w:val="24"/>
        </w:rPr>
        <w:t>A. OSNOVNI PODACI O DUŽNIKU</w:t>
      </w:r>
    </w:p>
    <w:p w:rsidRDefault="00F56B13" w:rsidP="00F56B13" w:rsidR="00F56B13">
      <w:pPr>
        <w:pStyle w:val="Bezproreda"/>
        <w:ind w:firstLine="567"/>
        <w:rPr>
          <w:rFonts w:hAnsi="Cambria" w:ascii="Cambria"/>
          <w:sz w:val="24"/>
          <w:szCs w:val="24"/>
        </w:rPr>
      </w:pPr>
    </w:p>
    <w:p w:rsidRDefault="00F56B13" w:rsidP="00F56B13" w:rsidR="00F56B13">
      <w:pPr>
        <w:pStyle w:val="Bezproreda"/>
        <w:ind w:firstLine="567"/>
        <w:rPr>
          <w:rFonts w:hAnsi="Cambria" w:ascii="Cambria"/>
          <w:sz w:val="24"/>
          <w:szCs w:val="24"/>
        </w:rPr>
      </w:pPr>
      <w:r>
        <w:rPr>
          <w:rFonts w:hAnsi="Cambria" w:ascii="Cambria"/>
          <w:sz w:val="24"/>
          <w:szCs w:val="24"/>
        </w:rPr>
        <w:t>Naziv:</w:t>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t>ERC MONT d. o. o. za elektro usluge</w:t>
      </w:r>
    </w:p>
    <w:p w:rsidRDefault="00F56B13" w:rsidP="00F56B13" w:rsidR="00F56B13">
      <w:pPr>
        <w:pStyle w:val="Bezproreda"/>
        <w:ind w:firstLine="567"/>
        <w:rPr>
          <w:rFonts w:hAnsi="Cambria" w:ascii="Cambria"/>
          <w:sz w:val="24"/>
          <w:szCs w:val="24"/>
        </w:rPr>
      </w:pPr>
      <w:r>
        <w:rPr>
          <w:rFonts w:hAnsi="Cambria" w:ascii="Cambria"/>
          <w:sz w:val="24"/>
          <w:szCs w:val="24"/>
        </w:rPr>
        <w:t>Sjedište:</w:t>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t>Pavučnjak, Pavučnjak 49</w:t>
      </w:r>
    </w:p>
    <w:p w:rsidRDefault="00F56B13" w:rsidP="00F56B13" w:rsidR="00F56B13">
      <w:pPr>
        <w:pStyle w:val="Bezproreda"/>
        <w:ind w:firstLine="567"/>
        <w:rPr>
          <w:rFonts w:hAnsi="Cambria" w:ascii="Cambria"/>
          <w:sz w:val="24"/>
          <w:szCs w:val="24"/>
        </w:rPr>
      </w:pPr>
      <w:r>
        <w:rPr>
          <w:rFonts w:hAnsi="Cambria" w:ascii="Cambria"/>
          <w:sz w:val="24"/>
          <w:szCs w:val="24"/>
        </w:rPr>
        <w:t>MBS:</w:t>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t>080636595</w:t>
      </w:r>
    </w:p>
    <w:p w:rsidRDefault="00F56B13" w:rsidP="00F56B13" w:rsidR="00F56B13">
      <w:pPr>
        <w:pStyle w:val="Bezproreda"/>
        <w:ind w:firstLine="567"/>
        <w:rPr>
          <w:rFonts w:hAnsi="Cambria" w:ascii="Cambria"/>
          <w:sz w:val="24"/>
          <w:szCs w:val="24"/>
        </w:rPr>
      </w:pPr>
      <w:r>
        <w:rPr>
          <w:rFonts w:hAnsi="Cambria" w:ascii="Cambria"/>
          <w:sz w:val="24"/>
          <w:szCs w:val="24"/>
        </w:rPr>
        <w:t>OIB:</w:t>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t>81838479529</w:t>
      </w:r>
    </w:p>
    <w:p w:rsidRDefault="00F56B13" w:rsidP="00F56B13" w:rsidR="00F56B13">
      <w:pPr>
        <w:pStyle w:val="Bezproreda"/>
        <w:ind w:firstLine="567"/>
        <w:rPr>
          <w:rFonts w:hAnsi="Cambria" w:ascii="Cambria"/>
          <w:sz w:val="24"/>
          <w:szCs w:val="24"/>
        </w:rPr>
      </w:pPr>
      <w:r>
        <w:rPr>
          <w:rFonts w:hAnsi="Cambria" w:ascii="Cambria"/>
          <w:sz w:val="24"/>
          <w:szCs w:val="24"/>
        </w:rPr>
        <w:t>Temeljni kapital:</w:t>
      </w:r>
      <w:r>
        <w:rPr>
          <w:rFonts w:hAnsi="Cambria" w:ascii="Cambria"/>
          <w:sz w:val="24"/>
          <w:szCs w:val="24"/>
        </w:rPr>
        <w:tab/>
      </w:r>
      <w:r>
        <w:rPr>
          <w:rFonts w:hAnsi="Cambria" w:ascii="Cambria"/>
          <w:sz w:val="24"/>
          <w:szCs w:val="24"/>
        </w:rPr>
        <w:tab/>
      </w:r>
      <w:r>
        <w:rPr>
          <w:rFonts w:hAnsi="Cambria" w:ascii="Cambria"/>
          <w:sz w:val="24"/>
          <w:szCs w:val="24"/>
        </w:rPr>
        <w:tab/>
        <w:t>20.000,00 kuna</w:t>
      </w:r>
    </w:p>
    <w:p w:rsidRDefault="00F56B13" w:rsidP="00F56B13" w:rsidR="00F56B13">
      <w:pPr>
        <w:pStyle w:val="Bezproreda"/>
        <w:ind w:firstLine="567"/>
        <w:rPr>
          <w:rFonts w:hAnsi="Cambria" w:ascii="Cambria"/>
          <w:sz w:val="24"/>
          <w:szCs w:val="24"/>
        </w:rPr>
      </w:pPr>
      <w:r>
        <w:rPr>
          <w:rFonts w:hAnsi="Cambria" w:ascii="Cambria"/>
          <w:sz w:val="24"/>
          <w:szCs w:val="24"/>
        </w:rPr>
        <w:t>Osnivač društva:</w:t>
      </w:r>
      <w:r>
        <w:rPr>
          <w:rFonts w:hAnsi="Cambria" w:ascii="Cambria"/>
          <w:sz w:val="24"/>
          <w:szCs w:val="24"/>
        </w:rPr>
        <w:tab/>
      </w:r>
      <w:r>
        <w:rPr>
          <w:rFonts w:hAnsi="Cambria" w:ascii="Cambria"/>
          <w:sz w:val="24"/>
          <w:szCs w:val="24"/>
        </w:rPr>
        <w:tab/>
      </w:r>
      <w:r>
        <w:rPr>
          <w:rFonts w:hAnsi="Cambria" w:ascii="Cambria"/>
          <w:sz w:val="24"/>
          <w:szCs w:val="24"/>
        </w:rPr>
        <w:tab/>
        <w:t>Mario Carin, Pavučnjak, Pavučnjak 49</w:t>
      </w:r>
    </w:p>
    <w:p w:rsidRDefault="00F56B13" w:rsidP="00F56B13" w:rsidR="00F56B13">
      <w:pPr>
        <w:pStyle w:val="Bezproreda"/>
        <w:ind w:firstLine="567"/>
        <w:rPr>
          <w:rFonts w:hAnsi="Cambria" w:ascii="Cambria"/>
          <w:sz w:val="24"/>
          <w:szCs w:val="24"/>
        </w:rPr>
      </w:pPr>
      <w:r>
        <w:rPr>
          <w:rFonts w:hAnsi="Cambria" w:ascii="Cambria"/>
          <w:sz w:val="24"/>
          <w:szCs w:val="24"/>
        </w:rPr>
        <w:t>Osoba ovlaštena za zastupanje:</w:t>
      </w:r>
      <w:r>
        <w:rPr>
          <w:rFonts w:hAnsi="Cambria" w:ascii="Cambria"/>
          <w:sz w:val="24"/>
          <w:szCs w:val="24"/>
        </w:rPr>
        <w:tab/>
        <w:t>Mario Carin, Pavučnjak, Pavučnjak 49, direktor</w:t>
      </w:r>
    </w:p>
    <w:p w:rsidRDefault="00F56B13" w:rsidP="00F56B13" w:rsidR="00F56B13">
      <w:pPr>
        <w:pStyle w:val="Bezproreda"/>
        <w:ind w:firstLine="567"/>
        <w:rPr>
          <w:rFonts w:hAnsi="Cambria" w:ascii="Cambria"/>
          <w:sz w:val="24"/>
          <w:szCs w:val="24"/>
        </w:rPr>
      </w:pP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t>- zastupa društvo pojedinačno i samostalno</w:t>
      </w:r>
    </w:p>
    <w:p w:rsidRDefault="00F56B13" w:rsidP="00F56B13" w:rsidR="00F56B13">
      <w:pPr>
        <w:pStyle w:val="Bezproreda"/>
        <w:ind w:firstLine="708" w:left="3540"/>
        <w:rPr>
          <w:rFonts w:hAnsi="Cambria" w:ascii="Cambria"/>
          <w:sz w:val="24"/>
          <w:szCs w:val="24"/>
        </w:rPr>
      </w:pPr>
      <w:r>
        <w:rPr>
          <w:rFonts w:hAnsi="Cambria" w:ascii="Cambria"/>
          <w:sz w:val="24"/>
          <w:szCs w:val="24"/>
        </w:rPr>
        <w:t xml:space="preserve">   bez  ograničenja</w:t>
      </w:r>
    </w:p>
    <w:p w:rsidRDefault="00F56B13" w:rsidP="00F56B13" w:rsidR="00F56B13">
      <w:pPr>
        <w:pStyle w:val="Bezproreda"/>
        <w:ind w:firstLine="567"/>
        <w:rPr>
          <w:rFonts w:hAnsi="Cambria" w:ascii="Cambria"/>
          <w:sz w:val="24"/>
          <w:szCs w:val="24"/>
        </w:rPr>
      </w:pPr>
      <w:r>
        <w:rPr>
          <w:rFonts w:hAnsi="Cambria" w:ascii="Cambria"/>
          <w:sz w:val="24"/>
          <w:szCs w:val="24"/>
        </w:rPr>
        <w:t xml:space="preserve">Radni odnosi: </w:t>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t>nema zaposlenih na dan 17. siječnja 2018. g.</w:t>
      </w:r>
    </w:p>
    <w:p w:rsidRDefault="00F56B13" w:rsidP="00F56B13" w:rsidR="00F56B13">
      <w:pPr>
        <w:pStyle w:val="Bezproreda"/>
        <w:ind w:firstLine="567"/>
        <w:rPr>
          <w:rFonts w:hAnsi="Cambria" w:ascii="Cambria"/>
          <w:sz w:val="24"/>
          <w:szCs w:val="24"/>
        </w:rPr>
      </w:pPr>
      <w:r>
        <w:rPr>
          <w:rFonts w:hAnsi="Cambria" w:ascii="Cambria"/>
          <w:sz w:val="24"/>
          <w:szCs w:val="24"/>
        </w:rPr>
        <w:t>Glavna djelatnost:</w:t>
      </w:r>
      <w:r>
        <w:rPr>
          <w:rFonts w:hAnsi="Cambria" w:ascii="Cambria"/>
          <w:sz w:val="24"/>
          <w:szCs w:val="24"/>
        </w:rPr>
        <w:tab/>
      </w:r>
      <w:r>
        <w:rPr>
          <w:rFonts w:hAnsi="Cambria" w:ascii="Cambria"/>
          <w:sz w:val="24"/>
          <w:szCs w:val="24"/>
        </w:rPr>
        <w:tab/>
      </w:r>
      <w:r>
        <w:rPr>
          <w:rFonts w:hAnsi="Cambria" w:ascii="Cambria"/>
          <w:sz w:val="24"/>
          <w:szCs w:val="24"/>
        </w:rPr>
        <w:tab/>
        <w:t>- 4321,</w:t>
      </w:r>
      <w:r>
        <w:t xml:space="preserve"> </w:t>
      </w:r>
      <w:r>
        <w:rPr>
          <w:rFonts w:hAnsi="Cambria" w:ascii="Cambria"/>
          <w:sz w:val="24"/>
          <w:szCs w:val="24"/>
        </w:rPr>
        <w:t>Elektroinstalacijski radovi</w:t>
      </w:r>
    </w:p>
    <w:p w:rsidRDefault="00F56B13" w:rsidP="00F56B13" w:rsidR="00F56B13">
      <w:pPr>
        <w:pStyle w:val="Bezproreda"/>
        <w:ind w:firstLine="567"/>
        <w:rPr>
          <w:rFonts w:hAnsi="Cambria" w:ascii="Cambria"/>
          <w:sz w:val="24"/>
          <w:szCs w:val="24"/>
        </w:rPr>
      </w:pPr>
      <w:r>
        <w:rPr>
          <w:rFonts w:hAnsi="Cambria" w:ascii="Cambria"/>
          <w:sz w:val="24"/>
          <w:szCs w:val="24"/>
        </w:rPr>
        <w:t>Poslovni transakcijski račun:</w:t>
      </w:r>
      <w:r>
        <w:rPr>
          <w:rFonts w:hAnsi="Cambria" w:ascii="Cambria"/>
          <w:sz w:val="24"/>
          <w:szCs w:val="24"/>
        </w:rPr>
        <w:tab/>
      </w:r>
      <w:r>
        <w:rPr>
          <w:rFonts w:hAnsi="Cambria" w:ascii="Cambria"/>
          <w:sz w:val="24"/>
          <w:szCs w:val="24"/>
        </w:rPr>
        <w:tab/>
        <w:t>HR0324020061100513183,</w:t>
      </w:r>
      <w:r>
        <w:rPr>
          <w:rFonts w:cs="Arial" w:hAnsi="Arial" w:ascii="Arial"/>
          <w:color w:val="58646F"/>
        </w:rPr>
        <w:t xml:space="preserve"> </w:t>
      </w:r>
      <w:r>
        <w:rPr>
          <w:rFonts w:hAnsi="Cambria" w:ascii="Cambria"/>
          <w:sz w:val="24"/>
          <w:szCs w:val="24"/>
        </w:rPr>
        <w:t>Erste&amp;Steiermärkische</w:t>
      </w:r>
    </w:p>
    <w:p w:rsidRDefault="00F56B13" w:rsidP="00F56B13" w:rsidR="00F56B13">
      <w:pPr>
        <w:pStyle w:val="Bezproreda"/>
        <w:ind w:firstLine="708" w:left="3540"/>
        <w:rPr>
          <w:rFonts w:hAnsi="Cambria" w:ascii="Cambria"/>
          <w:sz w:val="24"/>
          <w:szCs w:val="24"/>
        </w:rPr>
      </w:pPr>
      <w:r>
        <w:rPr>
          <w:rFonts w:hAnsi="Cambria" w:ascii="Cambria"/>
          <w:sz w:val="24"/>
          <w:szCs w:val="24"/>
        </w:rPr>
        <w:t>Bank d. d, Zagreb</w:t>
      </w:r>
    </w:p>
    <w:p w:rsidRDefault="00F56B13" w:rsidP="00F56B13" w:rsidR="00F56B13">
      <w:pPr>
        <w:pStyle w:val="Bezproreda"/>
        <w:ind w:left="567"/>
        <w:rPr>
          <w:rFonts w:hAnsi="Cambria" w:ascii="Cambria"/>
          <w:b/>
          <w:sz w:val="24"/>
          <w:szCs w:val="24"/>
        </w:rPr>
      </w:pPr>
    </w:p>
    <w:p w:rsidRDefault="00F56B13" w:rsidP="00F56B13" w:rsidR="00F56B13">
      <w:pPr>
        <w:pStyle w:val="Bezproreda"/>
        <w:ind w:left="567"/>
        <w:rPr>
          <w:rFonts w:hAnsi="Cambria" w:ascii="Cambria"/>
          <w:b/>
          <w:sz w:val="24"/>
          <w:szCs w:val="24"/>
        </w:rPr>
      </w:pPr>
    </w:p>
    <w:p w:rsidRDefault="00F56B13" w:rsidP="00F56B13" w:rsidR="00F56B13">
      <w:pPr>
        <w:pStyle w:val="Bezproreda"/>
        <w:ind w:left="567"/>
        <w:rPr>
          <w:rFonts w:hAnsi="Cambria" w:ascii="Cambria"/>
          <w:b/>
          <w:sz w:val="24"/>
          <w:szCs w:val="24"/>
        </w:rPr>
      </w:pPr>
      <w:r>
        <w:rPr>
          <w:rFonts w:hAnsi="Cambria" w:ascii="Cambria"/>
          <w:b/>
          <w:sz w:val="24"/>
          <w:szCs w:val="24"/>
        </w:rPr>
        <w:t>B. FINANCIJSKO I GOSPODARSKO STANJE DUŽNIKA</w:t>
      </w:r>
    </w:p>
    <w:p w:rsidRDefault="00F56B13" w:rsidP="00F56B13" w:rsidR="00F56B13">
      <w:pPr>
        <w:pStyle w:val="Bezproreda"/>
        <w:ind w:left="567"/>
        <w:rPr>
          <w:rFonts w:hAnsi="Cambria" w:ascii="Cambria"/>
          <w:b/>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 xml:space="preserve">Trgovačko društvo ERC MONT d. o. o. osnovano je društvenim ugovorom od 10. prosinca 2007. godine te u sudski registar upisano 18. prosinca 2007. godine. Osnovna djelatnost je (bilo) obavljanje elektroinstalacijskih i sličnih radova. Društvo u 2008. i 2009. godini posluje uspješno te u tom razdoblju zapošljava od šest do osam radnika. Ekonomska kriza te smanjenje novih investicija i posljedično pad građevinskog tržišta dovode do poteškoća u poslovanju dužnika te dužnik više nije bio u mogućnosti redovito izvršavati obveze te tokom 2012. godine u potpunosti obustavlja poslovanje koje se do danas ne obavlja. </w:t>
      </w: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Uvid u rezultate poslovanje dužnika u razdoblju od 2008. do 2011. godine daje se u nastavnoj tablici.</w:t>
      </w:r>
    </w:p>
    <w:p w:rsidRDefault="00F56B13" w:rsidP="00F56B13" w:rsidR="00F56B13">
      <w:pPr>
        <w:pStyle w:val="Bezproreda"/>
        <w:ind w:firstLine="567"/>
        <w:jc w:val="both"/>
        <w:rPr>
          <w:rFonts w:hAnsi="Cambria" w:ascii="Cambria"/>
          <w:sz w:val="24"/>
          <w:szCs w:val="24"/>
        </w:rPr>
      </w:pPr>
    </w:p>
    <w:tbl>
      <w:tblPr>
        <w:tblW w:type="dxa" w:w="6427"/>
        <w:tblInd w:type="dxa" w:w="1087"/>
        <w:tblLook w:val="04A0" w:noVBand="1" w:noHBand="0" w:lastColumn="0" w:firstColumn="1" w:lastRow="0" w:firstRow="1"/>
      </w:tblPr>
      <w:tblGrid>
        <w:gridCol w:w="1700"/>
        <w:gridCol w:w="1159"/>
        <w:gridCol w:w="1159"/>
        <w:gridCol w:w="1134"/>
        <w:gridCol w:w="1275"/>
      </w:tblGrid>
      <w:tr w:rsidTr="00F56B13" w:rsidR="00F56B13">
        <w:trPr>
          <w:trHeight w:val="288"/>
        </w:trPr>
        <w:tc>
          <w:tcPr>
            <w:tcW w:type="dxa" w:w="1700"/>
            <w:tcBorders>
              <w:top w:val="nil"/>
              <w:left w:val="nil"/>
              <w:bottom w:space="0" w:sz="4" w:color="auto" w:val="single"/>
              <w:right w:space="0" w:sz="4" w:color="auto" w:val="single"/>
            </w:tcBorders>
            <w:noWrap/>
            <w:vAlign w:val="bottom"/>
            <w:hideMark/>
          </w:tcPr>
          <w:p w:rsidRDefault="00F56B13" w:rsidR="00F56B13">
            <w:pPr>
              <w:spacing w:lineRule="auto" w:line="240" w:after="0"/>
              <w:rPr>
                <w:sz w:val="20"/>
                <w:szCs w:val="20"/>
                <w:lang w:eastAsia="hr-HR"/>
              </w:rPr>
            </w:pPr>
          </w:p>
        </w:tc>
        <w:tc>
          <w:tcPr>
            <w:tcW w:type="dxa" w:w="1159"/>
            <w:tcBorders>
              <w:top w:space="0" w:sz="4" w:color="auto" w:val="single"/>
              <w:left w:val="nil"/>
              <w:bottom w:space="0" w:sz="4" w:color="auto" w:val="single"/>
              <w:right w:space="0" w:sz="4" w:color="auto" w:val="single"/>
            </w:tcBorders>
          </w:tcPr>
          <w:p w:rsidRDefault="00F56B13" w:rsidR="00F56B13">
            <w:pPr>
              <w:spacing w:lineRule="auto" w:line="240" w:after="0"/>
              <w:jc w:val="center"/>
              <w:rPr>
                <w:rFonts w:cs="Calibri" w:eastAsia="Times New Roman" w:hAnsi="Cambria" w:ascii="Cambria"/>
                <w:color w:val="000000"/>
                <w:lang w:eastAsia="hr-HR"/>
              </w:rPr>
            </w:pPr>
          </w:p>
          <w:p w:rsidRDefault="00F56B13" w:rsidR="00F56B13">
            <w:pPr>
              <w:spacing w:lineRule="auto" w:line="240" w:after="0"/>
              <w:jc w:val="center"/>
              <w:rPr>
                <w:rFonts w:cs="Calibri" w:eastAsia="Times New Roman" w:hAnsi="Cambria" w:ascii="Cambria"/>
                <w:color w:val="000000"/>
                <w:lang w:eastAsia="hr-HR"/>
              </w:rPr>
            </w:pPr>
            <w:r>
              <w:rPr>
                <w:rFonts w:cs="Calibri" w:eastAsia="Times New Roman" w:hAnsi="Cambria" w:ascii="Cambria"/>
                <w:color w:val="000000"/>
                <w:lang w:eastAsia="hr-HR"/>
              </w:rPr>
              <w:t>2008</w:t>
            </w:r>
          </w:p>
        </w:tc>
        <w:tc>
          <w:tcPr>
            <w:tcW w:type="dxa" w:w="1159"/>
            <w:tcBorders>
              <w:top w:space="0" w:sz="4" w:color="auto" w:val="single"/>
              <w:left w:space="0" w:sz="4" w:color="auto" w:val="single"/>
              <w:bottom w:space="0" w:sz="4" w:color="auto" w:val="single"/>
              <w:right w:space="0" w:sz="4" w:color="auto" w:val="single"/>
            </w:tcBorders>
          </w:tcPr>
          <w:p w:rsidRDefault="00F56B13" w:rsidR="00F56B13">
            <w:pPr>
              <w:spacing w:lineRule="auto" w:line="240" w:after="0"/>
              <w:jc w:val="center"/>
              <w:rPr>
                <w:rFonts w:cs="Calibri" w:eastAsia="Times New Roman" w:hAnsi="Cambria" w:ascii="Cambria"/>
                <w:color w:val="000000"/>
                <w:lang w:eastAsia="hr-HR"/>
              </w:rPr>
            </w:pPr>
          </w:p>
          <w:p w:rsidRDefault="00F56B13" w:rsidR="00F56B13">
            <w:pPr>
              <w:spacing w:lineRule="auto" w:line="240" w:after="0"/>
              <w:jc w:val="center"/>
              <w:rPr>
                <w:rFonts w:cs="Calibri" w:eastAsia="Times New Roman" w:hAnsi="Cambria" w:ascii="Cambria"/>
                <w:color w:val="000000"/>
                <w:lang w:eastAsia="hr-HR"/>
              </w:rPr>
            </w:pPr>
            <w:r>
              <w:rPr>
                <w:rFonts w:cs="Calibri" w:eastAsia="Times New Roman" w:hAnsi="Cambria" w:ascii="Cambria"/>
                <w:color w:val="000000"/>
                <w:lang w:eastAsia="hr-HR"/>
              </w:rPr>
              <w:t>2009</w:t>
            </w:r>
          </w:p>
        </w:tc>
        <w:tc>
          <w:tcPr>
            <w:tcW w:type="dxa" w:w="1134"/>
            <w:tcBorders>
              <w:top w:space="0" w:sz="4" w:color="auto" w:val="single"/>
              <w:left w:space="0" w:sz="4" w:color="auto" w:val="single"/>
              <w:bottom w:space="0" w:sz="4" w:color="auto" w:val="single"/>
              <w:right w:space="0" w:sz="4" w:color="auto" w:val="single"/>
            </w:tcBorders>
            <w:noWrap/>
            <w:vAlign w:val="bottom"/>
            <w:hideMark/>
          </w:tcPr>
          <w:p w:rsidRDefault="00F56B13" w:rsidR="00F56B13">
            <w:pPr>
              <w:spacing w:lineRule="auto" w:line="240" w:after="0"/>
              <w:jc w:val="center"/>
              <w:rPr>
                <w:rFonts w:cs="Calibri" w:eastAsia="Times New Roman" w:hAnsi="Cambria" w:ascii="Cambria"/>
                <w:color w:val="000000"/>
                <w:lang w:eastAsia="hr-HR"/>
              </w:rPr>
            </w:pPr>
            <w:r>
              <w:rPr>
                <w:rFonts w:cs="Calibri" w:eastAsia="Times New Roman" w:hAnsi="Cambria" w:ascii="Cambria"/>
                <w:color w:val="000000"/>
                <w:lang w:eastAsia="hr-HR"/>
              </w:rPr>
              <w:t>2010</w:t>
            </w:r>
          </w:p>
        </w:tc>
        <w:tc>
          <w:tcPr>
            <w:tcW w:type="dxa" w:w="1275"/>
            <w:tcBorders>
              <w:top w:space="0" w:sz="4" w:color="auto" w:val="single"/>
              <w:left w:val="nil"/>
              <w:bottom w:space="0" w:sz="4" w:color="auto" w:val="single"/>
              <w:right w:space="0" w:sz="4" w:color="auto" w:val="single"/>
            </w:tcBorders>
            <w:noWrap/>
            <w:vAlign w:val="bottom"/>
            <w:hideMark/>
          </w:tcPr>
          <w:p w:rsidRDefault="00F56B13" w:rsidR="00F56B13">
            <w:pPr>
              <w:spacing w:lineRule="auto" w:line="240" w:after="0"/>
              <w:jc w:val="center"/>
              <w:rPr>
                <w:rFonts w:cs="Calibri" w:eastAsia="Times New Roman" w:hAnsi="Cambria" w:ascii="Cambria"/>
                <w:color w:val="000000"/>
                <w:lang w:eastAsia="hr-HR"/>
              </w:rPr>
            </w:pPr>
            <w:r>
              <w:rPr>
                <w:rFonts w:cs="Calibri" w:eastAsia="Times New Roman" w:hAnsi="Cambria" w:ascii="Cambria"/>
                <w:color w:val="000000"/>
                <w:lang w:eastAsia="hr-HR"/>
              </w:rPr>
              <w:t>2011</w:t>
            </w:r>
          </w:p>
        </w:tc>
      </w:tr>
      <w:tr w:rsidTr="00F56B13" w:rsidR="00F56B13">
        <w:trPr>
          <w:trHeight w:val="288"/>
        </w:trPr>
        <w:tc>
          <w:tcPr>
            <w:tcW w:type="dxa" w:w="1700"/>
            <w:tcBorders>
              <w:top w:val="nil"/>
              <w:left w:space="0" w:sz="4" w:color="auto" w:val="single"/>
              <w:bottom w:space="0" w:sz="4" w:color="auto" w:val="single"/>
              <w:right w:space="0" w:sz="4" w:color="auto" w:val="single"/>
            </w:tcBorders>
            <w:noWrap/>
            <w:vAlign w:val="center"/>
            <w:hideMark/>
          </w:tcPr>
          <w:p w:rsidRDefault="00F56B13" w:rsidR="00F56B13">
            <w:pPr>
              <w:spacing w:lineRule="auto" w:line="240" w:after="0"/>
              <w:rPr>
                <w:rFonts w:cs="Calibri" w:eastAsia="Times New Roman" w:hAnsi="Cambria" w:ascii="Cambria"/>
                <w:color w:val="000000"/>
                <w:lang w:eastAsia="hr-HR"/>
              </w:rPr>
            </w:pPr>
            <w:r>
              <w:rPr>
                <w:rFonts w:cs="Calibri" w:eastAsia="Times New Roman" w:hAnsi="Cambria" w:ascii="Cambria"/>
                <w:color w:val="000000"/>
                <w:lang w:eastAsia="hr-HR"/>
              </w:rPr>
              <w:t>Ukupni prihodi</w:t>
            </w:r>
          </w:p>
        </w:tc>
        <w:tc>
          <w:tcPr>
            <w:tcW w:type="dxa" w:w="1159"/>
            <w:tcBorders>
              <w:top w:space="0" w:sz="4" w:color="auto" w:val="single"/>
              <w:left w:val="nil"/>
              <w:bottom w:space="0" w:sz="4" w:color="auto" w:val="single"/>
              <w:right w:space="0" w:sz="4" w:color="auto" w:val="single"/>
            </w:tcBorders>
            <w:hideMark/>
          </w:tcPr>
          <w:p w:rsidRDefault="00F56B13" w:rsidR="00F56B13">
            <w:pPr>
              <w:spacing w:lineRule="auto" w:line="240" w:after="0"/>
              <w:jc w:val="right"/>
              <w:rPr>
                <w:rFonts w:cs="Calibri" w:eastAsia="Times New Roman" w:hAnsi="Cambria" w:ascii="Cambria"/>
                <w:color w:val="000000"/>
                <w:lang w:eastAsia="hr-HR"/>
              </w:rPr>
            </w:pPr>
            <w:r>
              <w:rPr>
                <w:rFonts w:cs="Calibri" w:eastAsia="Times New Roman" w:hAnsi="Cambria" w:ascii="Cambria"/>
                <w:color w:val="000000"/>
                <w:lang w:eastAsia="hr-HR"/>
              </w:rPr>
              <w:t>2.727.500</w:t>
            </w:r>
          </w:p>
        </w:tc>
        <w:tc>
          <w:tcPr>
            <w:tcW w:type="dxa" w:w="1159"/>
            <w:tcBorders>
              <w:top w:space="0" w:sz="4" w:color="auto" w:val="single"/>
              <w:left w:space="0" w:sz="4" w:color="auto" w:val="single"/>
              <w:bottom w:space="0" w:sz="4" w:color="auto" w:val="single"/>
              <w:right w:space="0" w:sz="4" w:color="auto" w:val="single"/>
            </w:tcBorders>
            <w:hideMark/>
          </w:tcPr>
          <w:p w:rsidRDefault="00F56B13" w:rsidR="00F56B13">
            <w:pPr>
              <w:spacing w:lineRule="auto" w:line="240" w:after="0"/>
              <w:jc w:val="right"/>
              <w:rPr>
                <w:rFonts w:cs="Calibri" w:eastAsia="Times New Roman" w:hAnsi="Cambria" w:ascii="Cambria"/>
                <w:color w:val="000000"/>
                <w:lang w:eastAsia="hr-HR"/>
              </w:rPr>
            </w:pPr>
            <w:r>
              <w:rPr>
                <w:rFonts w:cs="Calibri" w:eastAsia="Times New Roman" w:hAnsi="Cambria" w:ascii="Cambria"/>
                <w:color w:val="000000"/>
                <w:lang w:eastAsia="hr-HR"/>
              </w:rPr>
              <w:t>2.714.200</w:t>
            </w:r>
          </w:p>
        </w:tc>
        <w:tc>
          <w:tcPr>
            <w:tcW w:type="dxa" w:w="1134"/>
            <w:tcBorders>
              <w:top w:val="nil"/>
              <w:left w:space="0" w:sz="4" w:color="auto" w:val="single"/>
              <w:bottom w:space="0" w:sz="4" w:color="auto" w:val="single"/>
              <w:right w:space="0" w:sz="4" w:color="auto" w:val="single"/>
            </w:tcBorders>
            <w:noWrap/>
            <w:vAlign w:val="center"/>
            <w:hideMark/>
          </w:tcPr>
          <w:p w:rsidRDefault="00F56B13" w:rsidR="00F56B13">
            <w:pPr>
              <w:spacing w:lineRule="auto" w:line="240" w:after="0"/>
              <w:jc w:val="right"/>
              <w:rPr>
                <w:rFonts w:cs="Calibri" w:eastAsia="Times New Roman" w:hAnsi="Cambria" w:ascii="Cambria"/>
                <w:color w:val="000000"/>
                <w:lang w:eastAsia="hr-HR"/>
              </w:rPr>
            </w:pPr>
            <w:r>
              <w:rPr>
                <w:rFonts w:cs="Calibri" w:eastAsia="Times New Roman" w:hAnsi="Cambria" w:ascii="Cambria"/>
                <w:color w:val="000000"/>
                <w:lang w:eastAsia="hr-HR"/>
              </w:rPr>
              <w:t>778.500</w:t>
            </w:r>
          </w:p>
        </w:tc>
        <w:tc>
          <w:tcPr>
            <w:tcW w:type="dxa" w:w="1275"/>
            <w:tcBorders>
              <w:top w:val="nil"/>
              <w:left w:val="nil"/>
              <w:bottom w:space="0" w:sz="4" w:color="auto" w:val="single"/>
              <w:right w:space="0" w:sz="4" w:color="auto" w:val="single"/>
            </w:tcBorders>
            <w:noWrap/>
            <w:vAlign w:val="center"/>
            <w:hideMark/>
          </w:tcPr>
          <w:p w:rsidRDefault="00F56B13" w:rsidR="00F56B13">
            <w:pPr>
              <w:spacing w:lineRule="auto" w:line="240" w:after="0"/>
              <w:jc w:val="right"/>
              <w:rPr>
                <w:rFonts w:cs="Calibri" w:eastAsia="Times New Roman" w:hAnsi="Cambria" w:ascii="Cambria"/>
                <w:color w:val="000000"/>
                <w:lang w:eastAsia="hr-HR"/>
              </w:rPr>
            </w:pPr>
            <w:r>
              <w:rPr>
                <w:rFonts w:cs="Calibri" w:eastAsia="Times New Roman" w:hAnsi="Cambria" w:ascii="Cambria"/>
                <w:color w:val="000000"/>
                <w:lang w:eastAsia="hr-HR"/>
              </w:rPr>
              <w:t>59.600</w:t>
            </w:r>
          </w:p>
        </w:tc>
      </w:tr>
      <w:tr w:rsidTr="00F56B13" w:rsidR="00F56B13">
        <w:trPr>
          <w:trHeight w:val="288"/>
        </w:trPr>
        <w:tc>
          <w:tcPr>
            <w:tcW w:type="dxa" w:w="1700"/>
            <w:tcBorders>
              <w:top w:val="nil"/>
              <w:left w:space="0" w:sz="4" w:color="auto" w:val="single"/>
              <w:bottom w:space="0" w:sz="4" w:color="auto" w:val="single"/>
              <w:right w:space="0" w:sz="4" w:color="auto" w:val="single"/>
            </w:tcBorders>
            <w:noWrap/>
            <w:vAlign w:val="center"/>
            <w:hideMark/>
          </w:tcPr>
          <w:p w:rsidRDefault="00F56B13" w:rsidR="00F56B13">
            <w:pPr>
              <w:spacing w:lineRule="auto" w:line="240" w:after="0"/>
              <w:rPr>
                <w:rFonts w:cs="Calibri" w:eastAsia="Times New Roman" w:hAnsi="Cambria" w:ascii="Cambria"/>
                <w:color w:val="000000"/>
                <w:lang w:eastAsia="hr-HR"/>
              </w:rPr>
            </w:pPr>
            <w:r>
              <w:rPr>
                <w:rFonts w:cs="Calibri" w:eastAsia="Times New Roman" w:hAnsi="Cambria" w:ascii="Cambria"/>
                <w:color w:val="000000"/>
                <w:lang w:eastAsia="hr-HR"/>
              </w:rPr>
              <w:t>Ukupni rashodi</w:t>
            </w:r>
          </w:p>
        </w:tc>
        <w:tc>
          <w:tcPr>
            <w:tcW w:type="dxa" w:w="1159"/>
            <w:tcBorders>
              <w:top w:space="0" w:sz="4" w:color="auto" w:val="single"/>
              <w:left w:val="nil"/>
              <w:bottom w:space="0" w:sz="4" w:color="auto" w:val="single"/>
              <w:right w:space="0" w:sz="4" w:color="auto" w:val="single"/>
            </w:tcBorders>
            <w:hideMark/>
          </w:tcPr>
          <w:p w:rsidRDefault="00F56B13" w:rsidR="00F56B13">
            <w:pPr>
              <w:spacing w:lineRule="auto" w:line="240" w:after="0"/>
              <w:jc w:val="right"/>
              <w:rPr>
                <w:rFonts w:cs="Calibri" w:eastAsia="Times New Roman" w:hAnsi="Cambria" w:ascii="Cambria"/>
                <w:color w:val="000000"/>
                <w:lang w:eastAsia="hr-HR"/>
              </w:rPr>
            </w:pPr>
            <w:r>
              <w:rPr>
                <w:rFonts w:cs="Calibri" w:eastAsia="Times New Roman" w:hAnsi="Cambria" w:ascii="Cambria"/>
                <w:color w:val="000000"/>
                <w:lang w:eastAsia="hr-HR"/>
              </w:rPr>
              <w:t>2.053.600</w:t>
            </w:r>
          </w:p>
        </w:tc>
        <w:tc>
          <w:tcPr>
            <w:tcW w:type="dxa" w:w="1159"/>
            <w:tcBorders>
              <w:top w:space="0" w:sz="4" w:color="auto" w:val="single"/>
              <w:left w:space="0" w:sz="4" w:color="auto" w:val="single"/>
              <w:bottom w:space="0" w:sz="4" w:color="auto" w:val="single"/>
              <w:right w:space="0" w:sz="4" w:color="auto" w:val="single"/>
            </w:tcBorders>
            <w:hideMark/>
          </w:tcPr>
          <w:p w:rsidRDefault="00F56B13" w:rsidR="00F56B13">
            <w:pPr>
              <w:spacing w:lineRule="auto" w:line="240" w:after="0"/>
              <w:jc w:val="right"/>
              <w:rPr>
                <w:rFonts w:cs="Calibri" w:eastAsia="Times New Roman" w:hAnsi="Cambria" w:ascii="Cambria"/>
                <w:color w:val="000000"/>
                <w:lang w:eastAsia="hr-HR"/>
              </w:rPr>
            </w:pPr>
            <w:r>
              <w:rPr>
                <w:rFonts w:cs="Calibri" w:eastAsia="Times New Roman" w:hAnsi="Cambria" w:ascii="Cambria"/>
                <w:color w:val="000000"/>
                <w:lang w:eastAsia="hr-HR"/>
              </w:rPr>
              <w:t>2.330.500</w:t>
            </w:r>
          </w:p>
        </w:tc>
        <w:tc>
          <w:tcPr>
            <w:tcW w:type="dxa" w:w="1134"/>
            <w:tcBorders>
              <w:top w:val="nil"/>
              <w:left w:space="0" w:sz="4" w:color="auto" w:val="single"/>
              <w:bottom w:space="0" w:sz="4" w:color="auto" w:val="single"/>
              <w:right w:space="0" w:sz="4" w:color="auto" w:val="single"/>
            </w:tcBorders>
            <w:noWrap/>
            <w:vAlign w:val="center"/>
            <w:hideMark/>
          </w:tcPr>
          <w:p w:rsidRDefault="00F56B13" w:rsidR="00F56B13">
            <w:pPr>
              <w:spacing w:lineRule="auto" w:line="240" w:after="0"/>
              <w:jc w:val="right"/>
              <w:rPr>
                <w:rFonts w:cs="Calibri" w:eastAsia="Times New Roman" w:hAnsi="Cambria" w:ascii="Cambria"/>
                <w:color w:val="000000"/>
                <w:lang w:eastAsia="hr-HR"/>
              </w:rPr>
            </w:pPr>
            <w:r>
              <w:rPr>
                <w:rFonts w:cs="Calibri" w:eastAsia="Times New Roman" w:hAnsi="Cambria" w:ascii="Cambria"/>
                <w:color w:val="000000"/>
                <w:lang w:eastAsia="hr-HR"/>
              </w:rPr>
              <w:t>817.900</w:t>
            </w:r>
          </w:p>
        </w:tc>
        <w:tc>
          <w:tcPr>
            <w:tcW w:type="dxa" w:w="1275"/>
            <w:tcBorders>
              <w:top w:val="nil"/>
              <w:left w:val="nil"/>
              <w:bottom w:space="0" w:sz="4" w:color="auto" w:val="single"/>
              <w:right w:space="0" w:sz="4" w:color="auto" w:val="single"/>
            </w:tcBorders>
            <w:noWrap/>
            <w:vAlign w:val="center"/>
            <w:hideMark/>
          </w:tcPr>
          <w:p w:rsidRDefault="00F56B13" w:rsidR="00F56B13">
            <w:pPr>
              <w:spacing w:lineRule="auto" w:line="240" w:after="0"/>
              <w:jc w:val="right"/>
              <w:rPr>
                <w:rFonts w:cs="Calibri" w:eastAsia="Times New Roman" w:hAnsi="Cambria" w:ascii="Cambria"/>
                <w:color w:val="000000"/>
                <w:lang w:eastAsia="hr-HR"/>
              </w:rPr>
            </w:pPr>
            <w:r>
              <w:rPr>
                <w:rFonts w:cs="Calibri" w:eastAsia="Times New Roman" w:hAnsi="Cambria" w:ascii="Cambria"/>
                <w:color w:val="000000"/>
                <w:lang w:eastAsia="hr-HR"/>
              </w:rPr>
              <w:t>197.800</w:t>
            </w:r>
          </w:p>
        </w:tc>
      </w:tr>
      <w:tr w:rsidTr="00F56B13" w:rsidR="00F56B13">
        <w:trPr>
          <w:trHeight w:val="288"/>
        </w:trPr>
        <w:tc>
          <w:tcPr>
            <w:tcW w:type="dxa" w:w="1700"/>
            <w:tcBorders>
              <w:top w:val="nil"/>
              <w:left w:space="0" w:sz="4" w:color="auto" w:val="single"/>
              <w:bottom w:space="0" w:sz="4" w:color="auto" w:val="single"/>
              <w:right w:space="0" w:sz="4" w:color="auto" w:val="single"/>
            </w:tcBorders>
            <w:noWrap/>
            <w:vAlign w:val="center"/>
            <w:hideMark/>
          </w:tcPr>
          <w:p w:rsidRDefault="00F56B13" w:rsidR="00F56B13">
            <w:pPr>
              <w:spacing w:lineRule="auto" w:line="240" w:after="0"/>
              <w:rPr>
                <w:rFonts w:cs="Calibri" w:eastAsia="Times New Roman" w:hAnsi="Cambria" w:ascii="Cambria"/>
                <w:color w:val="000000"/>
                <w:lang w:eastAsia="hr-HR"/>
              </w:rPr>
            </w:pPr>
            <w:r>
              <w:rPr>
                <w:rFonts w:cs="Calibri" w:eastAsia="Times New Roman" w:hAnsi="Cambria" w:ascii="Cambria"/>
                <w:color w:val="000000"/>
                <w:lang w:eastAsia="hr-HR"/>
              </w:rPr>
              <w:t>Dobit/gubitak</w:t>
            </w:r>
          </w:p>
        </w:tc>
        <w:tc>
          <w:tcPr>
            <w:tcW w:type="dxa" w:w="1159"/>
            <w:tcBorders>
              <w:top w:space="0" w:sz="4" w:color="auto" w:val="single"/>
              <w:left w:val="nil"/>
              <w:bottom w:space="0" w:sz="4" w:color="auto" w:val="single"/>
              <w:right w:space="0" w:sz="4" w:color="auto" w:val="single"/>
            </w:tcBorders>
            <w:hideMark/>
          </w:tcPr>
          <w:p w:rsidRDefault="00F56B13" w:rsidR="00F56B13">
            <w:pPr>
              <w:spacing w:lineRule="auto" w:line="240" w:after="0"/>
              <w:jc w:val="right"/>
              <w:rPr>
                <w:rFonts w:cs="Calibri" w:eastAsia="Times New Roman" w:hAnsi="Cambria" w:ascii="Cambria"/>
                <w:color w:val="000000"/>
                <w:lang w:eastAsia="hr-HR"/>
              </w:rPr>
            </w:pPr>
            <w:r>
              <w:rPr>
                <w:rFonts w:cs="Calibri" w:eastAsia="Times New Roman" w:hAnsi="Cambria" w:ascii="Cambria"/>
                <w:color w:val="000000"/>
                <w:lang w:eastAsia="hr-HR"/>
              </w:rPr>
              <w:t>673.900</w:t>
            </w:r>
          </w:p>
        </w:tc>
        <w:tc>
          <w:tcPr>
            <w:tcW w:type="dxa" w:w="1159"/>
            <w:tcBorders>
              <w:top w:space="0" w:sz="4" w:color="auto" w:val="single"/>
              <w:left w:space="0" w:sz="4" w:color="auto" w:val="single"/>
              <w:bottom w:space="0" w:sz="4" w:color="auto" w:val="single"/>
              <w:right w:space="0" w:sz="4" w:color="auto" w:val="single"/>
            </w:tcBorders>
            <w:hideMark/>
          </w:tcPr>
          <w:p w:rsidRDefault="00F56B13" w:rsidR="00F56B13">
            <w:pPr>
              <w:spacing w:lineRule="auto" w:line="240" w:after="0"/>
              <w:jc w:val="right"/>
              <w:rPr>
                <w:rFonts w:cs="Calibri" w:eastAsia="Times New Roman" w:hAnsi="Cambria" w:ascii="Cambria"/>
                <w:color w:val="000000"/>
                <w:lang w:eastAsia="hr-HR"/>
              </w:rPr>
            </w:pPr>
            <w:r>
              <w:rPr>
                <w:rFonts w:cs="Calibri" w:eastAsia="Times New Roman" w:hAnsi="Cambria" w:ascii="Cambria"/>
                <w:color w:val="000000"/>
                <w:lang w:eastAsia="hr-HR"/>
              </w:rPr>
              <w:t>383.700</w:t>
            </w:r>
          </w:p>
        </w:tc>
        <w:tc>
          <w:tcPr>
            <w:tcW w:type="dxa" w:w="1134"/>
            <w:tcBorders>
              <w:top w:val="nil"/>
              <w:left w:space="0" w:sz="4" w:color="auto" w:val="single"/>
              <w:bottom w:space="0" w:sz="4" w:color="auto" w:val="single"/>
              <w:right w:space="0" w:sz="4" w:color="auto" w:val="single"/>
            </w:tcBorders>
            <w:noWrap/>
            <w:vAlign w:val="center"/>
            <w:hideMark/>
          </w:tcPr>
          <w:p w:rsidRDefault="00F56B13" w:rsidR="00F56B13">
            <w:pPr>
              <w:spacing w:lineRule="auto" w:line="240" w:after="0"/>
              <w:jc w:val="right"/>
              <w:rPr>
                <w:rFonts w:cs="Calibri" w:eastAsia="Times New Roman" w:hAnsi="Cambria" w:ascii="Cambria"/>
                <w:color w:val="000000"/>
                <w:lang w:eastAsia="hr-HR"/>
              </w:rPr>
            </w:pPr>
            <w:r>
              <w:rPr>
                <w:rFonts w:cs="Calibri" w:eastAsia="Times New Roman" w:hAnsi="Cambria" w:ascii="Cambria"/>
                <w:color w:val="000000"/>
                <w:lang w:eastAsia="hr-HR"/>
              </w:rPr>
              <w:t>-39.400</w:t>
            </w:r>
          </w:p>
        </w:tc>
        <w:tc>
          <w:tcPr>
            <w:tcW w:type="dxa" w:w="1275"/>
            <w:tcBorders>
              <w:top w:val="nil"/>
              <w:left w:val="nil"/>
              <w:bottom w:space="0" w:sz="4" w:color="auto" w:val="single"/>
              <w:right w:space="0" w:sz="4" w:color="auto" w:val="single"/>
            </w:tcBorders>
            <w:noWrap/>
            <w:vAlign w:val="center"/>
            <w:hideMark/>
          </w:tcPr>
          <w:p w:rsidRDefault="00F56B13" w:rsidR="00F56B13">
            <w:pPr>
              <w:spacing w:lineRule="auto" w:line="240" w:after="0"/>
              <w:jc w:val="right"/>
              <w:rPr>
                <w:rFonts w:cs="Calibri" w:eastAsia="Times New Roman" w:hAnsi="Cambria" w:ascii="Cambria"/>
                <w:color w:val="000000"/>
                <w:lang w:eastAsia="hr-HR"/>
              </w:rPr>
            </w:pPr>
            <w:r>
              <w:rPr>
                <w:rFonts w:cs="Calibri" w:eastAsia="Times New Roman" w:hAnsi="Cambria" w:ascii="Cambria"/>
                <w:color w:val="000000"/>
                <w:lang w:eastAsia="hr-HR"/>
              </w:rPr>
              <w:t>-138.200</w:t>
            </w:r>
          </w:p>
        </w:tc>
      </w:tr>
    </w:tbl>
    <w:p w:rsidRDefault="00F56B13" w:rsidP="00F56B13" w:rsidR="00F56B13">
      <w:pPr>
        <w:pStyle w:val="Bezproreda"/>
        <w:ind w:firstLine="285" w:left="708"/>
        <w:jc w:val="both"/>
        <w:rPr>
          <w:rFonts w:hAnsi="Cambria" w:ascii="Cambria"/>
          <w:i/>
          <w:sz w:val="20"/>
          <w:szCs w:val="20"/>
        </w:rPr>
      </w:pPr>
      <w:r>
        <w:rPr>
          <w:rFonts w:hAnsi="Cambria" w:ascii="Cambria"/>
          <w:i/>
          <w:sz w:val="20"/>
          <w:szCs w:val="20"/>
        </w:rPr>
        <w:t>Izvor: Poslovna.hr, FINA-Registar godišnjih financijskih izvještaja, dostavljeni</w:t>
      </w:r>
    </w:p>
    <w:p w:rsidRDefault="00F56B13" w:rsidP="00F56B13" w:rsidR="00F56B13">
      <w:pPr>
        <w:pStyle w:val="Bezproreda"/>
        <w:ind w:firstLine="708" w:left="1416"/>
        <w:jc w:val="both"/>
        <w:rPr>
          <w:rFonts w:hAnsi="Cambria" w:ascii="Cambria"/>
          <w:i/>
          <w:sz w:val="20"/>
          <w:szCs w:val="20"/>
        </w:rPr>
      </w:pPr>
      <w:r>
        <w:rPr>
          <w:rFonts w:hAnsi="Cambria" w:ascii="Cambria"/>
          <w:i/>
          <w:sz w:val="20"/>
          <w:szCs w:val="20"/>
        </w:rPr>
        <w:t>financijski izvještaji za 2011. godinu.</w:t>
      </w:r>
    </w:p>
    <w:p w:rsidRDefault="00F56B13" w:rsidP="00F56B13" w:rsidR="00F56B13">
      <w:pPr>
        <w:pStyle w:val="Bezproreda"/>
        <w:ind w:left="567"/>
        <w:rPr>
          <w:rFonts w:hAnsi="Cambria" w:ascii="Cambria"/>
          <w:b/>
          <w:sz w:val="24"/>
          <w:szCs w:val="24"/>
        </w:rPr>
      </w:pPr>
    </w:p>
    <w:p w:rsidRDefault="00F56B13" w:rsidP="00F56B13" w:rsidR="00F56B13">
      <w:pPr>
        <w:pStyle w:val="Bezproreda"/>
        <w:ind w:left="567"/>
        <w:rPr>
          <w:rFonts w:hAnsi="Cambria" w:ascii="Cambria"/>
          <w:b/>
          <w:sz w:val="24"/>
          <w:szCs w:val="24"/>
        </w:rPr>
      </w:pPr>
    </w:p>
    <w:p w:rsidRDefault="00F56B13" w:rsidP="00F56B13" w:rsidR="00F56B13">
      <w:pPr>
        <w:pStyle w:val="Bezproreda"/>
        <w:ind w:left="567"/>
        <w:rPr>
          <w:rFonts w:hAnsi="Cambria" w:ascii="Cambria"/>
          <w:b/>
          <w:sz w:val="24"/>
          <w:szCs w:val="24"/>
        </w:rPr>
      </w:pPr>
      <w:r>
        <w:rPr>
          <w:rFonts w:hAnsi="Cambria" w:ascii="Cambria"/>
          <w:b/>
          <w:sz w:val="24"/>
          <w:szCs w:val="24"/>
        </w:rPr>
        <w:t>C. STANJE IMOVINE DUŽNIKA</w:t>
      </w:r>
    </w:p>
    <w:p w:rsidRDefault="00F56B13" w:rsidP="00F56B13" w:rsidR="00F56B13">
      <w:pPr>
        <w:pStyle w:val="Bezproreda"/>
        <w:ind w:firstLine="567"/>
        <w:rPr>
          <w:rFonts w:hAnsi="Cambria" w:ascii="Cambria"/>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Prema bilanci na dan 31. prosinca 2011. g. koju je dostavio zakonski zastupnik dužnika stanje imovine je slijedeće:</w:t>
      </w:r>
    </w:p>
    <w:p w:rsidRDefault="00F56B13" w:rsidP="00F56B13" w:rsidR="00F56B13">
      <w:pPr>
        <w:pStyle w:val="Bezproreda"/>
        <w:numPr>
          <w:ilvl w:val="0"/>
          <w:numId w:val="3"/>
        </w:numPr>
        <w:jc w:val="both"/>
        <w:rPr>
          <w:rFonts w:hAnsi="Cambria" w:ascii="Cambria"/>
          <w:b/>
          <w:sz w:val="24"/>
          <w:szCs w:val="24"/>
        </w:rPr>
      </w:pPr>
      <w:r>
        <w:rPr>
          <w:rFonts w:hAnsi="Cambria" w:ascii="Cambria"/>
          <w:b/>
          <w:sz w:val="24"/>
          <w:szCs w:val="24"/>
        </w:rPr>
        <w:t xml:space="preserve">Dugotrajna imovina </w:t>
      </w:r>
      <w:r>
        <w:rPr>
          <w:rFonts w:hAnsi="Cambria" w:ascii="Cambria"/>
          <w:b/>
          <w:sz w:val="24"/>
          <w:szCs w:val="24"/>
        </w:rPr>
        <w:tab/>
      </w:r>
      <w:r>
        <w:rPr>
          <w:rFonts w:hAnsi="Cambria" w:ascii="Cambria"/>
          <w:b/>
          <w:sz w:val="24"/>
          <w:szCs w:val="24"/>
        </w:rPr>
        <w:tab/>
      </w:r>
      <w:r>
        <w:rPr>
          <w:rFonts w:hAnsi="Cambria" w:ascii="Cambria"/>
          <w:b/>
          <w:sz w:val="24"/>
          <w:szCs w:val="24"/>
        </w:rPr>
        <w:tab/>
      </w:r>
      <w:r>
        <w:rPr>
          <w:rFonts w:hAnsi="Cambria" w:ascii="Cambria"/>
          <w:b/>
          <w:sz w:val="24"/>
          <w:szCs w:val="24"/>
        </w:rPr>
        <w:tab/>
      </w:r>
      <w:r>
        <w:rPr>
          <w:rFonts w:hAnsi="Cambria" w:ascii="Cambria"/>
          <w:b/>
          <w:sz w:val="24"/>
          <w:szCs w:val="24"/>
        </w:rPr>
        <w:tab/>
      </w:r>
      <w:r>
        <w:rPr>
          <w:rFonts w:hAnsi="Cambria" w:ascii="Cambria"/>
          <w:b/>
          <w:sz w:val="24"/>
          <w:szCs w:val="24"/>
        </w:rPr>
        <w:tab/>
        <w:t xml:space="preserve">  79.171,00</w:t>
      </w:r>
      <w:r>
        <w:rPr>
          <w:rFonts w:hAnsi="Cambria" w:ascii="Cambria"/>
          <w:b/>
          <w:bCs/>
          <w:sz w:val="24"/>
          <w:szCs w:val="24"/>
        </w:rPr>
        <w:t xml:space="preserve"> kn</w:t>
      </w:r>
    </w:p>
    <w:p w:rsidRDefault="00F56B13" w:rsidP="00F56B13" w:rsidR="00F56B13">
      <w:pPr>
        <w:pStyle w:val="Bezproreda"/>
        <w:numPr>
          <w:ilvl w:val="1"/>
          <w:numId w:val="3"/>
        </w:numPr>
        <w:jc w:val="both"/>
        <w:rPr>
          <w:rFonts w:hAnsi="Cambria" w:ascii="Cambria"/>
          <w:sz w:val="24"/>
          <w:szCs w:val="24"/>
        </w:rPr>
      </w:pPr>
      <w:r>
        <w:rPr>
          <w:rFonts w:hAnsi="Cambria" w:ascii="Cambria"/>
          <w:bCs/>
          <w:sz w:val="24"/>
          <w:szCs w:val="24"/>
        </w:rPr>
        <w:t>Alati, pogonski inventar i transportna imovina</w:t>
      </w:r>
      <w:r>
        <w:rPr>
          <w:rFonts w:hAnsi="Cambria" w:ascii="Cambria"/>
          <w:bCs/>
          <w:sz w:val="24"/>
          <w:szCs w:val="24"/>
        </w:rPr>
        <w:tab/>
      </w:r>
      <w:r>
        <w:rPr>
          <w:rFonts w:hAnsi="Cambria" w:ascii="Cambria"/>
          <w:bCs/>
          <w:sz w:val="24"/>
          <w:szCs w:val="24"/>
        </w:rPr>
        <w:tab/>
        <w:t xml:space="preserve">   79.171,00 kn</w:t>
      </w:r>
    </w:p>
    <w:p w:rsidRDefault="00F56B13" w:rsidP="00F56B13" w:rsidR="00F56B13">
      <w:pPr>
        <w:pStyle w:val="Bezproreda"/>
        <w:numPr>
          <w:ilvl w:val="0"/>
          <w:numId w:val="3"/>
        </w:numPr>
        <w:jc w:val="both"/>
        <w:rPr>
          <w:rFonts w:hAnsi="Cambria" w:ascii="Cambria"/>
          <w:b/>
          <w:sz w:val="24"/>
          <w:szCs w:val="24"/>
        </w:rPr>
      </w:pPr>
      <w:r>
        <w:rPr>
          <w:rFonts w:hAnsi="Cambria" w:ascii="Cambria"/>
          <w:b/>
          <w:bCs/>
          <w:sz w:val="24"/>
          <w:szCs w:val="24"/>
        </w:rPr>
        <w:t>Kratkoročna potraživanja</w:t>
      </w:r>
      <w:r>
        <w:rPr>
          <w:rFonts w:hAnsi="Cambria" w:ascii="Cambria"/>
          <w:b/>
          <w:bCs/>
          <w:sz w:val="24"/>
          <w:szCs w:val="24"/>
        </w:rPr>
        <w:tab/>
        <w:t xml:space="preserve">   </w:t>
      </w:r>
      <w:r>
        <w:rPr>
          <w:rFonts w:hAnsi="Cambria" w:ascii="Cambria"/>
          <w:b/>
          <w:bCs/>
          <w:sz w:val="24"/>
          <w:szCs w:val="24"/>
        </w:rPr>
        <w:tab/>
      </w:r>
      <w:r>
        <w:rPr>
          <w:rFonts w:hAnsi="Cambria" w:ascii="Cambria"/>
          <w:b/>
          <w:bCs/>
          <w:sz w:val="24"/>
          <w:szCs w:val="24"/>
        </w:rPr>
        <w:tab/>
      </w:r>
      <w:r>
        <w:rPr>
          <w:rFonts w:hAnsi="Cambria" w:ascii="Cambria"/>
          <w:b/>
          <w:bCs/>
          <w:sz w:val="24"/>
          <w:szCs w:val="24"/>
        </w:rPr>
        <w:tab/>
      </w:r>
      <w:r>
        <w:rPr>
          <w:rFonts w:hAnsi="Cambria" w:ascii="Cambria"/>
          <w:b/>
          <w:bCs/>
          <w:sz w:val="24"/>
          <w:szCs w:val="24"/>
        </w:rPr>
        <w:tab/>
        <w:t xml:space="preserve">          2.173.248,00 kn</w:t>
      </w:r>
    </w:p>
    <w:p w:rsidRDefault="00F56B13" w:rsidP="00F56B13" w:rsidR="00F56B13">
      <w:pPr>
        <w:pStyle w:val="Bezproreda"/>
        <w:ind w:left="644"/>
        <w:jc w:val="both"/>
        <w:rPr>
          <w:rFonts w:hAnsi="Cambria" w:ascii="Cambria"/>
          <w:sz w:val="24"/>
          <w:szCs w:val="24"/>
        </w:rPr>
      </w:pPr>
      <w:r>
        <w:rPr>
          <w:rFonts w:hAnsi="Cambria" w:ascii="Cambria"/>
          <w:bCs/>
          <w:sz w:val="24"/>
          <w:szCs w:val="24"/>
        </w:rPr>
        <w:t>2.1 Potraživanja od kupaca</w:t>
      </w:r>
      <w:r>
        <w:rPr>
          <w:rFonts w:hAnsi="Cambria" w:ascii="Cambria"/>
          <w:bCs/>
          <w:sz w:val="24"/>
          <w:szCs w:val="24"/>
        </w:rPr>
        <w:tab/>
      </w:r>
      <w:r>
        <w:rPr>
          <w:rFonts w:hAnsi="Cambria" w:ascii="Cambria"/>
          <w:bCs/>
          <w:sz w:val="24"/>
          <w:szCs w:val="24"/>
        </w:rPr>
        <w:tab/>
      </w:r>
      <w:r>
        <w:rPr>
          <w:rFonts w:hAnsi="Cambria" w:ascii="Cambria"/>
          <w:sz w:val="24"/>
          <w:szCs w:val="24"/>
        </w:rPr>
        <w:tab/>
      </w:r>
      <w:r>
        <w:rPr>
          <w:rFonts w:hAnsi="Cambria" w:ascii="Cambria"/>
          <w:sz w:val="24"/>
          <w:szCs w:val="24"/>
        </w:rPr>
        <w:tab/>
      </w:r>
      <w:r>
        <w:rPr>
          <w:rFonts w:hAnsi="Cambria" w:ascii="Cambria"/>
          <w:sz w:val="24"/>
          <w:szCs w:val="24"/>
        </w:rPr>
        <w:tab/>
        <w:t xml:space="preserve">           2.169.661,00 kn</w:t>
      </w:r>
    </w:p>
    <w:p w:rsidRDefault="00F56B13" w:rsidP="00F56B13" w:rsidR="00F56B13">
      <w:pPr>
        <w:pStyle w:val="Bezproreda"/>
        <w:ind w:left="644"/>
        <w:jc w:val="both"/>
        <w:rPr>
          <w:rFonts w:hAnsi="Cambria" w:ascii="Cambria"/>
          <w:sz w:val="24"/>
          <w:szCs w:val="24"/>
        </w:rPr>
      </w:pPr>
      <w:r>
        <w:rPr>
          <w:rFonts w:hAnsi="Cambria" w:ascii="Cambria"/>
          <w:sz w:val="24"/>
          <w:szCs w:val="24"/>
        </w:rPr>
        <w:t>2.2 Ostala potraživanja</w:t>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t xml:space="preserve">      3.587,00 kn</w:t>
      </w:r>
    </w:p>
    <w:p w:rsidRDefault="00F56B13" w:rsidP="00F56B13" w:rsidR="00F56B13">
      <w:pPr>
        <w:pStyle w:val="Bezproreda"/>
        <w:ind w:left="644"/>
        <w:jc w:val="both"/>
        <w:rPr>
          <w:rFonts w:hAnsi="Cambria" w:ascii="Cambria"/>
          <w:b/>
          <w:sz w:val="24"/>
          <w:szCs w:val="24"/>
        </w:rPr>
      </w:pPr>
      <w:r>
        <w:rPr>
          <w:rFonts w:hAnsi="Cambria" w:ascii="Cambria"/>
          <w:b/>
          <w:sz w:val="24"/>
          <w:szCs w:val="24"/>
        </w:rPr>
        <w:t>UKUPNO:</w:t>
      </w:r>
      <w:r>
        <w:rPr>
          <w:rFonts w:hAnsi="Cambria" w:ascii="Cambria"/>
          <w:b/>
          <w:sz w:val="24"/>
          <w:szCs w:val="24"/>
        </w:rPr>
        <w:tab/>
      </w:r>
      <w:r>
        <w:rPr>
          <w:rFonts w:hAnsi="Cambria" w:ascii="Cambria"/>
          <w:b/>
          <w:sz w:val="24"/>
          <w:szCs w:val="24"/>
        </w:rPr>
        <w:tab/>
      </w:r>
      <w:r>
        <w:rPr>
          <w:rFonts w:hAnsi="Cambria" w:ascii="Cambria"/>
          <w:b/>
          <w:sz w:val="24"/>
          <w:szCs w:val="24"/>
        </w:rPr>
        <w:tab/>
      </w:r>
      <w:r>
        <w:rPr>
          <w:rFonts w:hAnsi="Cambria" w:ascii="Cambria"/>
          <w:b/>
          <w:sz w:val="24"/>
          <w:szCs w:val="24"/>
        </w:rPr>
        <w:tab/>
      </w:r>
      <w:r>
        <w:rPr>
          <w:rFonts w:hAnsi="Cambria" w:ascii="Cambria"/>
          <w:b/>
          <w:sz w:val="24"/>
          <w:szCs w:val="24"/>
        </w:rPr>
        <w:tab/>
      </w:r>
      <w:r>
        <w:rPr>
          <w:rFonts w:hAnsi="Cambria" w:ascii="Cambria"/>
          <w:b/>
          <w:sz w:val="24"/>
          <w:szCs w:val="24"/>
        </w:rPr>
        <w:tab/>
      </w:r>
      <w:r>
        <w:rPr>
          <w:rFonts w:hAnsi="Cambria" w:ascii="Cambria"/>
          <w:b/>
          <w:sz w:val="24"/>
          <w:szCs w:val="24"/>
        </w:rPr>
        <w:tab/>
        <w:t xml:space="preserve">         2.252.419,00 kn</w:t>
      </w:r>
      <w:r>
        <w:rPr>
          <w:rFonts w:hAnsi="Cambria" w:ascii="Cambria"/>
          <w:b/>
          <w:sz w:val="24"/>
          <w:szCs w:val="24"/>
        </w:rPr>
        <w:tab/>
      </w:r>
    </w:p>
    <w:p w:rsidRDefault="00F56B13" w:rsidP="00F56B13" w:rsidR="00F56B13">
      <w:pPr>
        <w:pStyle w:val="Bezproreda"/>
        <w:ind w:firstLine="567"/>
        <w:jc w:val="both"/>
        <w:rPr>
          <w:rFonts w:hAnsi="Cambria" w:ascii="Cambria"/>
          <w:sz w:val="24"/>
          <w:szCs w:val="24"/>
        </w:rPr>
      </w:pPr>
      <w:r>
        <w:rPr>
          <w:rFonts w:hAnsi="Cambria" w:ascii="Cambria"/>
          <w:sz w:val="24"/>
          <w:szCs w:val="24"/>
        </w:rPr>
        <w:t>Budući da je od datuma stanja gore navedenih podataka prošlo već šest godina, sigurno je da oni ne predstavljanju stvarno stanje dužnikove imovine. Prema dostavljenom prokaznom popisu i izjavi zakonskog zastupnika dužnika, dužnik u svom vlasništvu nema nekretnina, pokretnina niti potraživanja. Također prema izjavi zakonskog zastupnika dužnika za 2012. g. i  kasnija razdoblja nisu predavani niti obvezni financijski izvještaji nadležnim institucijama.</w:t>
      </w: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Zbog relativno velikog iznosa iskazanih potraživanja na dan 31. prosinca 2012. g; napominje se, sve da ista i stvarno postoje, da su ista već u zastari te ne postoji realna mogućnost naplate istih.</w:t>
      </w: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Prema potvrdi Općinskog suda u Novom Zagrebu, Zemljišnoknjižnog odjela Samobor broj 2884/2018 od 23. siječnja 2018. g. dužnik nije upisan kao vlasnik nekretnina na području nadležnosti Zemljišnoknjižnog odjela Samobor.</w:t>
      </w: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Prema uvjerenju Stanice za tehnički pregled vozila Euroagram TIS d. o. o. iz Svete Nedelje od 6. veljače 2018. g. dužnik nije evidentiran kao vlasnik vozila.</w:t>
      </w: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Prema potvrdi Porezne uprave, Ispostave Samobor od 31. siječnja 2018. g. dužnik ima porezni dug za poreze, doprinose i druga javna davanja u visini od 186.319,38 kn. Ista ispostava Porezne uprave je potvrdila da dužnik nije stjecao niti prometovao nekretninama u četiri godine prije datuma podnošenja prijedloga za pokretanje stečajnog postupka.</w:t>
      </w: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left="567"/>
        <w:rPr>
          <w:rFonts w:hAnsi="Cambria" w:ascii="Cambria"/>
          <w:b/>
          <w:sz w:val="24"/>
          <w:szCs w:val="24"/>
        </w:rPr>
      </w:pPr>
      <w:r>
        <w:rPr>
          <w:rFonts w:hAnsi="Cambria" w:ascii="Cambria"/>
          <w:b/>
          <w:sz w:val="24"/>
          <w:szCs w:val="24"/>
        </w:rPr>
        <w:t>C. POSTOJANJE STEČAJNIH RAZLOGA</w:t>
      </w:r>
    </w:p>
    <w:p w:rsidRDefault="00F56B13" w:rsidP="00F56B13" w:rsidR="00F56B13">
      <w:pPr>
        <w:pStyle w:val="Bezproreda"/>
        <w:ind w:left="567"/>
        <w:rPr>
          <w:rFonts w:hAnsi="Cambria" w:ascii="Cambria"/>
          <w:b/>
          <w:sz w:val="24"/>
          <w:szCs w:val="24"/>
        </w:rPr>
      </w:pPr>
    </w:p>
    <w:p w:rsidRDefault="00F56B13" w:rsidP="00F56B13" w:rsidR="00F56B13">
      <w:pPr>
        <w:pStyle w:val="Bezproreda"/>
        <w:ind w:left="567"/>
        <w:rPr>
          <w:rFonts w:hAnsi="Cambria" w:ascii="Cambria"/>
          <w:b/>
          <w:sz w:val="24"/>
          <w:szCs w:val="24"/>
        </w:rPr>
      </w:pPr>
      <w:r>
        <w:rPr>
          <w:rFonts w:hAnsi="Cambria" w:ascii="Cambria"/>
          <w:b/>
          <w:sz w:val="24"/>
          <w:szCs w:val="24"/>
        </w:rPr>
        <w:t>C.1 Nesposobnost za plaćanje</w:t>
      </w: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U prijedlogu za otvaranje stečajnog postupka nad dužnikom kojeg je podnijela Financijska agencija dana 15. lipnja 2016. g. se navodi da je na dan 1. rujna 2015. g. dužnik u Očevidniku redoslijeda osnova za plaćanje imao evidentirane neizvršene osnove za plaćanje u neprekidnom razdoblju od 1904 dana u ukupnom iznosu od 1.887.385,42 kn te da dužnik ima dvije zaposlene osobe.</w:t>
      </w: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 xml:space="preserve">Prema Potvrdi o blokadi računa i novčanih sredstava Financijske agencije Klasa: 120-11/18-02/27, Ur. broj: 08-2801-18 od 22. siječnja 2018. g. navodi se da je na </w:t>
      </w:r>
      <w:r>
        <w:rPr>
          <w:rFonts w:hAnsi="Cambria" w:ascii="Cambria"/>
          <w:sz w:val="24"/>
          <w:szCs w:val="24"/>
        </w:rPr>
        <w:lastRenderedPageBreak/>
        <w:t>računima dužnika evidentirano 2777 dana neprekidne blokade te ukupni iznos nepodmirenih obveza od 2.030.004,97 kn.</w:t>
      </w:r>
    </w:p>
    <w:p w:rsidRDefault="00F56B13" w:rsidP="00F56B13" w:rsidR="00F56B13">
      <w:pPr>
        <w:pStyle w:val="Bezproreda"/>
        <w:ind w:firstLine="567"/>
        <w:jc w:val="both"/>
        <w:rPr>
          <w:rFonts w:hAnsi="Cambria" w:ascii="Cambria"/>
          <w:sz w:val="24"/>
          <w:szCs w:val="24"/>
        </w:rPr>
      </w:pPr>
    </w:p>
    <w:p w:rsidRDefault="00F56B13" w:rsidP="00F56B13" w:rsidR="00F56B13">
      <w:pPr>
        <w:pStyle w:val="Bezproreda"/>
        <w:ind w:firstLine="567"/>
        <w:jc w:val="both"/>
        <w:rPr>
          <w:rFonts w:hAnsi="Cambria" w:ascii="Cambria"/>
          <w:b/>
          <w:sz w:val="24"/>
          <w:szCs w:val="24"/>
        </w:rPr>
      </w:pPr>
      <w:r>
        <w:rPr>
          <w:rFonts w:hAnsi="Cambria" w:ascii="Cambria"/>
          <w:sz w:val="24"/>
          <w:szCs w:val="24"/>
        </w:rPr>
        <w:t>U skladu s navedenim zaključuje se da kod dužnika postoji stečajni razlog nesposobnosti za plaćanje.</w:t>
      </w:r>
    </w:p>
    <w:p w:rsidRDefault="00F56B13" w:rsidP="00F56B13" w:rsidR="00F56B13">
      <w:pPr>
        <w:pStyle w:val="Bezproreda"/>
        <w:ind w:left="567"/>
        <w:rPr>
          <w:rFonts w:hAnsi="Cambria" w:ascii="Cambria"/>
          <w:b/>
          <w:sz w:val="24"/>
          <w:szCs w:val="24"/>
        </w:rPr>
      </w:pPr>
    </w:p>
    <w:p w:rsidRDefault="00F56B13" w:rsidP="00F56B13" w:rsidR="00F56B13">
      <w:pPr>
        <w:pStyle w:val="Bezproreda"/>
        <w:ind w:left="567"/>
        <w:rPr>
          <w:rFonts w:hAnsi="Cambria" w:ascii="Cambria"/>
          <w:b/>
          <w:sz w:val="24"/>
          <w:szCs w:val="24"/>
        </w:rPr>
      </w:pPr>
      <w:r>
        <w:rPr>
          <w:rFonts w:hAnsi="Cambria" w:ascii="Cambria"/>
          <w:b/>
          <w:sz w:val="24"/>
          <w:szCs w:val="24"/>
        </w:rPr>
        <w:t>C.2 Prezaduženost</w:t>
      </w:r>
    </w:p>
    <w:p w:rsidRDefault="00F56B13" w:rsidP="00F56B13" w:rsidR="00F56B13">
      <w:pPr>
        <w:pStyle w:val="Bezproreda"/>
        <w:ind w:left="567"/>
        <w:rPr>
          <w:rFonts w:hAnsi="Cambria" w:ascii="Cambria"/>
          <w:b/>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Prema dostavljenoj bilanci na dan 31. prosinca 2011. godine prema kojoj je imovine dužnika veća od obveza ne postoji formalni stečajni razlog prezaduženosti. No kako na dan 22. siječnja 2018. g. postoji blokada računa dužnika u visini od 2.030.004,97 kn privremeni stečajni upravitelj zaključuje da kod dužnika postoji i stečajni razlog prezaduženosti.</w:t>
      </w:r>
    </w:p>
    <w:p w:rsidRDefault="00F56B13" w:rsidP="00F56B13" w:rsidR="00F56B13">
      <w:pPr>
        <w:pStyle w:val="Bezproreda"/>
        <w:ind w:left="567"/>
        <w:rPr>
          <w:rFonts w:hAnsi="Cambria" w:ascii="Cambria"/>
          <w:b/>
          <w:sz w:val="24"/>
          <w:szCs w:val="24"/>
        </w:rPr>
      </w:pPr>
    </w:p>
    <w:p w:rsidRDefault="00F56B13" w:rsidP="00F56B13" w:rsidR="00F56B13">
      <w:pPr>
        <w:pStyle w:val="Bezproreda"/>
        <w:rPr>
          <w:rFonts w:hAnsi="Cambria" w:ascii="Cambria"/>
          <w:b/>
          <w:sz w:val="24"/>
          <w:szCs w:val="24"/>
        </w:rPr>
      </w:pPr>
    </w:p>
    <w:p w:rsidRDefault="00F56B13" w:rsidP="00F56B13" w:rsidR="00F56B13">
      <w:pPr>
        <w:pStyle w:val="Bezproreda"/>
        <w:ind w:left="567"/>
        <w:rPr>
          <w:rFonts w:hAnsi="Cambria" w:ascii="Cambria"/>
          <w:b/>
          <w:sz w:val="24"/>
          <w:szCs w:val="24"/>
        </w:rPr>
      </w:pPr>
      <w:r>
        <w:rPr>
          <w:rFonts w:hAnsi="Cambria" w:ascii="Cambria"/>
          <w:b/>
          <w:sz w:val="24"/>
          <w:szCs w:val="24"/>
        </w:rPr>
        <w:t>3. ZAKLJUČAK</w:t>
      </w:r>
    </w:p>
    <w:p w:rsidRDefault="00F56B13" w:rsidP="00F56B13" w:rsidR="00F56B13">
      <w:pPr>
        <w:pStyle w:val="Bezproreda"/>
        <w:ind w:firstLine="567"/>
        <w:rPr>
          <w:rFonts w:hAnsi="Cambria" w:ascii="Cambria"/>
          <w:sz w:val="24"/>
          <w:szCs w:val="24"/>
        </w:rPr>
      </w:pPr>
    </w:p>
    <w:p w:rsidRDefault="00F56B13" w:rsidP="00F56B13" w:rsidR="00F56B13">
      <w:pPr>
        <w:pStyle w:val="Bezproreda"/>
        <w:numPr>
          <w:ilvl w:val="0"/>
          <w:numId w:val="4"/>
        </w:numPr>
        <w:jc w:val="both"/>
        <w:rPr>
          <w:rFonts w:hAnsi="Cambria" w:ascii="Cambria"/>
          <w:sz w:val="24"/>
          <w:szCs w:val="24"/>
        </w:rPr>
      </w:pPr>
      <w:r>
        <w:rPr>
          <w:rFonts w:hAnsi="Cambria" w:ascii="Cambria"/>
          <w:sz w:val="24"/>
          <w:szCs w:val="24"/>
        </w:rPr>
        <w:t>dužnik ne obavlja gospodarsku djelatnost od 2012. godine i nema izgleda za nastavak poslovanja,</w:t>
      </w:r>
    </w:p>
    <w:p w:rsidRDefault="00F56B13" w:rsidP="00F56B13" w:rsidR="00F56B13">
      <w:pPr>
        <w:pStyle w:val="Bezproreda"/>
        <w:numPr>
          <w:ilvl w:val="0"/>
          <w:numId w:val="4"/>
        </w:numPr>
        <w:jc w:val="both"/>
        <w:rPr>
          <w:rFonts w:hAnsi="Cambria" w:ascii="Cambria"/>
          <w:sz w:val="24"/>
          <w:szCs w:val="24"/>
        </w:rPr>
      </w:pPr>
      <w:r>
        <w:rPr>
          <w:rFonts w:hAnsi="Cambria" w:ascii="Cambria"/>
          <w:sz w:val="24"/>
          <w:szCs w:val="24"/>
        </w:rPr>
        <w:t>kod dužnika postoje oba stečajna razloga iz čl. 5. Stečajnog zakona: nesposobnost za plaćanje i prezaduženost,</w:t>
      </w:r>
    </w:p>
    <w:p w:rsidRDefault="00F56B13" w:rsidP="00F56B13" w:rsidR="00F56B13">
      <w:pPr>
        <w:pStyle w:val="Bezproreda"/>
        <w:numPr>
          <w:ilvl w:val="0"/>
          <w:numId w:val="4"/>
        </w:numPr>
        <w:jc w:val="both"/>
        <w:rPr>
          <w:rFonts w:hAnsi="Cambria" w:ascii="Cambria"/>
          <w:sz w:val="24"/>
          <w:szCs w:val="24"/>
        </w:rPr>
      </w:pPr>
      <w:r>
        <w:rPr>
          <w:rFonts w:hAnsi="Cambria" w:ascii="Cambria"/>
          <w:sz w:val="24"/>
          <w:szCs w:val="24"/>
        </w:rPr>
        <w:t>dužnik u svom vlasništvu ne posjeduje nekretnine upisane u zemljišnim knjigama kao niti motorna vozila,</w:t>
      </w:r>
    </w:p>
    <w:p w:rsidRDefault="00F56B13" w:rsidP="00F56B13" w:rsidR="00F56B13">
      <w:pPr>
        <w:pStyle w:val="Bezproreda"/>
        <w:numPr>
          <w:ilvl w:val="0"/>
          <w:numId w:val="4"/>
        </w:numPr>
        <w:jc w:val="both"/>
        <w:rPr>
          <w:rFonts w:hAnsi="Cambria" w:ascii="Cambria"/>
          <w:sz w:val="24"/>
          <w:szCs w:val="24"/>
        </w:rPr>
      </w:pPr>
      <w:r>
        <w:rPr>
          <w:rFonts w:hAnsi="Cambria" w:ascii="Cambria"/>
          <w:sz w:val="24"/>
          <w:szCs w:val="24"/>
        </w:rPr>
        <w:t>dužnik u poslovnim knjigama iskazuje knjigovodstvenu vrijednost imovine na dan 31. prosinca 2011. g. u visini od 2.252.419,00 kn, a koja prema dostavljenom prokaznom popisu i izjavi zakonskog zastupnika dužnika ne postoji,</w:t>
      </w:r>
    </w:p>
    <w:p w:rsidRDefault="00F56B13" w:rsidP="00F56B13" w:rsidR="00F56B13">
      <w:pPr>
        <w:pStyle w:val="Bezproreda"/>
        <w:numPr>
          <w:ilvl w:val="0"/>
          <w:numId w:val="4"/>
        </w:numPr>
        <w:jc w:val="both"/>
        <w:rPr>
          <w:rFonts w:hAnsi="Cambria" w:ascii="Cambria"/>
          <w:sz w:val="24"/>
          <w:szCs w:val="24"/>
        </w:rPr>
      </w:pPr>
      <w:r>
        <w:rPr>
          <w:rFonts w:hAnsi="Cambria" w:ascii="Cambria"/>
          <w:sz w:val="24"/>
          <w:szCs w:val="24"/>
        </w:rPr>
        <w:t>s obzirom na nepostojanje imovine u vlasništvu dužnika, zaključuje se da ne postoji mogućnost provođenja stečajnog postupka nad njegovom imovinom.</w:t>
      </w:r>
    </w:p>
    <w:p w:rsidRDefault="00F56B13" w:rsidP="00F56B13" w:rsidR="00F56B13">
      <w:pPr>
        <w:pStyle w:val="Bezproreda"/>
        <w:ind w:left="720"/>
        <w:jc w:val="both"/>
        <w:rPr>
          <w:rFonts w:hAnsi="Cambria" w:ascii="Cambria"/>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 xml:space="preserve"> Slijedom navedenog privremeni stečajni upravitelj predlaže da naslovljeni sud sukladno čl. 132. Stečajnog zakona</w:t>
      </w:r>
      <w:r>
        <w:rPr>
          <w:rFonts w:eastAsia="Times New Roman" w:hAnsi="Cambria" w:ascii="Cambria"/>
          <w:color w:val="000000"/>
          <w:sz w:val="24"/>
          <w:szCs w:val="24"/>
          <w:lang w:eastAsia="hr-HR"/>
        </w:rPr>
        <w:t xml:space="preserve"> </w:t>
      </w:r>
      <w:r>
        <w:rPr>
          <w:rFonts w:hAnsi="Cambria" w:ascii="Cambria"/>
          <w:sz w:val="24"/>
          <w:szCs w:val="24"/>
        </w:rPr>
        <w:t>donese rješenje o otvaranju i zaključenju stečajnoga postupka nad dužnikom ukoliko nitko po rješenju naslovljenog suda broj 1 St-528/2017-6 od 16. listopada 2017. godine nije uplatio navedenim rješenjem određeni predujam u iznosu od 1.000,00 kuna te iznos od 10.000,00 kuna, za pokriće troškova prethodnog i otvorenog stečajnog postupka.</w:t>
      </w:r>
    </w:p>
    <w:p w:rsidRDefault="00F56B13" w:rsidP="00F56B13" w:rsidR="00F56B13">
      <w:pPr>
        <w:pStyle w:val="Bezproreda"/>
        <w:rPr>
          <w:rFonts w:hAnsi="Cambria" w:ascii="Cambria"/>
          <w:sz w:val="24"/>
          <w:szCs w:val="24"/>
        </w:rPr>
      </w:pPr>
    </w:p>
    <w:p w:rsidRDefault="00F56B13" w:rsidP="00F56B13" w:rsidR="00F56B13">
      <w:pPr>
        <w:pStyle w:val="Bezproreda"/>
        <w:ind w:firstLine="567"/>
        <w:jc w:val="both"/>
        <w:rPr>
          <w:rFonts w:hAnsi="Cambria" w:ascii="Cambria"/>
          <w:sz w:val="24"/>
          <w:szCs w:val="24"/>
        </w:rPr>
      </w:pP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t>Privremeni stečajni upravitelj</w:t>
      </w:r>
    </w:p>
    <w:p w:rsidRDefault="00F56B13" w:rsidP="00F56B13" w:rsidR="00F56B13">
      <w:pPr>
        <w:pStyle w:val="Bezproreda"/>
        <w:ind w:left="567"/>
        <w:jc w:val="both"/>
        <w:rPr>
          <w:rFonts w:hAnsi="Cambria" w:ascii="Cambria"/>
          <w:sz w:val="24"/>
          <w:szCs w:val="24"/>
        </w:rPr>
      </w:pP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r>
      <w:r>
        <w:rPr>
          <w:rFonts w:hAnsi="Cambria" w:ascii="Cambria"/>
          <w:sz w:val="24"/>
          <w:szCs w:val="24"/>
        </w:rPr>
        <w:tab/>
        <w:t>Vinko Pečanić</w:t>
      </w:r>
      <w:r>
        <w:rPr>
          <w:rFonts w:hAnsi="Cambria" w:ascii="Cambria"/>
          <w:sz w:val="24"/>
          <w:szCs w:val="24"/>
        </w:rPr>
        <w:tab/>
      </w:r>
    </w:p>
    <w:p w:rsidRDefault="00F56B13" w:rsidP="00F56B13" w:rsidR="00F56B13">
      <w:pPr>
        <w:pStyle w:val="Bezproreda"/>
        <w:ind w:left="567"/>
        <w:jc w:val="both"/>
        <w:rPr>
          <w:rFonts w:hAnsi="Cambria" w:ascii="Cambria"/>
          <w:sz w:val="24"/>
          <w:szCs w:val="24"/>
        </w:rPr>
      </w:pPr>
    </w:p>
    <w:p w:rsidRDefault="00F56B13" w:rsidP="00F56B13" w:rsidR="00F56B13">
      <w:pPr>
        <w:pStyle w:val="Bezproreda"/>
        <w:jc w:val="both"/>
        <w:rPr>
          <w:rFonts w:hAnsi="Cambria" w:ascii="Cambria"/>
          <w:sz w:val="24"/>
          <w:szCs w:val="24"/>
        </w:rPr>
      </w:pPr>
      <w:r>
        <w:rPr>
          <w:rFonts w:hAnsi="Cambria" w:ascii="Cambria"/>
          <w:sz w:val="24"/>
          <w:szCs w:val="24"/>
        </w:rPr>
        <w:t>Prilozi:</w:t>
      </w:r>
      <w:r>
        <w:rPr>
          <w:rFonts w:hAnsi="Cambria" w:ascii="Cambria"/>
          <w:sz w:val="24"/>
          <w:szCs w:val="24"/>
        </w:rPr>
        <w:tab/>
      </w:r>
    </w:p>
    <w:p w:rsidRDefault="00F56B13" w:rsidP="00F56B13" w:rsidR="00F56B13">
      <w:pPr>
        <w:pStyle w:val="Bezproreda"/>
        <w:numPr>
          <w:ilvl w:val="0"/>
          <w:numId w:val="5"/>
        </w:numPr>
        <w:ind w:hanging="284" w:left="426"/>
        <w:jc w:val="both"/>
        <w:rPr>
          <w:rFonts w:hAnsi="Cambria" w:ascii="Cambria"/>
          <w:sz w:val="24"/>
          <w:szCs w:val="24"/>
        </w:rPr>
      </w:pPr>
      <w:r>
        <w:rPr>
          <w:rFonts w:hAnsi="Cambria" w:ascii="Cambria"/>
          <w:sz w:val="24"/>
          <w:szCs w:val="24"/>
        </w:rPr>
        <w:t>Izvještaj zakonskog zastupnika dužnika</w:t>
      </w:r>
    </w:p>
    <w:p w:rsidRDefault="00F56B13" w:rsidP="00F56B13" w:rsidR="00F56B13">
      <w:pPr>
        <w:pStyle w:val="Bezproreda"/>
        <w:numPr>
          <w:ilvl w:val="0"/>
          <w:numId w:val="5"/>
        </w:numPr>
        <w:ind w:hanging="284" w:left="426"/>
        <w:jc w:val="both"/>
        <w:rPr>
          <w:rFonts w:hAnsi="Cambria" w:ascii="Cambria"/>
          <w:sz w:val="24"/>
          <w:szCs w:val="24"/>
        </w:rPr>
      </w:pPr>
      <w:r>
        <w:rPr>
          <w:rFonts w:hAnsi="Cambria" w:ascii="Cambria"/>
          <w:sz w:val="24"/>
          <w:szCs w:val="24"/>
        </w:rPr>
        <w:t>Bilanca na dan 31. prosinca 2011. g.</w:t>
      </w:r>
    </w:p>
    <w:p w:rsidRDefault="00F56B13" w:rsidP="00F56B13" w:rsidR="00F56B13">
      <w:pPr>
        <w:pStyle w:val="Bezproreda"/>
        <w:numPr>
          <w:ilvl w:val="0"/>
          <w:numId w:val="5"/>
        </w:numPr>
        <w:ind w:hanging="284" w:left="426"/>
        <w:jc w:val="both"/>
        <w:rPr>
          <w:rFonts w:hAnsi="Cambria" w:ascii="Cambria"/>
          <w:sz w:val="24"/>
          <w:szCs w:val="24"/>
        </w:rPr>
      </w:pPr>
      <w:r>
        <w:rPr>
          <w:rFonts w:hAnsi="Cambria" w:ascii="Cambria"/>
          <w:sz w:val="24"/>
          <w:szCs w:val="24"/>
        </w:rPr>
        <w:t>Potvrda Zemljišnoknjižnog odjela Samobor od 23. siječnja 2018. g.</w:t>
      </w:r>
    </w:p>
    <w:p w:rsidRDefault="00F56B13" w:rsidP="00F56B13" w:rsidR="00F56B13">
      <w:pPr>
        <w:pStyle w:val="Bezproreda"/>
        <w:numPr>
          <w:ilvl w:val="0"/>
          <w:numId w:val="5"/>
        </w:numPr>
        <w:ind w:hanging="284" w:left="426"/>
        <w:jc w:val="both"/>
        <w:rPr>
          <w:rFonts w:hAnsi="Cambria" w:ascii="Cambria"/>
          <w:sz w:val="24"/>
          <w:szCs w:val="24"/>
        </w:rPr>
      </w:pPr>
      <w:r>
        <w:rPr>
          <w:rFonts w:hAnsi="Cambria" w:ascii="Cambria"/>
          <w:sz w:val="24"/>
          <w:szCs w:val="24"/>
        </w:rPr>
        <w:t>Uvjerenje STP Euroagram TIS d. o. o. od 6. veljače 2018. g.</w:t>
      </w:r>
    </w:p>
    <w:p w:rsidRDefault="00F56B13" w:rsidP="00F56B13" w:rsidR="00F56B13">
      <w:pPr>
        <w:pStyle w:val="Bezproreda"/>
        <w:numPr>
          <w:ilvl w:val="0"/>
          <w:numId w:val="5"/>
        </w:numPr>
        <w:ind w:hanging="284" w:left="426"/>
        <w:jc w:val="both"/>
        <w:rPr>
          <w:rFonts w:hAnsi="Cambria" w:ascii="Cambria"/>
          <w:sz w:val="24"/>
          <w:szCs w:val="24"/>
        </w:rPr>
      </w:pPr>
      <w:r>
        <w:rPr>
          <w:rFonts w:hAnsi="Cambria" w:ascii="Cambria"/>
          <w:sz w:val="24"/>
          <w:szCs w:val="24"/>
        </w:rPr>
        <w:t>Potvrda Financijske agencije o blokadi računa dužnika od 22. siječnja 2018. g.</w:t>
      </w:r>
    </w:p>
    <w:p w:rsidRDefault="00F56B13" w:rsidP="00F56B13" w:rsidR="00F56B13">
      <w:pPr>
        <w:pStyle w:val="Bezproreda"/>
        <w:numPr>
          <w:ilvl w:val="0"/>
          <w:numId w:val="5"/>
        </w:numPr>
        <w:ind w:hanging="284" w:left="426"/>
        <w:jc w:val="both"/>
        <w:rPr>
          <w:rFonts w:hAnsi="Cambria" w:ascii="Cambria"/>
          <w:sz w:val="24"/>
          <w:szCs w:val="24"/>
        </w:rPr>
      </w:pPr>
      <w:r>
        <w:rPr>
          <w:rFonts w:hAnsi="Cambria" w:ascii="Cambria"/>
          <w:sz w:val="24"/>
          <w:szCs w:val="24"/>
        </w:rPr>
        <w:t>Potvrda HZMO o stanju zaposlenih od 23. siječnja 2018. g.</w:t>
      </w:r>
    </w:p>
    <w:p w:rsidRDefault="00F56B13" w:rsidP="00F56B13" w:rsidR="00587833" w:rsidRPr="00F56B13">
      <w:pPr>
        <w:pStyle w:val="Bezproreda"/>
        <w:numPr>
          <w:ilvl w:val="0"/>
          <w:numId w:val="5"/>
        </w:numPr>
        <w:ind w:hanging="284" w:left="426"/>
        <w:jc w:val="both"/>
        <w:rPr>
          <w:rFonts w:hAnsi="Cambria" w:ascii="Cambria"/>
          <w:sz w:val="24"/>
          <w:szCs w:val="24"/>
        </w:rPr>
      </w:pPr>
      <w:r>
        <w:rPr>
          <w:rFonts w:hAnsi="Cambria" w:ascii="Cambria"/>
          <w:sz w:val="24"/>
          <w:szCs w:val="24"/>
        </w:rPr>
        <w:t xml:space="preserve">Potvrde Porezne uprave, Ispostave Samobor od 31. siječnja 2018. g. </w:t>
      </w:r>
    </w:p>
    <w:sectPr w:rsidSect="00F56B13" w:rsidR="00587833" w:rsidRPr="00F56B13">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7A3E" w:rsidP="00F56B13" w:rsidR="004A7A3E">
      <w:pPr>
        <w:spacing w:lineRule="auto" w:line="240" w:after="0"/>
      </w:pPr>
      <w:r>
        <w:separator/>
      </w:r>
    </w:p>
  </w:endnote>
  <w:endnote w:id="0" w:type="continuationSeparator">
    <w:p w:rsidRDefault="004A7A3E" w:rsidP="00F56B13" w:rsidR="004A7A3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7A3E" w:rsidP="00F56B13" w:rsidR="004A7A3E">
      <w:pPr>
        <w:spacing w:lineRule="auto" w:line="240" w:after="0"/>
      </w:pPr>
      <w:r>
        <w:separator/>
      </w:r>
    </w:p>
  </w:footnote>
  <w:footnote w:id="0" w:type="continuationSeparator">
    <w:p w:rsidRDefault="004A7A3E" w:rsidP="00F56B13" w:rsidR="004A7A3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5291555"/>
      <w:docPartObj>
        <w:docPartGallery w:val="Page Numbers (Top of Page)"/>
        <w:docPartUnique/>
      </w:docPartObj>
    </w:sdtPr>
    <w:sdtEndPr/>
    <w:sdtContent>
      <w:p w:rsidRDefault="00F56B13" w:rsidR="00F56B13">
        <w:pPr>
          <w:pStyle w:val="Zaglavlje"/>
          <w:jc w:val="center"/>
        </w:pPr>
        <w:r>
          <w:fldChar w:fldCharType="begin"/>
        </w:r>
        <w:r>
          <w:instrText>PAGE   \* MERGEFORMAT</w:instrText>
        </w:r>
        <w:r>
          <w:fldChar w:fldCharType="separate"/>
        </w:r>
        <w:r w:rsidR="00E46269">
          <w:rPr>
            <w:noProof/>
          </w:rPr>
          <w:t>5</w:t>
        </w:r>
        <w:r>
          <w:fldChar w:fldCharType="end"/>
        </w:r>
      </w:p>
    </w:sdtContent>
  </w:sdt>
  <w:p w:rsidRDefault="00F56B13" w:rsidR="00F56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FD6FB1"/>
    <w:multiLevelType w:val="hybridMultilevel"/>
    <w:tmpl w:val="0A5CE50C"/>
    <w:lvl w:tplc="96C2F4B8" w:ilvl="0">
      <w:start w:val="1"/>
      <w:numFmt w:val="decimal"/>
      <w:lvlText w:val="%1."/>
      <w:lvlJc w:val="left"/>
      <w:pPr>
        <w:ind w:hanging="360" w:left="927"/>
      </w:pPr>
      <w:rPr>
        <w:rFonts w:cs="Times New Roman" w:eastAsia="Calibri" w:hAnsi="Cambria" w:ascii="Cambria"/>
      </w:rPr>
    </w:lvl>
    <w:lvl w:tplc="041A0019" w:ilvl="1">
      <w:start w:val="1"/>
      <w:numFmt w:val="lowerLetter"/>
      <w:lvlText w:val="%2."/>
      <w:lvlJc w:val="left"/>
      <w:pPr>
        <w:ind w:hanging="360" w:left="1647"/>
      </w:pPr>
    </w:lvl>
    <w:lvl w:tplc="041A001B" w:ilvl="2">
      <w:start w:val="1"/>
      <w:numFmt w:val="lowerRoman"/>
      <w:lvlText w:val="%3."/>
      <w:lvlJc w:val="right"/>
      <w:pPr>
        <w:ind w:hanging="180" w:left="2367"/>
      </w:pPr>
    </w:lvl>
    <w:lvl w:tplc="041A000F" w:ilvl="3">
      <w:start w:val="1"/>
      <w:numFmt w:val="decimal"/>
      <w:lvlText w:val="%4."/>
      <w:lvlJc w:val="left"/>
      <w:pPr>
        <w:ind w:hanging="360" w:left="3087"/>
      </w:pPr>
    </w:lvl>
    <w:lvl w:tplc="041A0019" w:ilvl="4">
      <w:start w:val="1"/>
      <w:numFmt w:val="lowerLetter"/>
      <w:lvlText w:val="%5."/>
      <w:lvlJc w:val="left"/>
      <w:pPr>
        <w:ind w:hanging="360" w:left="3807"/>
      </w:pPr>
    </w:lvl>
    <w:lvl w:tplc="041A001B" w:ilvl="5">
      <w:start w:val="1"/>
      <w:numFmt w:val="lowerRoman"/>
      <w:lvlText w:val="%6."/>
      <w:lvlJc w:val="right"/>
      <w:pPr>
        <w:ind w:hanging="180" w:left="4527"/>
      </w:pPr>
    </w:lvl>
    <w:lvl w:tplc="041A000F" w:ilvl="6">
      <w:start w:val="1"/>
      <w:numFmt w:val="decimal"/>
      <w:lvlText w:val="%7."/>
      <w:lvlJc w:val="left"/>
      <w:pPr>
        <w:ind w:hanging="360" w:left="5247"/>
      </w:pPr>
    </w:lvl>
    <w:lvl w:tplc="041A0019" w:ilvl="7">
      <w:start w:val="1"/>
      <w:numFmt w:val="lowerLetter"/>
      <w:lvlText w:val="%8."/>
      <w:lvlJc w:val="left"/>
      <w:pPr>
        <w:ind w:hanging="360" w:left="5967"/>
      </w:pPr>
    </w:lvl>
    <w:lvl w:tplc="041A001B" w:ilvl="8">
      <w:start w:val="1"/>
      <w:numFmt w:val="lowerRoman"/>
      <w:lvlText w:val="%9."/>
      <w:lvlJc w:val="right"/>
      <w:pPr>
        <w:ind w:hanging="180" w:left="6687"/>
      </w:pPr>
    </w:lvl>
  </w:abstractNum>
  <w:abstractNum w:abstractNumId="1">
    <w:nsid w:val="27EC4404"/>
    <w:multiLevelType w:val="multilevel"/>
    <w:tmpl w:val="549E89A4"/>
    <w:lvl w:ilvl="0">
      <w:start w:val="1"/>
      <w:numFmt w:val="decimal"/>
      <w:lvlText w:val="%1."/>
      <w:lvlJc w:val="left"/>
      <w:pPr>
        <w:ind w:hanging="360" w:left="644"/>
      </w:pPr>
    </w:lvl>
    <w:lvl w:ilvl="1">
      <w:start w:val="1"/>
      <w:numFmt w:val="decimal"/>
      <w:isLgl/>
      <w:lvlText w:val="%1.%2"/>
      <w:lvlJc w:val="left"/>
      <w:pPr>
        <w:ind w:hanging="396" w:left="1040"/>
      </w:pPr>
    </w:lvl>
    <w:lvl w:ilvl="2">
      <w:start w:val="1"/>
      <w:numFmt w:val="decimal"/>
      <w:isLgl/>
      <w:lvlText w:val="%1.%2.%3"/>
      <w:lvlJc w:val="left"/>
      <w:pPr>
        <w:ind w:hanging="720" w:left="1724"/>
      </w:pPr>
    </w:lvl>
    <w:lvl w:ilvl="3">
      <w:start w:val="1"/>
      <w:numFmt w:val="decimal"/>
      <w:isLgl/>
      <w:lvlText w:val="%1.%2.%3.%4"/>
      <w:lvlJc w:val="left"/>
      <w:pPr>
        <w:ind w:hanging="1080" w:left="2444"/>
      </w:pPr>
    </w:lvl>
    <w:lvl w:ilvl="4">
      <w:start w:val="1"/>
      <w:numFmt w:val="decimal"/>
      <w:isLgl/>
      <w:lvlText w:val="%1.%2.%3.%4.%5"/>
      <w:lvlJc w:val="left"/>
      <w:pPr>
        <w:ind w:hanging="1080" w:left="2804"/>
      </w:pPr>
    </w:lvl>
    <w:lvl w:ilvl="5">
      <w:start w:val="1"/>
      <w:numFmt w:val="decimal"/>
      <w:isLgl/>
      <w:lvlText w:val="%1.%2.%3.%4.%5.%6"/>
      <w:lvlJc w:val="left"/>
      <w:pPr>
        <w:ind w:hanging="1440" w:left="3524"/>
      </w:pPr>
    </w:lvl>
    <w:lvl w:ilvl="6">
      <w:start w:val="1"/>
      <w:numFmt w:val="decimal"/>
      <w:isLgl/>
      <w:lvlText w:val="%1.%2.%3.%4.%5.%6.%7"/>
      <w:lvlJc w:val="left"/>
      <w:pPr>
        <w:ind w:hanging="1440" w:left="3884"/>
      </w:pPr>
    </w:lvl>
    <w:lvl w:ilvl="7">
      <w:start w:val="1"/>
      <w:numFmt w:val="decimal"/>
      <w:isLgl/>
      <w:lvlText w:val="%1.%2.%3.%4.%5.%6.%7.%8"/>
      <w:lvlJc w:val="left"/>
      <w:pPr>
        <w:ind w:hanging="1800" w:left="4604"/>
      </w:pPr>
    </w:lvl>
    <w:lvl w:ilvl="8">
      <w:start w:val="1"/>
      <w:numFmt w:val="decimal"/>
      <w:isLgl/>
      <w:lvlText w:val="%1.%2.%3.%4.%5.%6.%7.%8.%9"/>
      <w:lvlJc w:val="left"/>
      <w:pPr>
        <w:ind w:hanging="1800" w:left="4964"/>
      </w:pPr>
    </w:lvl>
  </w:abstractNum>
  <w:abstractNum w:abstractNumId="2">
    <w:nsid w:val="283528B2"/>
    <w:multiLevelType w:val="hybridMultilevel"/>
    <w:tmpl w:val="F50A0C72"/>
    <w:lvl w:tplc="7D80043C" w:ilvl="0">
      <w:start w:val="1"/>
      <w:numFmt w:val="decimal"/>
      <w:lvlText w:val="%1."/>
      <w:lvlJc w:val="left"/>
      <w:pPr>
        <w:ind w:hanging="360" w:left="927"/>
      </w:pPr>
    </w:lvl>
    <w:lvl w:tplc="041A0019" w:ilvl="1">
      <w:start w:val="1"/>
      <w:numFmt w:val="lowerLetter"/>
      <w:lvlText w:val="%2."/>
      <w:lvlJc w:val="left"/>
      <w:pPr>
        <w:ind w:hanging="360" w:left="1647"/>
      </w:pPr>
    </w:lvl>
    <w:lvl w:tplc="041A001B" w:ilvl="2">
      <w:start w:val="1"/>
      <w:numFmt w:val="lowerRoman"/>
      <w:lvlText w:val="%3."/>
      <w:lvlJc w:val="right"/>
      <w:pPr>
        <w:ind w:hanging="180" w:left="2367"/>
      </w:pPr>
    </w:lvl>
    <w:lvl w:tplc="041A000F" w:ilvl="3">
      <w:start w:val="1"/>
      <w:numFmt w:val="decimal"/>
      <w:lvlText w:val="%4."/>
      <w:lvlJc w:val="left"/>
      <w:pPr>
        <w:ind w:hanging="360" w:left="3087"/>
      </w:pPr>
    </w:lvl>
    <w:lvl w:tplc="041A0019" w:ilvl="4">
      <w:start w:val="1"/>
      <w:numFmt w:val="lowerLetter"/>
      <w:lvlText w:val="%5."/>
      <w:lvlJc w:val="left"/>
      <w:pPr>
        <w:ind w:hanging="360" w:left="3807"/>
      </w:pPr>
    </w:lvl>
    <w:lvl w:tplc="041A001B" w:ilvl="5">
      <w:start w:val="1"/>
      <w:numFmt w:val="lowerRoman"/>
      <w:lvlText w:val="%6."/>
      <w:lvlJc w:val="right"/>
      <w:pPr>
        <w:ind w:hanging="180" w:left="4527"/>
      </w:pPr>
    </w:lvl>
    <w:lvl w:tplc="041A000F" w:ilvl="6">
      <w:start w:val="1"/>
      <w:numFmt w:val="decimal"/>
      <w:lvlText w:val="%7."/>
      <w:lvlJc w:val="left"/>
      <w:pPr>
        <w:ind w:hanging="360" w:left="5247"/>
      </w:pPr>
    </w:lvl>
    <w:lvl w:tplc="041A0019" w:ilvl="7">
      <w:start w:val="1"/>
      <w:numFmt w:val="lowerLetter"/>
      <w:lvlText w:val="%8."/>
      <w:lvlJc w:val="left"/>
      <w:pPr>
        <w:ind w:hanging="360" w:left="5967"/>
      </w:pPr>
    </w:lvl>
    <w:lvl w:tplc="041A001B" w:ilvl="8">
      <w:start w:val="1"/>
      <w:numFmt w:val="lowerRoman"/>
      <w:lvlText w:val="%9."/>
      <w:lvlJc w:val="right"/>
      <w:pPr>
        <w:ind w:hanging="180" w:left="6687"/>
      </w:pPr>
    </w:lvl>
  </w:abstractNum>
  <w:abstractNum w:abstractNumId="3">
    <w:nsid w:val="747F0DFA"/>
    <w:multiLevelType w:val="hybridMultilevel"/>
    <w:tmpl w:val="EE46AF68"/>
    <w:lvl w:tplc="B9E038B6" w:ilvl="0">
      <w:start w:val="1"/>
      <w:numFmt w:val="decimal"/>
      <w:lvlText w:val="%1."/>
      <w:lvlJc w:val="left"/>
      <w:pPr>
        <w:ind w:hanging="360" w:left="720"/>
      </w:pPr>
      <w:rPr>
        <w:rFonts w:cs="Times New Roman" w:eastAsia="Calibri" w:hAnsi="Cambria" w:ascii="Cambria"/>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C120BBE"/>
    <w:multiLevelType w:val="hybridMultilevel"/>
    <w:tmpl w:val="9208DC30"/>
    <w:lvl w:tplc="0A6293F4" w:ilvl="0">
      <w:start w:val="1"/>
      <w:numFmt w:val="decimal"/>
      <w:lvlText w:val="%1."/>
      <w:lvlJc w:val="left"/>
      <w:pPr>
        <w:ind w:hanging="360" w:left="927"/>
      </w:pPr>
    </w:lvl>
    <w:lvl w:tplc="041A0019" w:ilvl="1">
      <w:start w:val="1"/>
      <w:numFmt w:val="lowerLetter"/>
      <w:lvlText w:val="%2."/>
      <w:lvlJc w:val="left"/>
      <w:pPr>
        <w:ind w:hanging="360" w:left="1647"/>
      </w:pPr>
    </w:lvl>
    <w:lvl w:tplc="041A001B" w:ilvl="2">
      <w:start w:val="1"/>
      <w:numFmt w:val="lowerRoman"/>
      <w:lvlText w:val="%3."/>
      <w:lvlJc w:val="right"/>
      <w:pPr>
        <w:ind w:hanging="180" w:left="2367"/>
      </w:pPr>
    </w:lvl>
    <w:lvl w:tplc="041A000F" w:ilvl="3">
      <w:start w:val="1"/>
      <w:numFmt w:val="decimal"/>
      <w:lvlText w:val="%4."/>
      <w:lvlJc w:val="left"/>
      <w:pPr>
        <w:ind w:hanging="360" w:left="3087"/>
      </w:pPr>
    </w:lvl>
    <w:lvl w:tplc="041A0019" w:ilvl="4">
      <w:start w:val="1"/>
      <w:numFmt w:val="lowerLetter"/>
      <w:lvlText w:val="%5."/>
      <w:lvlJc w:val="left"/>
      <w:pPr>
        <w:ind w:hanging="360" w:left="3807"/>
      </w:pPr>
    </w:lvl>
    <w:lvl w:tplc="041A001B" w:ilvl="5">
      <w:start w:val="1"/>
      <w:numFmt w:val="lowerRoman"/>
      <w:lvlText w:val="%6."/>
      <w:lvlJc w:val="right"/>
      <w:pPr>
        <w:ind w:hanging="180" w:left="4527"/>
      </w:pPr>
    </w:lvl>
    <w:lvl w:tplc="041A000F" w:ilvl="6">
      <w:start w:val="1"/>
      <w:numFmt w:val="decimal"/>
      <w:lvlText w:val="%7."/>
      <w:lvlJc w:val="left"/>
      <w:pPr>
        <w:ind w:hanging="360" w:left="5247"/>
      </w:pPr>
    </w:lvl>
    <w:lvl w:tplc="041A0019" w:ilvl="7">
      <w:start w:val="1"/>
      <w:numFmt w:val="lowerLetter"/>
      <w:lvlText w:val="%8."/>
      <w:lvlJc w:val="left"/>
      <w:pPr>
        <w:ind w:hanging="360" w:left="5967"/>
      </w:pPr>
    </w:lvl>
    <w:lvl w:tplc="041A001B" w:ilvl="8">
      <w:start w:val="1"/>
      <w:numFmt w:val="lowerRoman"/>
      <w:lvlText w:val="%9."/>
      <w:lvlJc w:val="right"/>
      <w:pPr>
        <w:ind w:hanging="180" w:left="6687"/>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6B13"/>
    <w:rsid w:val="004A7A3E"/>
    <w:rsid w:val="00587833"/>
    <w:rsid w:val="00E46269"/>
    <w:rsid w:val="00F56B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6B13"/>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56B13"/>
    <w:pPr>
      <w:spacing w:lineRule="auto" w:line="240" w:after="0"/>
    </w:pPr>
    <w:rPr>
      <w:rFonts w:cs="Times New Roman" w:eastAsia="Calibri" w:hAnsi="Calibri" w:ascii="Calibri"/>
    </w:rPr>
  </w:style>
  <w:style w:styleId="Zaglavlje" w:type="paragraph">
    <w:name w:val="header"/>
    <w:basedOn w:val="Normal"/>
    <w:link w:val="ZaglavljeChar"/>
    <w:uiPriority w:val="99"/>
    <w:unhideWhenUsed/>
    <w:rsid w:val="00F56B1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56B13"/>
    <w:rPr>
      <w:rFonts w:cs="Times New Roman" w:eastAsia="Calibri" w:hAnsi="Calibri" w:ascii="Calibri"/>
    </w:rPr>
  </w:style>
  <w:style w:styleId="Podnoje" w:type="paragraph">
    <w:name w:val="footer"/>
    <w:basedOn w:val="Normal"/>
    <w:link w:val="PodnojeChar"/>
    <w:uiPriority w:val="99"/>
    <w:unhideWhenUsed/>
    <w:rsid w:val="00F56B1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56B13"/>
    <w:rPr>
      <w:rFonts w:cs="Times New Roman" w:eastAsia="Calibri" w:hAnsi="Calibri" w:ascii="Calibri"/>
    </w:rPr>
  </w:style>
  <w:style w:styleId="Tekstrezerviranogmjesta" w:type="character">
    <w:name w:val="Placeholder Text"/>
    <w:basedOn w:val="Zadanifontodlomka"/>
    <w:uiPriority w:val="99"/>
    <w:semiHidden/>
    <w:rsid w:val="00E46269"/>
    <w:rPr>
      <w:color w:val="808080"/>
      <w:bdr w:space="0" w:sz="0" w:color="auto" w:val="none"/>
      <w:shd w:fill="auto" w:color="auto" w:val="clear"/>
    </w:rPr>
  </w:style>
  <w:style w:customStyle="true" w:styleId="eSPISCCParagraphDefaultFont" w:type="character">
    <w:name w:val="eSPIS_CC_Paragraph Default Font"/>
    <w:basedOn w:val="Zadanifontodlomka"/>
    <w:rsid w:val="00E4626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46269"/>
    <w:rPr>
      <w:rFonts w:hAnsi="Cambria" w:ascii="Cambria"/>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46269"/>
    <w:rPr>
      <w:rFonts w:cs="Times New Roman" w:hAnsi="Cambria" w:ascii="Cambria"/>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46269"/>
    <w:rPr>
      <w:rFonts w:cs="Times New Roman" w:hAnsi="Cambria" w:ascii="Cambria"/>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6B13"/>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56B13"/>
    <w:pPr>
      <w:spacing w:after="0" w:line="240" w:lineRule="auto"/>
    </w:pPr>
    <w:rPr>
      <w:rFonts w:ascii="Calibri" w:cs="Times New Roman" w:eastAsia="Calibri" w:hAnsi="Calibri"/>
    </w:rPr>
  </w:style>
  <w:style w:styleId="Zaglavlje" w:type="paragraph">
    <w:name w:val="header"/>
    <w:basedOn w:val="Normal"/>
    <w:link w:val="ZaglavljeChar"/>
    <w:uiPriority w:val="99"/>
    <w:unhideWhenUsed/>
    <w:rsid w:val="00F56B1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56B13"/>
    <w:rPr>
      <w:rFonts w:ascii="Calibri" w:cs="Times New Roman" w:eastAsia="Calibri" w:hAnsi="Calibri"/>
    </w:rPr>
  </w:style>
  <w:style w:styleId="Podnoje" w:type="paragraph">
    <w:name w:val="footer"/>
    <w:basedOn w:val="Normal"/>
    <w:link w:val="PodnojeChar"/>
    <w:uiPriority w:val="99"/>
    <w:unhideWhenUsed/>
    <w:rsid w:val="00F56B1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56B13"/>
    <w:rPr>
      <w:rFonts w:ascii="Calibri" w:cs="Times New Roman" w:eastAsia="Calibri" w:hAnsi="Calibri"/>
    </w:rPr>
  </w:style>
  <w:style w:styleId="Tekstrezerviranogmjesta" w:type="character">
    <w:name w:val="Placeholder Text"/>
    <w:basedOn w:val="Zadanifontodlomka"/>
    <w:uiPriority w:val="99"/>
    <w:semiHidden/>
    <w:rsid w:val="00E46269"/>
    <w:rPr>
      <w:color w:val="808080"/>
      <w:bdr w:color="auto" w:space="0" w:sz="0" w:val="none"/>
      <w:shd w:color="auto" w:fill="auto" w:val="clear"/>
    </w:rPr>
  </w:style>
  <w:style w:customStyle="1" w:styleId="eSPISCCParagraphDefaultFont" w:type="character">
    <w:name w:val="eSPIS_CC_Paragraph Default Font"/>
    <w:basedOn w:val="Zadanifontodlomka"/>
    <w:rsid w:val="00E4626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46269"/>
    <w:rPr>
      <w:rFonts w:ascii="Cambria" w:hAnsi="Cambria"/>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46269"/>
    <w:rPr>
      <w:rFonts w:ascii="Cambria" w:cs="Times New Roman" w:hAnsi="Cambria"/>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46269"/>
    <w:rPr>
      <w:rFonts w:ascii="Cambria" w:cs="Times New Roman" w:hAnsi="Cambria"/>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18439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1521</properties:Words>
  <properties:Characters>8963</properties:Characters>
  <properties:Lines>258</properties:Lines>
  <properties:Paragraphs>128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2018-02-22T11:39:00Z</dcterms:created>
  <dc:creator>Vesna Dragišić</dc:creator>
  <cp:lastModifiedBy>Vesna Dragišić</cp:lastModifiedBy>
  <dcterms:modified xmlns:xsi="http://www.w3.org/2001/XMLSchema-instance" xsi:type="dcterms:W3CDTF">2018-02-22T11:40:00Z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 A PRIVREMENI STEČAJNI UPRAVITELJ ERC MONT.docx</vt:lpwstr>
  </prop:property>
  <prop:property name="CC_coloring" pid="4" fmtid="{D5CDD505-2E9C-101B-9397-08002B2CF9AE}">
    <vt:bool>false</vt:bool>
  </prop:property>
  <prop:property name="BrojStranica" pid="5" fmtid="{D5CDD505-2E9C-101B-9397-08002B2CF9AE}">
    <vt:i4>5</vt:i4>
  </prop:property>
</prop:Properties>
</file>